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[2018-12-15]</w:t>
        <w:br/>
        <w:t xml:space="preserve">Lizenz: Copyright (C) 2009-2018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br/>
        <w:t>[[@BibleTOBIBLE:Ru 1:1]]</w:t>
      </w:r>
      <w:r>
        <w:rPr>
          <w:b/>
        </w:rPr>
        <w:t>1</w:t>
      </w:r>
      <w:r>
        <w:rPr/>
        <w:t xml:space="preserve"> {{field-on:bible}} </w:t>
      </w:r>
      <w:r>
        <w:rPr>
          <w:rStyle w:val="Funotenanker"/>
        </w:rPr>
        <w:footnoteReference w:customMarkFollows="1" w:id="151"/>
        <w:t>Status</w:t>
      </w:r>
      <w:r>
        <w:rPr/>
        <w:t xml:space="preserve"> Zur Zeit </w:t>
      </w:r>
      <w:r>
        <w:rPr>
          <w:color w:val="808080"/>
        </w:rPr>
        <w:t>(in den Tagen)</w:t>
      </w:r>
      <w:r>
        <w:rPr/>
        <w:t xml:space="preserve"> des Richtens der Richter</w:t>
      </w:r>
      <w:r>
        <w:rPr>
          <w:rStyle w:val="Funotenanker"/>
        </w:rPr>
        <w:footnoteReference w:customMarkFollows="1" w:id="152"/>
        <w:t>a</w:t>
      </w:r>
      <w:r>
        <w:rPr/>
        <w:t xml:space="preserve"> war </w:t>
      </w:r>
      <w:r>
        <w:rPr>
          <w:color w:val="808080"/>
        </w:rPr>
        <w:t>(herrschte)</w:t>
      </w:r>
      <w:r>
        <w:rPr/>
        <w:t xml:space="preserve"> eine Hungersnot im Land</w:t>
      </w:r>
      <w:r>
        <w:rPr>
          <w:rStyle w:val="Funotenanker"/>
        </w:rPr>
        <w:footnoteReference w:customMarkFollows="1" w:id="153"/>
        <w:t>b</w:t>
      </w:r>
      <w:r>
        <w:rPr/>
        <w:t xml:space="preserve"> </w:t>
      </w:r>
      <w:r>
        <w:rPr>
          <w:color w:val="808080"/>
        </w:rPr>
        <w:t>(kam eine Hungersnot über das Land)</w:t>
      </w:r>
      <w:r>
        <w:rPr/>
        <w:t>. Da verließ</w:t>
      </w:r>
      <w:r>
        <w:rPr>
          <w:rStyle w:val="Funotenanker"/>
        </w:rPr>
        <w:footnoteReference w:customMarkFollows="1" w:id="154"/>
        <w:t>c</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55"/>
        <w:t>d</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56"/>
        <w:t>e</w:t>
      </w:r>
      <w:r>
        <w:rPr/>
        <w:t xml:space="preserve"> Moab</w:t>
      </w:r>
      <w:r>
        <w:rPr>
          <w:rStyle w:val="Funotenanker"/>
        </w:rPr>
        <w:footnoteReference w:customMarkFollows="1" w:id="157"/>
        <w:t>f</w:t>
      </w:r>
      <w:r>
        <w:rPr/>
        <w:t xml:space="preserve"> niederzulassen</w:t>
      </w:r>
      <w:r>
        <w:rPr>
          <w:rStyle w:val="Funotenanker"/>
        </w:rPr>
        <w:footnoteReference w:customMarkFollows="1" w:id="158"/>
        <w:t>g</w:t>
      </w:r>
      <w:r>
        <w:rPr/>
        <w:t xml:space="preserve"> - er, seine Frau und seine beiden Söhne</w:t>
      </w:r>
      <w:r>
        <w:rPr>
          <w:rStyle w:val="Funotenanker"/>
        </w:rPr>
        <w:footnoteReference w:customMarkFollows="1" w:id="159"/>
        <w:t>h</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0"/>
        <w:t>i</w:t>
      </w:r>
      <w:r>
        <w:rPr/>
        <w:t xml:space="preserve"> Machlon </w:t>
      </w:r>
      <w:r>
        <w:rPr>
          <w:color w:val="808080"/>
        </w:rPr>
        <w:t>(krank?)</w:t>
      </w:r>
      <w:r>
        <w:rPr/>
        <w:t xml:space="preserve"> </w:t>
      </w:r>
      <w:r>
        <w:rPr>
          <w:rStyle w:val="Funotenanker"/>
        </w:rPr>
        <w:footnoteReference w:customMarkFollows="1" w:id="161"/>
        <w:t>j</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2"/>
        <w:t>k</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3"/>
        <w:t>l</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4"/>
        <w:t>m</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65"/>
        <w:t>n</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66"/>
        <w:t>o</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67"/>
        <w:t>p</w:t>
      </w:r>
      <w:r>
        <w:rPr/>
        <w:t xml:space="preserve"> - sie und ihre Schwiegertöchter</w:t>
      </w:r>
      <w:r>
        <w:rPr>
          <w:rStyle w:val="Funotenanker"/>
        </w:rPr>
        <w:footnoteReference w:customMarkFollows="1" w:id="168"/>
        <w:t>q</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69"/>
        <w:t>r</w:t>
      </w:r>
      <w:r>
        <w:rPr/>
        <w:t xml:space="preserve">, dass </w:t>
      </w:r>
      <w:r>
        <w:rPr>
          <w:smallCaps/>
          <w:color w:val="FF0000"/>
        </w:rPr>
        <w:t>JHWH</w:t>
      </w:r>
      <w:r>
        <w:rPr/>
        <w:t xml:space="preserve"> sein Volk besucht hatte</w:t>
      </w:r>
      <w:r>
        <w:rPr>
          <w:rStyle w:val="Funotenanker"/>
        </w:rPr>
        <w:footnoteReference w:customMarkFollows="1" w:id="170"/>
        <w:t>s</w:t>
      </w:r>
      <w:r>
        <w:rPr/>
        <w:t>, indem er ihm Brot</w:t>
      </w:r>
      <w:r>
        <w:rPr>
          <w:rStyle w:val="Funotenanker"/>
        </w:rPr>
        <w:footnoteReference w:customMarkFollows="1" w:id="171"/>
        <w:t>t</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2"/>
        <w:t>u</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3"/>
        <w:t>v</w:t>
      </w:r>
      <w:r>
        <w:rPr/>
        <w:t>, jede in das Haus ihrer</w:t>
      </w:r>
      <w:r>
        <w:rPr>
          <w:rStyle w:val="Funotenanker"/>
        </w:rPr>
        <w:footnoteReference w:customMarkFollows="1" w:id="174"/>
        <w:t>w</w:t>
      </w:r>
      <w:r>
        <w:rPr/>
        <w:t xml:space="preserve"> Mutter</w:t>
      </w:r>
      <w:r>
        <w:rPr>
          <w:rStyle w:val="Funotenanker"/>
        </w:rPr>
        <w:footnoteReference w:customMarkFollows="1" w:id="175"/>
        <w:t>x</w:t>
      </w:r>
      <w:r>
        <w:rPr/>
        <w:t>!</w:t>
      </w:r>
      <w:r>
        <w:rPr>
          <w:rStyle w:val="Funotenanker"/>
        </w:rPr>
        <w:footnoteReference w:customMarkFollows="1" w:id="176"/>
        <w:t>y</w:t>
      </w:r>
      <w:r>
        <w:rPr/>
        <w:t xml:space="preserve"> </w:t>
      </w:r>
      <w:r>
        <w:rPr>
          <w:smallCaps/>
          <w:color w:val="FF0000"/>
        </w:rPr>
        <w:t>JHWH</w:t>
      </w:r>
      <w:r>
        <w:rPr/>
        <w:t xml:space="preserve"> erweise euch Güte</w:t>
      </w:r>
      <w:r>
        <w:rPr>
          <w:rStyle w:val="Funotenanker"/>
        </w:rPr>
        <w:footnoteReference w:customMarkFollows="1" w:id="177"/>
        <w:t>z</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78"/>
        <w:t>aa</w:t>
      </w:r>
      <w:r>
        <w:rPr/>
        <w:t xml:space="preserve"> findet</w:t>
      </w:r>
      <w:r>
        <w:rPr>
          <w:rStyle w:val="Funotenanker"/>
        </w:rPr>
        <w:footnoteReference w:customMarkFollows="1" w:id="179"/>
        <w:t>ab</w:t>
      </w:r>
      <w:r>
        <w:rPr/>
        <w:t xml:space="preserve"> - jede im Haus ihres Mannes</w:t>
      </w:r>
      <w:r>
        <w:rPr>
          <w:rStyle w:val="Funotenanker"/>
        </w:rPr>
        <w:footnoteReference w:customMarkFollows="1" w:id="180"/>
        <w:t>ac</w:t>
      </w:r>
      <w:r>
        <w:rPr/>
        <w:t>!“ - und sie küsste sie. Da erhoben sie ihre Stimmen, weinten</w:t>
      </w:r>
      <w:r>
        <w:rPr>
          <w:rStyle w:val="Funotenanker"/>
        </w:rPr>
        <w:footnoteReference w:customMarkFollows="1" w:id="181"/>
        <w:t>ad</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2"/>
        <w:t>ae</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3"/>
        <w:t>af</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4"/>
        <w:t>ag</w:t>
      </w:r>
      <w:r>
        <w:rPr/>
        <w:t xml:space="preserve"> </w:t>
      </w:r>
      <w:r>
        <w:rPr>
          <w:b/>
          <w:color w:val="808080"/>
        </w:rPr>
        <w:t>[</w:t>
      </w:r>
      <w:r>
        <w:rPr/>
        <w:t>selbst, wenn</w:t>
      </w:r>
      <w:r>
        <w:rPr>
          <w:b/>
          <w:color w:val="808080"/>
        </w:rPr>
        <w:t>]</w:t>
      </w:r>
      <w:r>
        <w:rPr/>
        <w:t xml:space="preserve"> </w:t>
      </w:r>
      <w:r>
        <w:rPr>
          <w:rStyle w:val="Funotenanker"/>
        </w:rPr>
        <w:footnoteReference w:customMarkFollows="1" w:id="185"/>
        <w:t>ah</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86"/>
        <w:t>ai</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87"/>
        <w:t>aj</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88"/>
        <w:t>ak</w:t>
      </w:r>
      <w:r>
        <w:rPr/>
        <w:t xml:space="preserve"> Nein, meine Töchter! Ach, mir ist es um euretwillen sehr bitter, dass</w:t>
      </w:r>
      <w:r>
        <w:rPr>
          <w:rStyle w:val="Funotenanker"/>
        </w:rPr>
        <w:footnoteReference w:customMarkFollows="1" w:id="189"/>
        <w:t>al</w:t>
      </w:r>
      <w:r>
        <w:rPr/>
        <w:t xml:space="preserve"> die Hand </w:t>
      </w:r>
      <w:r>
        <w:rPr>
          <w:smallCaps/>
          <w:color w:val="FF0000"/>
        </w:rPr>
        <w:t>JHWH</w:t>
      </w:r>
      <w:r>
        <w:rPr/>
        <w:t>s gegen mich ging</w:t>
      </w:r>
      <w:r>
        <w:rPr>
          <w:rStyle w:val="Funotenanker"/>
        </w:rPr>
        <w:footnoteReference w:customMarkFollows="1" w:id="190"/>
        <w:t>am</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1"/>
        <w:t>an</w:t>
      </w:r>
      <w:r>
        <w:rPr/>
        <w:t xml:space="preserve">.Dann küsste Orpa ihre Schwiegermutter und </w:t>
      </w:r>
      <w:r>
        <w:rPr>
          <w:color w:val="808080"/>
        </w:rPr>
        <w:t>(aber)</w:t>
      </w:r>
      <w:r>
        <w:rPr/>
        <w:t xml:space="preserve"> Rut hängte sich an sie.</w:t>
      </w:r>
      <w:r>
        <w:rPr>
          <w:rStyle w:val="Funotenanker"/>
        </w:rPr>
        <w:footnoteReference w:customMarkFollows="1" w:id="192"/>
        <w:t>ao</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3"/>
        <w:t>ap</w:t>
      </w:r>
      <w:r>
        <w:rPr/>
        <w:t xml:space="preserve">, deine Schwägerin kehrt zu ihrem Volk und ihrem Gott </w:t>
      </w:r>
      <w:r>
        <w:rPr>
          <w:color w:val="808080"/>
        </w:rPr>
        <w:t>(ihren Göttern)</w:t>
      </w:r>
      <w:r>
        <w:rPr/>
        <w:t xml:space="preserve"> zurück</w:t>
      </w:r>
      <w:r>
        <w:rPr>
          <w:rStyle w:val="Funotenanker"/>
        </w:rPr>
        <w:footnoteReference w:customMarkFollows="1" w:id="194"/>
        <w:t>aq</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195"/>
        <w:t>ar</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196"/>
        <w:t>as</w:t>
      </w:r>
      <w:r>
        <w:rPr/>
        <w:t xml:space="preserve"> der Tod uns scheiden wird.</w:t>
      </w:r>
      <w:r>
        <w:rPr>
          <w:rStyle w:val="Funotenanker"/>
        </w:rPr>
        <w:footnoteReference w:customMarkFollows="1" w:id="197"/>
        <w:t>at</w:t>
      </w:r>
      <w:r>
        <w:rPr/>
        <w:t xml:space="preserve">«{{field-off:bible}} </w:t>
        <w:br/>
        <w:t>[[@BibleTOBIBLE:Ru 1:18]]</w:t>
      </w:r>
      <w:r>
        <w:rPr>
          <w:b/>
        </w:rPr>
        <w:t>18</w:t>
      </w:r>
      <w:r>
        <w:rPr/>
        <w:t xml:space="preserve"> {{field-on:bible}}Da sah sie, wie entschlossen</w:t>
      </w:r>
      <w:r>
        <w:rPr>
          <w:rStyle w:val="Funotenanker"/>
        </w:rPr>
        <w:footnoteReference w:customMarkFollows="1" w:id="198"/>
        <w:t>au</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199"/>
        <w:t>av</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0"/>
        <w:t>aw</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1"/>
        <w:t>ax</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2"/>
        <w:t>ay</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3"/>
        <w:t>az</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4"/>
        <w:t>ba</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05"/>
        <w:t>bb</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06"/>
        <w:t>bc</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07"/>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w:t>
      </w:r>
      <w:r>
        <w:rPr>
          <w:rStyle w:val="Funotenanker"/>
        </w:rPr>
        <w:footnoteReference w:customMarkFollows="1" w:id="208"/>
        <w:t>b</w:t>
      </w:r>
      <w:r>
        <w:rPr/>
        <w:t xml:space="preserve"> Schon das ist rechtlich wohl nicht ganz astrein; vermutlich konnte Rut aber sogar prinzipiell diese Armenrechte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Rut 1).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09"/>
        <w:t>Status</w:t>
      </w:r>
      <w:r>
        <w:rPr/>
        <w:t xml:space="preserve"> Noomi hatte einen Verwandten </w:t>
      </w:r>
      <w:r>
        <w:rPr>
          <w:color w:val="808080"/>
        </w:rPr>
        <w:t>(Bekannten)</w:t>
      </w:r>
      <w:r>
        <w:rPr/>
        <w:t xml:space="preserve"> </w:t>
      </w:r>
      <w:r>
        <w:rPr>
          <w:rStyle w:val="Funotenanker"/>
        </w:rPr>
        <w:footnoteReference w:customMarkFollows="1" w:id="210"/>
        <w:t>c</w:t>
      </w:r>
      <w:r>
        <w:rPr/>
        <w:t xml:space="preserve"> ihres Mannes; einen mächtigen, fähigen Mann</w:t>
      </w:r>
      <w:r>
        <w:rPr>
          <w:rStyle w:val="Funotenanker"/>
        </w:rPr>
        <w:footnoteReference w:customMarkFollows="1" w:id="211"/>
        <w:t>d</w:t>
      </w:r>
      <w:r>
        <w:rPr/>
        <w:t xml:space="preserve"> aus der Sippe Elimelechs</w:t>
      </w:r>
      <w:r>
        <w:rPr>
          <w:rStyle w:val="Funotenanker"/>
        </w:rPr>
        <w:footnoteReference w:customMarkFollows="1" w:id="212"/>
        <w:t>e</w:t>
      </w:r>
      <w:r>
        <w:rPr/>
        <w:t xml:space="preserve">. Sein Name war: Boas </w:t>
      </w:r>
      <w:r>
        <w:rPr>
          <w:color w:val="808080"/>
        </w:rPr>
        <w:t>(in ihm ist Kraft, der Scharfsinnige)</w:t>
      </w:r>
      <w:r>
        <w:rPr/>
        <w:t xml:space="preserve"> </w:t>
      </w:r>
      <w:r>
        <w:rPr>
          <w:rStyle w:val="Funotenanker"/>
        </w:rPr>
        <w:footnoteReference w:customMarkFollows="1" w:id="213"/>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4"/>
        <w:t>g</w:t>
      </w:r>
      <w:r>
        <w:rPr/>
        <w:t xml:space="preserve"> gehen</w:t>
      </w:r>
      <w:r>
        <w:rPr>
          <w:rStyle w:val="Funotenanker"/>
        </w:rPr>
        <w:footnoteReference w:customMarkFollows="1" w:id="215"/>
        <w:t>h</w:t>
      </w:r>
      <w:r>
        <w:rPr/>
        <w:t xml:space="preserve"> und an den Ähren mitlesen</w:t>
      </w:r>
      <w:r>
        <w:rPr>
          <w:rStyle w:val="Funotenanker"/>
        </w:rPr>
        <w:footnoteReference w:customMarkFollows="1" w:id="216"/>
        <w:t>i</w:t>
      </w:r>
      <w:r>
        <w:rPr/>
        <w:t xml:space="preserve"> hinter dem, in dessen Augen ich Gefallen finde</w:t>
      </w:r>
      <w:r>
        <w:rPr>
          <w:rStyle w:val="Funotenanker"/>
        </w:rPr>
        <w:footnoteReference w:customMarkFollows="1" w:id="217"/>
        <w:t>j</w:t>
      </w:r>
      <w:r>
        <w:rPr/>
        <w:t>.“ Sie sagte zu ihr: „Geh, meine Tochter!“</w:t>
      </w:r>
      <w:r>
        <w:rPr>
          <w:rStyle w:val="Funotenanker"/>
        </w:rPr>
        <w:footnoteReference w:customMarkFollows="1" w:id="218"/>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19"/>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0"/>
        <w:t>m</w:t>
      </w:r>
      <w:r>
        <w:rPr/>
        <w:t xml:space="preserve"> Zufällig geriet sie</w:t>
      </w:r>
      <w:r>
        <w:rPr>
          <w:rStyle w:val="Funotenanker"/>
        </w:rPr>
        <w:footnoteReference w:customMarkFollows="1" w:id="221"/>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2"/>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3"/>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4"/>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25"/>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26"/>
        <w:t>s</w:t>
      </w:r>
      <w:r>
        <w:rPr/>
        <w:t>.</w:t>
      </w:r>
      <w:r>
        <w:rPr>
          <w:rStyle w:val="Funotenanker"/>
        </w:rPr>
        <w:footnoteReference w:customMarkFollows="1" w:id="227"/>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28"/>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29"/>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0"/>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1"/>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2"/>
        <w:t>y</w:t>
      </w:r>
      <w:r>
        <w:rPr/>
        <w:t xml:space="preserve">. Gehe hinter ihnen </w:t>
      </w:r>
      <w:r>
        <w:rPr>
          <w:color w:val="808080"/>
        </w:rPr>
        <w:t>(zusammen mit ihnen)</w:t>
      </w:r>
      <w:r>
        <w:rPr/>
        <w:t xml:space="preserve"> </w:t>
      </w:r>
      <w:r>
        <w:rPr>
          <w:rStyle w:val="Funotenanker"/>
        </w:rPr>
        <w:footnoteReference w:customMarkFollows="1" w:id="233"/>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4"/>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35"/>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36"/>
        <w:t>ac</w:t>
      </w:r>
      <w:r>
        <w:rPr/>
        <w:t xml:space="preserve"> ihr: „Berichtet </w:t>
      </w:r>
      <w:r>
        <w:rPr>
          <w:strike/>
          <w:color w:val="808080"/>
        </w:rPr>
        <w:t>{berichtet}</w:t>
      </w:r>
      <w:r>
        <w:rPr/>
        <w:t xml:space="preserve"> </w:t>
      </w:r>
      <w:r>
        <w:rPr>
          <w:rStyle w:val="Funotenanker"/>
        </w:rPr>
        <w:footnoteReference w:customMarkFollows="1" w:id="237"/>
        <w:t>ad</w:t>
      </w:r>
      <w:r>
        <w:rPr/>
        <w:t xml:space="preserve"> wurde mir alles, was du für deine Schwiegermutter nach dem Tod deines Mannes getan hast</w:t>
      </w:r>
      <w:r>
        <w:rPr>
          <w:rStyle w:val="Funotenanker"/>
        </w:rPr>
        <w:footnoteReference w:customMarkFollows="1" w:id="238"/>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39"/>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0"/>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1"/>
        <w:t>ah</w:t>
      </w:r>
      <w:r>
        <w:rPr/>
        <w:t>, mein Herr</w:t>
      </w:r>
      <w:r>
        <w:rPr>
          <w:rStyle w:val="Funotenanker"/>
        </w:rPr>
        <w:footnoteReference w:customMarkFollows="1" w:id="242"/>
        <w:t>ai</w:t>
      </w:r>
      <w:r>
        <w:rPr/>
        <w:t>, weil du mich getröstet und weil du zum Herzen deiner Magd gesprochen hast</w:t>
      </w:r>
      <w:r>
        <w:rPr>
          <w:rStyle w:val="Funotenanker"/>
        </w:rPr>
        <w:footnoteReference w:customMarkFollows="1" w:id="243"/>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4"/>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45"/>
        <w:t>al</w:t>
      </w:r>
      <w:r>
        <w:rPr/>
        <w:t xml:space="preserve"> </w:t>
      </w:r>
      <w:r>
        <w:rPr>
          <w:color w:val="808080"/>
        </w:rPr>
        <w:t>)</w:t>
      </w:r>
      <w:r>
        <w:rPr/>
        <w:t>! Iss von dem Brot und tunke deinen Brocken in den Essig</w:t>
      </w:r>
      <w:r>
        <w:rPr>
          <w:rStyle w:val="Funotenanker"/>
        </w:rPr>
        <w:footnoteReference w:customMarkFollows="1" w:id="246"/>
        <w:t>am</w:t>
      </w:r>
      <w:r>
        <w:rPr/>
        <w:t>!“ - Also setzte sich sich an die Seite der Schnitter, er reichte</w:t>
      </w:r>
      <w:r>
        <w:rPr>
          <w:rStyle w:val="Funotenanker"/>
        </w:rPr>
        <w:footnoteReference w:customMarkFollows="1" w:id="247"/>
        <w:t>an</w:t>
      </w:r>
      <w:r>
        <w:rPr/>
        <w:t xml:space="preserve"> ihr Röstkorn</w:t>
      </w:r>
      <w:r>
        <w:rPr>
          <w:rStyle w:val="Funotenanker"/>
        </w:rPr>
        <w:footnoteReference w:customMarkFollows="1" w:id="248"/>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49"/>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0"/>
        <w:t>aq</w:t>
      </w:r>
      <w:r>
        <w:rPr/>
        <w:t xml:space="preserve"> aus den Handbündeln</w:t>
      </w:r>
      <w:r>
        <w:rPr>
          <w:rStyle w:val="Funotenanker"/>
        </w:rPr>
        <w:footnoteReference w:customMarkFollows="1" w:id="251"/>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2"/>
        <w:t>as</w:t>
      </w:r>
      <w:r>
        <w:rPr/>
        <w:t xml:space="preserve"> - und es ergab ungefähr ein Efa </w:t>
      </w:r>
      <w:r>
        <w:rPr>
          <w:color w:val="808080"/>
        </w:rPr>
        <w:t>(genau ein Efa, ein ganzes Efa)</w:t>
      </w:r>
      <w:r>
        <w:rPr/>
        <w:t xml:space="preserve"> </w:t>
      </w:r>
      <w:r>
        <w:rPr>
          <w:rStyle w:val="Funotenanker"/>
        </w:rPr>
        <w:footnoteReference w:customMarkFollows="1" w:id="253"/>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4"/>
        <w:t>au</w:t>
      </w:r>
      <w:r>
        <w:rPr/>
        <w:t xml:space="preserve">, kam in die Stadt und zeigte ihrer Schwiegermutter </w:t>
      </w:r>
      <w:r>
        <w:rPr>
          <w:color w:val="808080"/>
        </w:rPr>
        <w:t>(ihre Schwiegermutter sah)</w:t>
      </w:r>
      <w:r>
        <w:rPr/>
        <w:t xml:space="preserve"> </w:t>
      </w:r>
      <w:r>
        <w:rPr>
          <w:rStyle w:val="Funotenanker"/>
        </w:rPr>
        <w:footnoteReference w:customMarkFollows="1" w:id="255"/>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56"/>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57"/>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58"/>
        <w:t>ay</w:t>
      </w:r>
      <w:r>
        <w:rPr/>
        <w:t>, der nicht von seiner Treue zu den Lebenden und den Toten abgelassen hat</w:t>
      </w:r>
      <w:r>
        <w:rPr>
          <w:rStyle w:val="Funotenanker"/>
        </w:rPr>
        <w:footnoteReference w:customMarkFollows="1" w:id="259"/>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0"/>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1"/>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2"/>
        <w:t>bc</w:t>
      </w:r>
      <w:r>
        <w:rPr/>
        <w:t xml:space="preserve"> er zu mir gesagt hat: »An die Jungen</w:t>
      </w:r>
      <w:r>
        <w:rPr>
          <w:rStyle w:val="Funotenanker"/>
        </w:rPr>
        <w:footnoteReference w:customMarkFollows="1" w:id="263"/>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4"/>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3"/>
        <w:rPr/>
      </w:pPr>
      <w:r>
        <w:rPr/>
        <w:t>[[@BibleTOBIBLE:Ru 3]]Kapitel 3</w:t>
      </w:r>
    </w:p>
    <w:p>
      <w:pPr>
        <w:pStyle w:val="Textkrper"/>
        <w:rPr/>
      </w:pPr>
      <w:r>
        <w:rPr/>
        <w:t xml:space="preserve">Rut 3 schildert in Vv. 1-5, wie Noomi einen Plan entwickelt, Rut erneut „unter die Haube zu bringen“ und in Vv. 6-15, wie Rut diesen Plan in die Tat umsetzt und wie Boas darauf reagiert. Wie dieser Plan zu bewerten ist, wird gar nicht expliziert. Es ist aber dennoch klar, da seine Entwicklung in Vv. 1-4 im Leser gewisse Vorerwartungen weckt, indem er drei weitere Bibelstellen einspielt, vor deren Hintergrund Rut 3 gelesen werden muss: Gen 19,30-38 berichtet von der Angst der beiden Töchter Lots, keine Nachkommen mehr bekommen zu können, und wie sie daher ihren Vater betrunken machen, warten, bis er schläft, und dann heimlich zu ihm gehen, um ihn zu vergewaltigen. Die eine der beiden Töchter wird so zur Stammmutter der Moabiter. Auch in Num 25 wird von sexuellen Zügellosigkeit von Mobiterinnen berichtet. Und Gen 38, auf das im Rutbuch noch häufiger angespielt wird, berichtet am Ende davon, wie Tamar sich verkleidet, um ihren Schwiegervater dazu zu bringen, sie zu schwängern. Wenn hier also Noomi der Moabiterin Rut aufträgt, zu warten, bis Boas eingeschlafen ist, sich dann im Schutz der Nacht zu ihm auf die Tenne (s. Hos 9,1: Die Tenne als Ort der Unzucht) zu schleichen, sich aber nicht von ihm erkennen zu lassen, und dann in V. 4 gleich mehrere Anspielungen auf den Geschlechtsakt macht, ist klar, was Noomi vorschwebt: Rut soll Boas durch einen umoralischen „bed trick“ (Harold Fisch) zum Ja-Wort verführen. So unmoralisch ist der Plan, dass Rut nach einer alten jüdischen Überlieferung sogar überzeugt ist, getötet zu werden, wenn sie gemäß Noomis Plan handelt. &lt;small&gt;&lt;u&gt;Exkurs&lt;/u&gt;: Zur Theologie des Rutbuches: Wegen dieser moralischen Fragwürdigkeit muss hier auf eine theologische Eigenart des Rutbuches hingewiesen werden: Das „Verschmelzen des Handelns Gottes und der Menschen“ (Thompson 1993, S. 203): * In Rut 1,6 heißt es, dass </w:t>
      </w:r>
      <w:r>
        <w:rPr>
          <w:rStyle w:val="Funotenanker"/>
        </w:rPr>
        <w:footnoteReference w:customMarkFollows="1" w:id="265"/>
        <w:t>a</w:t>
      </w:r>
      <w:r>
        <w:rPr/>
        <w:t xml:space="preserve"> Israel wieder „Brot gegeben“ habe - doch das Brot von Noomi und Rut stammt von Boas. * In Rut 2,12 verwendet Boas die sog. „Lohnknecht-Metapher“</w:t>
      </w:r>
      <w:r>
        <w:rPr>
          <w:rStyle w:val="Funotenanker"/>
        </w:rPr>
        <w:footnoteReference w:customMarkFollows="1" w:id="266"/>
        <w:t>b</w:t>
      </w:r>
      <w:r>
        <w:rPr/>
        <w:t xml:space="preserve"> und stellt so </w:t>
      </w:r>
      <w:r>
        <w:rPr>
          <w:rStyle w:val="Funotenanker"/>
        </w:rPr>
        <w:footnoteReference w:customMarkFollows="1" w:id="267"/>
        <w:t>c</w:t>
      </w:r>
      <w:r>
        <w:rPr/>
        <w:t xml:space="preserve"> als Lohnherrn der Rut vor („</w:t>
      </w:r>
      <w:r>
        <w:rPr>
          <w:rStyle w:val="Funotenanker"/>
        </w:rPr>
        <w:footnoteReference w:customMarkFollows="1" w:id="268"/>
        <w:t>d</w:t>
      </w:r>
      <w:r>
        <w:rPr/>
        <w:t xml:space="preserve"> vergelte dein Tun und dein Lohn sei voll von JHWH, dem Gott Israel“) - doch auch hier: Der Lohn für die Arbeit Ruts stammt von Boas.</w:t>
      </w:r>
      <w:r>
        <w:rPr>
          <w:rStyle w:val="Funotenanker"/>
        </w:rPr>
        <w:footnoteReference w:customMarkFollows="1" w:id="269"/>
        <w:t>e</w:t>
      </w:r>
      <w:r>
        <w:rPr/>
        <w:t xml:space="preserve"> * Zu diesem Phänomen gehört auch die Ambiguität von Rut 2,20, wo unsicher ist, ob der Relativsatz auf Boas oder </w:t>
      </w:r>
      <w:r>
        <w:rPr>
          <w:rStyle w:val="Funotenanker"/>
        </w:rPr>
        <w:footnoteReference w:customMarkFollows="1" w:id="270"/>
        <w:t>f</w:t>
      </w:r>
      <w:r>
        <w:rPr/>
        <w:t xml:space="preserve"> zu beziehen ist (s. FN ax).</w:t>
      </w:r>
      <w:r>
        <w:rPr>
          <w:rStyle w:val="Funotenanker"/>
        </w:rPr>
        <w:footnoteReference w:customMarkFollows="1" w:id="271"/>
        <w:t>g</w:t>
      </w:r>
      <w:r>
        <w:rPr/>
        <w:t xml:space="preserve"> * Für sein Handeln in Kap. 2 wird Boas in Rut 2,20 von Noomi auch noch gesegnet und sein Handeln durch das Schlüsselwort chesed („Güte“) charakterisiert, das in der Bibel - und auch im Rutbuch, s. Rut 1,8 - den Wesenszug </w:t>
      </w:r>
      <w:r>
        <w:rPr>
          <w:rStyle w:val="Funotenanker"/>
        </w:rPr>
        <w:footnoteReference w:customMarkFollows="1" w:id="272"/>
        <w:t>h</w:t>
      </w:r>
      <w:r>
        <w:rPr/>
        <w:t>s schlechthin ausdrückt.</w:t>
      </w:r>
      <w:r>
        <w:rPr>
          <w:rStyle w:val="Funotenanker"/>
        </w:rPr>
        <w:footnoteReference w:customMarkFollows="1" w:id="273"/>
        <w:t>i</w:t>
      </w:r>
      <w:r>
        <w:rPr/>
        <w:t xml:space="preserve">. * Deutlich gehört dazu auch Ruts Bitte in Rut 3,9, mit der sie Boas bittet, seinen „Mantelsaum“ über sie zu breiten: In Rut 2,12 verwendet Boas die selbe Formulierung, als er davon spricht, dass Rut unter </w:t>
      </w:r>
      <w:r>
        <w:rPr>
          <w:rStyle w:val="Funotenanker"/>
        </w:rPr>
        <w:footnoteReference w:customMarkFollows="1" w:id="274"/>
        <w:t>j</w:t>
      </w:r>
      <w:r>
        <w:rPr/>
        <w:t>s „Flügeln“ Schutz suchen wolle.</w:t>
      </w:r>
      <w:r>
        <w:rPr>
          <w:rStyle w:val="Funotenanker"/>
        </w:rPr>
        <w:footnoteReference w:customMarkFollows="1" w:id="275"/>
        <w:t>k</w:t>
      </w:r>
      <w:r>
        <w:rPr/>
        <w:t xml:space="preserve"> * Ebenso wie Boas in Rut 2,20 wird auch Rut in Rut 3,10 für ihr Handeln in Rut 1 und in unserem Kapitel gesegnet und auch ihr Handeln wird durch das Wort chesed charakterisiert. * In Rut 3,12 kündet Boas sein zukünfiges Handeln sogar in Form eines Heilsorakels an („Fürchte dich nicht...“), mit dem sonst heilbringende Handlungen </w:t>
      </w:r>
      <w:r>
        <w:rPr>
          <w:rStyle w:val="Funotenanker"/>
        </w:rPr>
        <w:footnoteReference w:customMarkFollows="1" w:id="276"/>
        <w:t>l</w:t>
      </w:r>
      <w:r>
        <w:rPr/>
        <w:t>s vorausgesagt werden.</w:t>
      </w:r>
      <w:r>
        <w:rPr>
          <w:rStyle w:val="Funotenanker"/>
        </w:rPr>
        <w:footnoteReference w:customMarkFollows="1" w:id="277"/>
        <w:t>m</w:t>
      </w:r>
      <w:r>
        <w:rPr/>
        <w:t xml:space="preserve"> * In Rut 4,15 findet sich eine ganz ähnliche Ambivalenz wie in 2,20 (s. FN am) * Auffällig ist schließlich in Rut 4,13f., wie </w:t>
      </w:r>
      <w:r>
        <w:rPr>
          <w:rStyle w:val="Funotenanker"/>
        </w:rPr>
        <w:footnoteReference w:customMarkFollows="1" w:id="278"/>
        <w:t>n</w:t>
      </w:r>
      <w:r>
        <w:rPr/>
        <w:t xml:space="preserve"> und die beiden Eheleute bei der Zeugung Obeds zusammenwirken: „Der Nachkomme, den </w:t>
      </w:r>
      <w:r>
        <w:rPr>
          <w:rStyle w:val="Funotenanker"/>
        </w:rPr>
        <w:footnoteReference w:customMarkFollows="1" w:id="279"/>
        <w:t>o</w:t>
      </w:r>
      <w:r>
        <w:rPr/>
        <w:t xml:space="preserve"> dir durch diese junge Frau geben wird... [Boas] schlief mit ihr und JHWH gab ihr Schwangerschaft.“ Ganz ähnliches ist auch hier der Fall: Noomi hat ihren Schwiegertöchtern in Rut 1,9 gewünscht, dass </w:t>
      </w:r>
      <w:r>
        <w:rPr>
          <w:rStyle w:val="Funotenanker"/>
        </w:rPr>
        <w:footnoteReference w:customMarkFollows="1" w:id="280"/>
        <w:t>p</w:t>
      </w:r>
      <w:r>
        <w:rPr/>
        <w:t xml:space="preserve"> ihnen „Ruhe“ - d.h.: eine Heimstatt - geben möge. Doch nun ist es Noomi selbst, die Rut „Ruhe“ verschaffen will, „damit es ihr gut geht“, und ihr deshalb „Gebote gibt“, „denen gemäß Rut handeln“ soll (s. dazu FNn c.o) - auch Noomi wird hier mit </w:t>
      </w:r>
      <w:r>
        <w:rPr>
          <w:rStyle w:val="Funotenanker"/>
        </w:rPr>
        <w:footnoteReference w:customMarkFollows="1" w:id="281"/>
        <w:t>q</w:t>
      </w:r>
      <w:r>
        <w:rPr/>
        <w:t xml:space="preserve"> parallelisiert, und das „damit es dir gut geht“ ist hier gerade nicht die Folge von </w:t>
      </w:r>
      <w:r>
        <w:rPr>
          <w:rStyle w:val="Funotenanker"/>
        </w:rPr>
        <w:footnoteReference w:customMarkFollows="1" w:id="282"/>
        <w:t>r</w:t>
      </w:r>
      <w:r>
        <w:rPr/>
        <w:t xml:space="preserve">s Geboten - sondern von Noomis unmoralischem Plan. Die Parallelisierungen in Rut 1,6 und Rut 2, in Rut 2,12 und Rut 2 und in Rut 2,20 und Rut 2 beziehen sich auf die juristisch problematische Gewährung des Nachleserechts durch Boas; die Parallelisierung in Rut 1,9 und Rut 3,1 auf Noomis moralisch fragwürdigen Plan, Boas zum Ja-Wort zu verführen und die Parallelisierung in Rut 2,20 und Rut 3,9 und die in Rut 4,12f auf Boas rechtswidrige Heirat mit Rut (dazu s. die Anmerkungen zu Kap. 4). Das heißt: gerade dort, wo im Rutbuch Recht gebeugt und gebrochen wird, werden diese Beugungen und Brüche durch die Parallelisierung mit </w:t>
      </w:r>
      <w:r>
        <w:rPr>
          <w:rStyle w:val="Funotenanker"/>
        </w:rPr>
        <w:footnoteReference w:customMarkFollows="1" w:id="283"/>
        <w:t>s</w:t>
      </w:r>
      <w:r>
        <w:rPr/>
        <w:t xml:space="preserve"> wieder „theologisch gerechtfertigt“. Das Rutbuch selbst bietet derart ein „biblisches Modell für die Missachtung des biblischen Rechts“ (Stahlberg 2008, S. 474; vgl. ähnlich z.B. LaCocque 2004, S. 28-32; Nielsen 1997, S. 31f.): Nicht das streng vom biblischen Recht geleitete Handeln ist im Rutbuch „</w:t>
      </w:r>
      <w:r>
        <w:rPr>
          <w:rStyle w:val="Funotenanker"/>
        </w:rPr>
        <w:footnoteReference w:customMarkFollows="1" w:id="284"/>
        <w:t>t</w:t>
      </w:r>
      <w:r>
        <w:rPr/>
        <w:t xml:space="preserve">-mäßig“ und segenswert, sondern das von „Güte“ geleitete und daher bisweilen auch das biblische Recht brechende Handeln. Ein sehr ähnliches Konzept findet sich noch heute in der Orthodoxen Kirche: Man unterscheidet dort die Grundsätze der akribia und der oikonomia. „Akribia“ meint das kirchenrechtliche Prinzip der strengen Befolgung kirchlicher Gesetze, „oikonomia“ dagegen das der „Aufhebung der uneingeschränkten und strikten Durchsetzung der kanonischen und kirchlichen Ordnung aufgrund äußerster Nachgiebigkeit und Milde in christlichem Geist“ (Alivizatos 1998, S. 44). Man könnte also sagen: Sinn des Rutbuches ist (auch) die Entwicklung eines Vorläufer-modells des oikonomia-Prinzips.&lt;/small&gt; Vv. 1-4 wecken also gewisse Erwartungen im Leser. Er weiß: Rut ist Moabiterin. Möglicherweise hat er also deshalb sogar schon von Anfang an das Vorurteil, bei Rut müsse sich um eine liederliche Frau handeln. Spätestens, nachdem Noomi Rut ihren „bed trick“ vorgestellt hat, hat er jedenfalls entsprechende Erwartungen von der folgenden Handlungen. In Vv. 6-11 aber wird mit diesen Vorurteilen gründlich aufgeräumt:Zunächst werden die Vorerwartungen des Lesers gleich mehrfach bestärkt: In V. 5 durch das uneingeschränkte Gehorsamkeitsgelöbnis der Rut, in V. 6 durch die Vorwegnahme, dass Rut in der Tat alles so ausführe, wie ihre Schwiegermutter es ihr aufgetragen hatte, und in V. 7 durch die Schilderung dieser Ausführung. V. 8 berichtet dann, wie Boas die Frau bemerkt, als er sich abtastet, und mit all seinen immer mehr bestärkten Vorerwartungen liest der Leser weiter und - wird enttäuscht. Denn was folgt, ist keine Szene der Verführung, sondern ein Heiratsantrag. Und nicht nur das: In V. 9 räumt Boas gleich auch noch sämtliche Vorurteile aus, die noch bestehen bleiben hätten können: Nicht nur hat Rut mit ihm keine Unzucht getrieben, sondern auch zuvor hat sie mit keinem Jungen - ob arm oder reich - angebandelt (V. 10). Und nicht nur dies ist ein Erweis der Rechtschaffenheit Ruts, sondern es ist sogar so, dass das gesamte Volk des Boas ohnehin schon weiß, dass es sich bei Rut um eine „tolle Frau“ handelt - und daher wird er ihrem Wunsch nachkommen und sie ehelichen. Rut 3,1-11 bringt also gleich zwei Gründe, warum Boas trotz geltendem Recht Rut heiraten wird: (1) Es ist das „Gute“ und damit das Richtige; (2) die Gründe, die gegen eine Heirat mit Moabiterinnen sprechen - in diesem Fall ihre Unzüchtigkeit (s. Num 25 und die dortigen Anmerkungen) treffen zumindest im Falle der Rut ohnehin nicht zu. </w:t>
        <w:br/>
        <w:br/>
        <w:t>[[@BibleTOBIBLE:Ru 3:1]]</w:t>
      </w:r>
      <w:r>
        <w:rPr>
          <w:b/>
        </w:rPr>
        <w:t>1</w:t>
      </w:r>
      <w:r>
        <w:rPr/>
        <w:t xml:space="preserve"> {{field-on:bible}} </w:t>
      </w:r>
      <w:r>
        <w:rPr>
          <w:rStyle w:val="Funotenanker"/>
        </w:rPr>
        <w:footnoteReference w:customMarkFollows="1" w:id="285"/>
        <w:t>Status</w:t>
      </w:r>
      <w:r>
        <w:rPr/>
        <w:t xml:space="preserve"> </w:t>
      </w:r>
      <w:r>
        <w:rPr>
          <w:b/>
          <w:color w:val="808080"/>
        </w:rPr>
        <w:t>[</w:t>
      </w:r>
      <w:r>
        <w:rPr/>
        <w:t>Eines Tages</w:t>
      </w:r>
      <w:r>
        <w:rPr>
          <w:b/>
          <w:color w:val="808080"/>
        </w:rPr>
        <w:t>]</w:t>
      </w:r>
      <w:r>
        <w:rPr/>
        <w:t xml:space="preserve"> sprach Noomi, ihre Schwiegermutter, zu ihr: „Meine Tochter, will ich nicht</w:t>
      </w:r>
      <w:r>
        <w:rPr>
          <w:rStyle w:val="Funotenanker"/>
        </w:rPr>
        <w:footnoteReference w:customMarkFollows="1" w:id="286"/>
        <w:t>u</w:t>
      </w:r>
      <w:r>
        <w:rPr/>
        <w:t xml:space="preserve"> für dich Ruhe </w:t>
      </w:r>
      <w:r>
        <w:rPr>
          <w:color w:val="808080"/>
        </w:rPr>
        <w:t>(eine Heimstatt)</w:t>
      </w:r>
      <w:r>
        <w:rPr/>
        <w:t xml:space="preserve"> </w:t>
      </w:r>
      <w:r>
        <w:rPr>
          <w:rStyle w:val="Funotenanker"/>
        </w:rPr>
        <w:footnoteReference w:customMarkFollows="1" w:id="287"/>
        <w:t>v</w:t>
      </w:r>
      <w:r>
        <w:rPr/>
        <w:t xml:space="preserve"> suchen, damit </w:t>
      </w:r>
      <w:r>
        <w:rPr>
          <w:color w:val="808080"/>
        </w:rPr>
        <w:t>(wo)</w:t>
      </w:r>
      <w:r>
        <w:rPr/>
        <w:t xml:space="preserve"> es dir gut geht?</w:t>
      </w:r>
      <w:r>
        <w:rPr>
          <w:rStyle w:val="Funotenanker"/>
        </w:rPr>
        <w:footnoteReference w:customMarkFollows="1" w:id="288"/>
        <w:t>w</w:t>
      </w:r>
      <w:r>
        <w:rPr/>
        <w:t xml:space="preserve"> {{field-off:bible}} </w:t>
        <w:br/>
        <w:t>[[@BibleTOBIBLE:Ru 3:2]]</w:t>
      </w:r>
      <w:r>
        <w:rPr>
          <w:b/>
        </w:rPr>
        <w:t>2</w:t>
      </w:r>
      <w:r>
        <w:rPr/>
        <w:t xml:space="preserve"> {{field-on:bible}}Und weiter</w:t>
      </w:r>
      <w:r>
        <w:rPr>
          <w:rStyle w:val="Funotenanker"/>
        </w:rPr>
        <w:footnoteReference w:customMarkFollows="1" w:id="289"/>
        <w:t>x</w:t>
      </w:r>
      <w:r>
        <w:rPr/>
        <w:t>: Ist nicht Boas, bei dessen Mägden du warst, unser Verwandter</w:t>
      </w:r>
      <w:r>
        <w:rPr>
          <w:rStyle w:val="Funotenanker"/>
        </w:rPr>
        <w:footnoteReference w:customMarkFollows="1" w:id="290"/>
        <w:t>y</w:t>
      </w:r>
      <w:r>
        <w:rPr/>
        <w:t xml:space="preserve"> </w:t>
      </w:r>
      <w:r>
        <w:rPr>
          <w:color w:val="808080"/>
        </w:rPr>
        <w:t>(ist nicht Boas unser Verwandter, bei dessen Mägden du warst)</w:t>
      </w:r>
      <w:r>
        <w:rPr/>
        <w:t>? Siehe, dieser wird heute Nacht Gerste auf der Gerstentenne worfeln</w:t>
      </w:r>
      <w:r>
        <w:rPr>
          <w:rStyle w:val="Funotenanker"/>
        </w:rPr>
        <w:footnoteReference w:customMarkFollows="1" w:id="291"/>
        <w:t>z</w:t>
      </w:r>
      <w:r>
        <w:rPr/>
        <w:t xml:space="preserve">.{{field-off:bible}} </w:t>
        <w:br/>
        <w:t>[[@BibleTOBIBLE:Ru 3:3]]</w:t>
      </w:r>
      <w:r>
        <w:rPr>
          <w:b/>
        </w:rPr>
        <w:t>3</w:t>
      </w:r>
      <w:r>
        <w:rPr/>
        <w:t xml:space="preserve"> {{field-on:bible}} </w:t>
      </w:r>
      <w:r>
        <w:rPr>
          <w:b/>
          <w:color w:val="808080"/>
        </w:rPr>
        <w:t>[</w:t>
      </w:r>
      <w:r>
        <w:rPr/>
        <w:t>Daher</w:t>
      </w:r>
      <w:r>
        <w:rPr>
          <w:b/>
          <w:color w:val="808080"/>
        </w:rPr>
        <w:t>]</w:t>
      </w:r>
      <w:r>
        <w:rPr/>
        <w:t xml:space="preserve"> </w:t>
      </w:r>
      <w:r>
        <w:rPr>
          <w:rStyle w:val="Funotenanker"/>
        </w:rPr>
        <w:footnoteReference w:customMarkFollows="1" w:id="292"/>
        <w:t>aa</w:t>
      </w:r>
      <w:r>
        <w:rPr/>
        <w:t xml:space="preserve"> wasche dich, salbe dich, wirf deine Kleider </w:t>
      </w:r>
      <w:r>
        <w:rPr>
          <w:color w:val="808080"/>
        </w:rPr>
        <w:t>(dein Kleid)</w:t>
      </w:r>
      <w:r>
        <w:rPr/>
        <w:t xml:space="preserve"> </w:t>
      </w:r>
      <w:r>
        <w:rPr>
          <w:rStyle w:val="Funotenanker"/>
        </w:rPr>
        <w:footnoteReference w:customMarkFollows="1" w:id="293"/>
        <w:t>ab</w:t>
      </w:r>
      <w:r>
        <w:rPr/>
        <w:t xml:space="preserve"> um dich </w:t>
      </w:r>
      <w:r>
        <w:rPr>
          <w:color w:val="808080"/>
        </w:rPr>
        <w:t>(zieh deine Kleider/dein Kleid an)</w:t>
      </w:r>
      <w:r>
        <w:rPr/>
        <w:t xml:space="preserve"> </w:t>
      </w:r>
      <w:r>
        <w:rPr>
          <w:rStyle w:val="Funotenanker"/>
        </w:rPr>
        <w:footnoteReference w:customMarkFollows="1" w:id="294"/>
        <w:t>ac</w:t>
      </w:r>
      <w:r>
        <w:rPr/>
        <w:t xml:space="preserve"> und geh zur Tenne hinab</w:t>
      </w:r>
      <w:r>
        <w:rPr>
          <w:rStyle w:val="Funotenanker"/>
        </w:rPr>
        <w:footnoteReference w:customMarkFollows="1" w:id="295"/>
        <w:t>ad</w:t>
      </w:r>
      <w:r>
        <w:rPr/>
        <w:t xml:space="preserve">! Lass dich </w:t>
      </w:r>
      <w:r>
        <w:rPr>
          <w:b/>
          <w:color w:val="808080"/>
        </w:rPr>
        <w:t>[</w:t>
      </w:r>
      <w:r>
        <w:rPr/>
        <w:t>aber</w:t>
      </w:r>
      <w:r>
        <w:rPr>
          <w:b/>
          <w:color w:val="808080"/>
        </w:rPr>
        <w:t>]</w:t>
      </w:r>
      <w:r>
        <w:rPr/>
        <w:t xml:space="preserve"> nicht von dem Mann </w:t>
      </w:r>
      <w:r>
        <w:rPr>
          <w:color w:val="808080"/>
        </w:rPr>
        <w:t>(von niemandem)</w:t>
      </w:r>
      <w:r>
        <w:rPr/>
        <w:t xml:space="preserve"> erkennen, bis er mit Essen und Trinken fertig ist!{{field-off:bible}} </w:t>
        <w:br/>
        <w:t>[[@BibleTOBIBLE:Ru 3:4]]</w:t>
      </w:r>
      <w:r>
        <w:rPr>
          <w:b/>
        </w:rPr>
        <w:t>4</w:t>
      </w:r>
      <w:r>
        <w:rPr/>
        <w:t xml:space="preserve"> {{field-on:bible}}Und es soll sein, wenn er sich legt: </w:t>
      </w:r>
      <w:r>
        <w:rPr>
          <w:color w:val="808080"/>
        </w:rPr>
        <w:t>(Wenn er sich legt,)</w:t>
      </w:r>
      <w:r>
        <w:rPr/>
        <w:t xml:space="preserve"> </w:t>
      </w:r>
      <w:r>
        <w:rPr>
          <w:rStyle w:val="Funotenanker"/>
        </w:rPr>
        <w:footnoteReference w:customMarkFollows="1" w:id="296"/>
        <w:t>ae</w:t>
      </w:r>
      <w:r>
        <w:rPr/>
        <w:t xml:space="preserve"> merke dir den Ort, wo er liegt </w:t>
      </w:r>
      <w:r>
        <w:rPr>
          <w:color w:val="808080"/>
        </w:rPr>
        <w:t>(wohin er sich legt)</w:t>
      </w:r>
      <w:r>
        <w:rPr/>
        <w:t xml:space="preserve">, gehe, entblöße seine Beine </w:t>
      </w:r>
      <w:r>
        <w:rPr>
          <w:color w:val="808080"/>
        </w:rPr>
        <w:t>(seine Scham?, decke den Ort seiner Beine auf? Entblöße dich zu seinen Füßen?)</w:t>
      </w:r>
      <w:r>
        <w:rPr/>
        <w:t xml:space="preserve"> </w:t>
      </w:r>
      <w:r>
        <w:rPr>
          <w:rStyle w:val="Funotenanker"/>
        </w:rPr>
        <w:footnoteReference w:customMarkFollows="1" w:id="297"/>
        <w:t>af</w:t>
      </w:r>
      <w:r>
        <w:rPr/>
        <w:t xml:space="preserve"> und lege dich. Er wird dir dann erzählen, was du tun sollst </w:t>
      </w:r>
      <w:r>
        <w:rPr>
          <w:color w:val="808080"/>
        </w:rPr>
        <w:t>(musst)</w:t>
      </w:r>
      <w:r>
        <w:rPr/>
        <w:t xml:space="preserve">.“{{field-off:bible}} </w:t>
        <w:br/>
        <w:t>[[@BibleTOBIBLE:Ru 3:5]]</w:t>
      </w:r>
      <w:r>
        <w:rPr>
          <w:b/>
        </w:rPr>
        <w:t>5</w:t>
      </w:r>
      <w:r>
        <w:rPr/>
        <w:t xml:space="preserve"> {{field-on:bible}}Da antwortete sie ihr: „Alles, was du </w:t>
      </w:r>
      <w:r>
        <w:rPr>
          <w:color w:val="808080"/>
        </w:rPr>
        <w:t>(</w:t>
      </w:r>
      <w:r>
        <w:rPr>
          <w:b/>
          <w:color w:val="808080"/>
        </w:rPr>
        <w:t>[</w:t>
      </w:r>
      <w:r>
        <w:rPr>
          <w:color w:val="808080"/>
        </w:rPr>
        <w:t>mir</w:t>
      </w:r>
      <w:r>
        <w:rPr>
          <w:b/>
          <w:color w:val="808080"/>
        </w:rPr>
        <w:t>]</w:t>
      </w:r>
      <w:r>
        <w:rPr>
          <w:color w:val="808080"/>
        </w:rPr>
        <w:t>)</w:t>
      </w:r>
      <w:r>
        <w:rPr/>
        <w:t xml:space="preserve"> </w:t>
      </w:r>
      <w:r>
        <w:rPr>
          <w:rStyle w:val="Funotenanker"/>
        </w:rPr>
        <w:footnoteReference w:customMarkFollows="1" w:id="298"/>
        <w:t>ag</w:t>
      </w:r>
      <w:r>
        <w:rPr/>
        <w:t xml:space="preserve"> sagst </w:t>
      </w:r>
      <w:r>
        <w:rPr>
          <w:color w:val="808080"/>
        </w:rPr>
        <w:t>(je sagen wirst)</w:t>
      </w:r>
      <w:r>
        <w:rPr/>
        <w:t xml:space="preserve"> </w:t>
      </w:r>
      <w:r>
        <w:rPr>
          <w:rStyle w:val="Funotenanker"/>
        </w:rPr>
        <w:footnoteReference w:customMarkFollows="1" w:id="299"/>
        <w:t>ah</w:t>
      </w:r>
      <w:r>
        <w:rPr/>
        <w:t xml:space="preserve">, will ich tun.“{{field-off:bible}} </w:t>
        <w:br/>
        <w:t>[[@BibleTOBIBLE:Ru 3:6]]</w:t>
      </w:r>
      <w:r>
        <w:rPr>
          <w:b/>
        </w:rPr>
        <w:t>6</w:t>
      </w:r>
      <w:r>
        <w:rPr/>
        <w:t xml:space="preserve"> {{field-on:bible}}Sie ging also hinab zur Tenne und befolgte alles</w:t>
      </w:r>
      <w:r>
        <w:rPr>
          <w:rStyle w:val="Funotenanker"/>
        </w:rPr>
        <w:footnoteReference w:customMarkFollows="1" w:id="300"/>
        <w:t>ai</w:t>
      </w:r>
      <w:r>
        <w:rPr/>
        <w:t xml:space="preserve">, was ihr die Schwiegermutter geboten hatte:{{field-off:bible}} </w:t>
        <w:br/>
        <w:t>[[@BibleTOBIBLE:Ru 3:7]]</w:t>
      </w:r>
      <w:r>
        <w:rPr>
          <w:b/>
        </w:rPr>
        <w:t>7</w:t>
      </w:r>
      <w:r>
        <w:rPr/>
        <w:t xml:space="preserve"> {{field-on:bible}}Boas aß, trank, sein Herz wurde fröhlich,</w:t>
      </w:r>
      <w:r>
        <w:rPr>
          <w:rStyle w:val="Funotenanker"/>
        </w:rPr>
        <w:footnoteReference w:customMarkFollows="1" w:id="301"/>
        <w:t>aj</w:t>
      </w:r>
      <w:r>
        <w:rPr/>
        <w:t xml:space="preserve"> er kam, um sich am Fuß des Getreidehaufens zu legen; sie kam im Geheimen </w:t>
      </w:r>
      <w:r>
        <w:rPr>
          <w:color w:val="808080"/>
        </w:rPr>
        <w:t>(sie schlich sich zu ihm)</w:t>
      </w:r>
      <w:r>
        <w:rPr/>
        <w:t>, entblößte seine Beine</w:t>
      </w:r>
      <w:r>
        <w:rPr>
          <w:rStyle w:val="Funotenanker"/>
        </w:rPr>
        <w:footnoteReference w:customMarkFollows="1" w:id="302"/>
        <w:t>ak</w:t>
      </w:r>
      <w:r>
        <w:rPr/>
        <w:t xml:space="preserve"> und legte sich.{{field-off:bible}} </w:t>
        <w:br/>
        <w:t>[[@BibleTOBIBLE:Ru 3:8]]</w:t>
      </w:r>
      <w:r>
        <w:rPr>
          <w:b/>
        </w:rPr>
        <w:t>8</w:t>
      </w:r>
      <w:r>
        <w:rPr/>
        <w:t xml:space="preserve"> {{field-on:bible}} </w:t>
      </w:r>
      <w:r>
        <w:rPr>
          <w:strike/>
          <w:color w:val="808080"/>
        </w:rPr>
        <w:t>{Und es war}</w:t>
      </w:r>
      <w:r>
        <w:rPr/>
        <w:t xml:space="preserve"> um Mitternacht zitterte</w:t>
      </w:r>
      <w:r>
        <w:rPr>
          <w:rStyle w:val="Funotenanker"/>
        </w:rPr>
        <w:footnoteReference w:customMarkFollows="1" w:id="303"/>
        <w:t>al</w:t>
      </w:r>
      <w:r>
        <w:rPr/>
        <w:t xml:space="preserve"> der Mann, tastete </w:t>
      </w:r>
      <w:r>
        <w:rPr>
          <w:b/>
          <w:color w:val="808080"/>
        </w:rPr>
        <w:t>[</w:t>
      </w:r>
      <w:r>
        <w:rPr/>
        <w:t>um sich</w:t>
      </w:r>
      <w:r>
        <w:rPr>
          <w:b/>
          <w:color w:val="808080"/>
        </w:rPr>
        <w:t>]</w:t>
      </w:r>
      <w:r>
        <w:rPr/>
        <w:t xml:space="preserve"> </w:t>
      </w:r>
      <w:r>
        <w:rPr>
          <w:color w:val="808080"/>
        </w:rPr>
        <w:t>(sah sich um)</w:t>
      </w:r>
      <w:r>
        <w:rPr/>
        <w:t xml:space="preserve"> </w:t>
      </w:r>
      <w:r>
        <w:rPr>
          <w:rStyle w:val="Funotenanker"/>
        </w:rPr>
        <w:footnoteReference w:customMarkFollows="1" w:id="304"/>
        <w:t>am</w:t>
      </w:r>
      <w:r>
        <w:rPr/>
        <w:t xml:space="preserve"> und, siehe da! - eine Frau lag </w:t>
      </w:r>
      <w:r>
        <w:rPr>
          <w:b/>
          <w:color w:val="808080"/>
        </w:rPr>
        <w:t>[</w:t>
      </w:r>
      <w:r>
        <w:rPr/>
        <w:t>an</w:t>
      </w:r>
      <w:r>
        <w:rPr>
          <w:b/>
          <w:color w:val="808080"/>
        </w:rPr>
        <w:t>]</w:t>
      </w:r>
      <w:r>
        <w:rPr/>
        <w:t xml:space="preserve"> </w:t>
      </w:r>
      <w:r>
        <w:rPr>
          <w:color w:val="808080"/>
        </w:rPr>
        <w:t>(</w:t>
      </w:r>
      <w:r>
        <w:rPr>
          <w:b/>
          <w:color w:val="808080"/>
        </w:rPr>
        <w:t>[</w:t>
      </w:r>
      <w:r>
        <w:rPr>
          <w:color w:val="808080"/>
        </w:rPr>
        <w:t>bei</w:t>
      </w:r>
      <w:r>
        <w:rPr>
          <w:b/>
          <w:color w:val="808080"/>
        </w:rPr>
        <w:t>]</w:t>
      </w:r>
      <w:r>
        <w:rPr>
          <w:color w:val="808080"/>
        </w:rPr>
        <w:t>)</w:t>
      </w:r>
      <w:r>
        <w:rPr/>
        <w:t xml:space="preserve"> seinen Beinen!{{field-off:bible}} </w:t>
        <w:br/>
        <w:t>[[@BibleTOBIBLE:Ru 3:9]]</w:t>
      </w:r>
      <w:r>
        <w:rPr>
          <w:b/>
        </w:rPr>
        <w:t>9</w:t>
      </w:r>
      <w:r>
        <w:rPr/>
        <w:t xml:space="preserve"> {{field-on:bible}}Er fragte: „Wer bist du?“ Sie antwortete: „Ich bin Rut, deine Magd</w:t>
      </w:r>
      <w:r>
        <w:rPr>
          <w:rStyle w:val="Funotenanker"/>
        </w:rPr>
        <w:footnoteReference w:customMarkFollows="1" w:id="305"/>
        <w:t>an</w:t>
      </w:r>
      <w:r>
        <w:rPr/>
        <w:t xml:space="preserve"> - daher breite deinen Gewandzipfel </w:t>
      </w:r>
      <w:r>
        <w:rPr>
          <w:color w:val="808080"/>
        </w:rPr>
        <w:t>(deine Decke, deine Flügel)</w:t>
      </w:r>
      <w:r>
        <w:rPr/>
        <w:t xml:space="preserve"> </w:t>
      </w:r>
      <w:r>
        <w:rPr>
          <w:rStyle w:val="Funotenanker"/>
        </w:rPr>
        <w:footnoteReference w:customMarkFollows="1" w:id="306"/>
        <w:t>ao</w:t>
      </w:r>
      <w:r>
        <w:rPr/>
        <w:t xml:space="preserve"> über deine Magd, denn du bist Goel!</w:t>
      </w:r>
      <w:r>
        <w:rPr>
          <w:rStyle w:val="Funotenanker"/>
        </w:rPr>
        <w:footnoteReference w:customMarkFollows="1" w:id="307"/>
        <w:t>ap</w:t>
      </w:r>
      <w:r>
        <w:rPr/>
        <w:t xml:space="preserve">“{{field-off:bible}} </w:t>
        <w:br/>
        <w:t>[[@BibleTOBIBLE:Ru 3:10]]</w:t>
      </w:r>
      <w:r>
        <w:rPr>
          <w:b/>
        </w:rPr>
        <w:t>10</w:t>
      </w:r>
      <w:r>
        <w:rPr/>
        <w:t xml:space="preserve"> {{field-on:bible}}Da sagte er: „Gesegnet </w:t>
      </w:r>
      <w:r>
        <w:rPr>
          <w:b/>
          <w:color w:val="808080"/>
        </w:rPr>
        <w:t>[</w:t>
      </w:r>
      <w:r>
        <w:rPr/>
        <w:t>seist</w:t>
      </w:r>
      <w:r>
        <w:rPr>
          <w:b/>
          <w:color w:val="808080"/>
        </w:rPr>
        <w:t>]</w:t>
      </w:r>
      <w:r>
        <w:rPr/>
        <w:t xml:space="preserve"> du von </w:t>
      </w:r>
      <w:r>
        <w:rPr>
          <w:smallCaps/>
          <w:color w:val="FF0000"/>
        </w:rPr>
        <w:t>JHWH</w:t>
      </w:r>
      <w:r>
        <w:rPr/>
        <w:t xml:space="preserve"> </w:t>
      </w:r>
      <w:r>
        <w:rPr>
          <w:rStyle w:val="Funotenanker"/>
        </w:rPr>
        <w:footnoteReference w:customMarkFollows="1" w:id="308"/>
        <w:t>aq</w:t>
      </w:r>
      <w:r>
        <w:rPr/>
        <w:t xml:space="preserve">, meine Tochter! Denn deine spätere Güte hast du besser getan </w:t>
      </w:r>
      <w:r>
        <w:rPr>
          <w:color w:val="808080"/>
        </w:rPr>
        <w:t>(deine spätere gute Tat ist noch besser)</w:t>
      </w:r>
      <w:r>
        <w:rPr/>
        <w:t xml:space="preserve"> als deine vorige, nicht den jungen Männern nachgelaufen</w:t>
      </w:r>
      <w:r>
        <w:rPr>
          <w:rStyle w:val="Funotenanker"/>
        </w:rPr>
        <w:footnoteReference w:customMarkFollows="1" w:id="309"/>
        <w:t>ar</w:t>
      </w:r>
      <w:r>
        <w:rPr/>
        <w:t xml:space="preserve"> zu sein </w:t>
      </w:r>
      <w:r>
        <w:rPr>
          <w:color w:val="808080"/>
        </w:rPr>
        <w:t>(indem du nicht den jungen Männern nachgelaufen bist)</w:t>
      </w:r>
      <w:r>
        <w:rPr/>
        <w:t xml:space="preserve"> - egal, ob arm oder reich.</w:t>
      </w:r>
      <w:r>
        <w:rPr>
          <w:rStyle w:val="Funotenanker"/>
        </w:rPr>
        <w:footnoteReference w:customMarkFollows="1" w:id="310"/>
        <w:t>as</w:t>
      </w:r>
      <w:r>
        <w:rPr/>
        <w:t xml:space="preserve"> {{field-off:bible}} </w:t>
        <w:br/>
        <w:t>[[@BibleTOBIBLE:Ru 3:11]]</w:t>
      </w:r>
      <w:r>
        <w:rPr>
          <w:b/>
        </w:rPr>
        <w:t>11</w:t>
      </w:r>
      <w:r>
        <w:rPr/>
        <w:t xml:space="preserve"> {{field-on:bible}}Nun denn, meine Tochter: Fürchte dich nicht - alles, was du sagst </w:t>
      </w:r>
      <w:r>
        <w:rPr>
          <w:color w:val="808080"/>
        </w:rPr>
        <w:t>(je sagen wirst)</w:t>
      </w:r>
      <w:r>
        <w:rPr/>
        <w:t xml:space="preserve">, will ich für dich tun, denn es weiß das ganze Tor meines Volkes </w:t>
      </w:r>
      <w:r>
        <w:rPr>
          <w:color w:val="808080"/>
        </w:rPr>
        <w:t>(mein ganzes Volk)</w:t>
      </w:r>
      <w:r>
        <w:rPr/>
        <w:t xml:space="preserve"> </w:t>
      </w:r>
      <w:r>
        <w:rPr>
          <w:rStyle w:val="Funotenanker"/>
        </w:rPr>
        <w:footnoteReference w:customMarkFollows="1" w:id="311"/>
        <w:t>at</w:t>
      </w:r>
      <w:r>
        <w:rPr/>
        <w:t>, dass du eine fähige Frau</w:t>
      </w:r>
      <w:r>
        <w:rPr>
          <w:rStyle w:val="Funotenanker"/>
        </w:rPr>
        <w:footnoteReference w:customMarkFollows="1" w:id="312"/>
        <w:t>au</w:t>
      </w:r>
      <w:r>
        <w:rPr/>
        <w:t xml:space="preserve"> bist.{{field-off:bible}} </w:t>
        <w:br/>
        <w:t>[[@BibleTOBIBLE:Ru 3:12]]</w:t>
      </w:r>
      <w:r>
        <w:rPr>
          <w:b/>
        </w:rPr>
        <w:t>12</w:t>
      </w:r>
      <w:r>
        <w:rPr/>
        <w:t xml:space="preserve"> {{field-on:bible}}Nun denn... - Ach, </w:t>
      </w:r>
      <w:r>
        <w:rPr>
          <w:b/>
          <w:color w:val="808080"/>
        </w:rPr>
        <w:t>[</w:t>
      </w:r>
      <w:r>
        <w:rPr/>
        <w:t>wäre das</w:t>
      </w:r>
      <w:r>
        <w:rPr>
          <w:b/>
          <w:color w:val="808080"/>
        </w:rPr>
        <w:t>]</w:t>
      </w:r>
      <w:r>
        <w:rPr/>
        <w:t xml:space="preserve"> wahr! Ach, wenn ich doch Löser </w:t>
      </w:r>
      <w:r>
        <w:rPr>
          <w:b/>
          <w:color w:val="808080"/>
        </w:rPr>
        <w:t>[</w:t>
      </w:r>
      <w:r>
        <w:rPr/>
        <w:t>wäre</w:t>
      </w:r>
      <w:r>
        <w:rPr>
          <w:b/>
          <w:color w:val="808080"/>
        </w:rPr>
        <w:t>]</w:t>
      </w:r>
      <w:r>
        <w:rPr/>
        <w:t>! Jedoch</w:t>
      </w:r>
      <w:r>
        <w:rPr>
          <w:rStyle w:val="Funotenanker"/>
        </w:rPr>
        <w:footnoteReference w:customMarkFollows="1" w:id="313"/>
        <w:t>av</w:t>
      </w:r>
      <w:r>
        <w:rPr/>
        <w:t xml:space="preserve"> es gibt </w:t>
      </w:r>
      <w:r>
        <w:rPr>
          <w:color w:val="808080"/>
        </w:rPr>
        <w:t>(ihr habt)</w:t>
      </w:r>
      <w:r>
        <w:rPr/>
        <w:t xml:space="preserve"> einen Löser, </w:t>
      </w:r>
      <w:r>
        <w:rPr>
          <w:b/>
          <w:color w:val="808080"/>
        </w:rPr>
        <w:t>[</w:t>
      </w:r>
      <w:r>
        <w:rPr/>
        <w:t>der euch</w:t>
      </w:r>
      <w:r>
        <w:rPr>
          <w:b/>
          <w:color w:val="808080"/>
        </w:rPr>
        <w:t>]</w:t>
      </w:r>
      <w:r>
        <w:rPr/>
        <w:t xml:space="preserve"> näher </w:t>
      </w:r>
      <w:r>
        <w:rPr>
          <w:b/>
          <w:color w:val="808080"/>
        </w:rPr>
        <w:t>[</w:t>
      </w:r>
      <w:r>
        <w:rPr/>
        <w:t>verwandt ist</w:t>
      </w:r>
      <w:r>
        <w:rPr>
          <w:b/>
          <w:color w:val="808080"/>
        </w:rPr>
        <w:t>]</w:t>
      </w:r>
      <w:r>
        <w:rPr/>
        <w:t xml:space="preserve"> als ich </w:t>
      </w:r>
      <w:r>
        <w:rPr>
          <w:color w:val="808080"/>
        </w:rPr>
        <w:t>(es gibt einen näheren Löser als mich</w:t>
      </w:r>
      <w:r>
        <w:rPr/>
        <w:t xml:space="preserve"> </w:t>
      </w:r>
      <w:r>
        <w:rPr>
          <w:rStyle w:val="Funotenanker"/>
        </w:rPr>
        <w:footnoteReference w:customMarkFollows="1" w:id="314"/>
        <w:t>aw</w:t>
      </w:r>
      <w:r>
        <w:rPr/>
        <w:t xml:space="preserve"> </w:t>
      </w:r>
      <w:r>
        <w:rPr>
          <w:color w:val="808080"/>
        </w:rPr>
        <w:t>)</w:t>
      </w:r>
      <w:r>
        <w:rPr/>
        <w:t xml:space="preserve">.{{field-off:bible}} </w:t>
        <w:br/>
        <w:t>[[@BibleTOBIBLE:Ru 3:13]]</w:t>
      </w:r>
      <w:r>
        <w:rPr>
          <w:b/>
        </w:rPr>
        <w:t>13</w:t>
      </w:r>
      <w:r>
        <w:rPr/>
        <w:t xml:space="preserve"> {{field-on:bible}}Bleibe diese Nacht </w:t>
      </w:r>
      <w:r>
        <w:rPr>
          <w:b/>
          <w:color w:val="808080"/>
        </w:rPr>
        <w:t>[</w:t>
      </w:r>
      <w:r>
        <w:rPr/>
        <w:t>hier</w:t>
      </w:r>
      <w:r>
        <w:rPr>
          <w:b/>
          <w:color w:val="808080"/>
        </w:rPr>
        <w:t>]</w:t>
      </w:r>
      <w:r>
        <w:rPr/>
        <w:t>, und wenn er dich am Morgen lösen wird</w:t>
      </w:r>
      <w:r>
        <w:rPr>
          <w:rStyle w:val="Funotenanker"/>
        </w:rPr>
        <w:footnoteReference w:customMarkFollows="1" w:id="315"/>
        <w:t>ax</w:t>
      </w:r>
      <w:r>
        <w:rPr/>
        <w:t xml:space="preserve"> - schön! Dann soll er dich lösen! Doch wenn er </w:t>
      </w:r>
      <w:r>
        <w:rPr>
          <w:b/>
          <w:color w:val="808080"/>
        </w:rPr>
        <w:t>[</w:t>
      </w:r>
      <w:r>
        <w:rPr/>
        <w:t>dann</w:t>
      </w:r>
      <w:r>
        <w:rPr>
          <w:b/>
          <w:color w:val="808080"/>
        </w:rPr>
        <w:t>]</w:t>
      </w:r>
      <w:r>
        <w:rPr/>
        <w:t xml:space="preserve"> keine Lust hat, dich zu lösen - dann werde ich dich lösen, </w:t>
      </w:r>
      <w:r>
        <w:rPr>
          <w:b/>
          <w:color w:val="808080"/>
        </w:rPr>
        <w:t>[</w:t>
      </w:r>
      <w:r>
        <w:rPr/>
        <w:t>so wahr</w:t>
      </w:r>
      <w:r>
        <w:rPr>
          <w:b/>
          <w:color w:val="808080"/>
        </w:rPr>
        <w:t>]</w:t>
      </w:r>
      <w:r>
        <w:rPr/>
        <w:t xml:space="preserve"> Gott lebt!</w:t>
      </w:r>
      <w:r>
        <w:rPr>
          <w:rStyle w:val="Funotenanker"/>
        </w:rPr>
        <w:footnoteReference w:customMarkFollows="1" w:id="316"/>
        <w:t>ay</w:t>
      </w:r>
      <w:r>
        <w:rPr/>
        <w:t xml:space="preserve"> Liege bis zum Morgen!“{{field-off:bible}} </w:t>
        <w:br/>
        <w:t>[[@BibleTOBIBLE:Ru 3:14]]</w:t>
      </w:r>
      <w:r>
        <w:rPr>
          <w:b/>
        </w:rPr>
        <w:t>14</w:t>
      </w:r>
      <w:r>
        <w:rPr/>
        <w:t xml:space="preserve"> {{field-on:bible}}Und sie lag </w:t>
      </w:r>
      <w:r>
        <w:rPr>
          <w:b/>
          <w:color w:val="808080"/>
        </w:rPr>
        <w:t>[</w:t>
      </w:r>
      <w:r>
        <w:rPr/>
        <w:t>an</w:t>
      </w:r>
      <w:r>
        <w:rPr>
          <w:b/>
          <w:color w:val="808080"/>
        </w:rPr>
        <w:t>]</w:t>
      </w:r>
      <w:r>
        <w:rPr/>
        <w:t xml:space="preserve"> </w:t>
      </w:r>
      <w:r>
        <w:rPr>
          <w:color w:val="808080"/>
        </w:rPr>
        <w:t>(bei)</w:t>
      </w:r>
      <w:r>
        <w:rPr/>
        <w:t xml:space="preserve"> seinen Beinen </w:t>
      </w:r>
      <w:r>
        <w:rPr>
          <w:color w:val="808080"/>
        </w:rPr>
        <w:t>(</w:t>
      </w:r>
      <w:r>
        <w:rPr>
          <w:b/>
          <w:color w:val="808080"/>
        </w:rPr>
        <w:t>[</w:t>
      </w:r>
      <w:r>
        <w:rPr>
          <w:color w:val="808080"/>
        </w:rPr>
        <w:t>an</w:t>
      </w:r>
      <w:r>
        <w:rPr>
          <w:b/>
          <w:color w:val="808080"/>
        </w:rPr>
        <w:t>]</w:t>
      </w:r>
      <w:r>
        <w:rPr>
          <w:color w:val="808080"/>
        </w:rPr>
        <w:t xml:space="preserve"> seinem Bein</w:t>
      </w:r>
      <w:r>
        <w:rPr/>
        <w:t xml:space="preserve"> </w:t>
      </w:r>
      <w:r>
        <w:rPr>
          <w:rStyle w:val="Funotenanker"/>
        </w:rPr>
        <w:footnoteReference w:customMarkFollows="1" w:id="317"/>
        <w:t>az</w:t>
      </w:r>
      <w:r>
        <w:rPr/>
        <w:t xml:space="preserve"> </w:t>
      </w:r>
      <w:r>
        <w:rPr>
          <w:color w:val="808080"/>
        </w:rPr>
        <w:t>)</w:t>
      </w:r>
      <w:r>
        <w:rPr/>
        <w:t xml:space="preserve"> bis zum Morgen. </w:t>
      </w:r>
      <w:r>
        <w:rPr>
          <w:b/>
          <w:color w:val="808080"/>
        </w:rPr>
        <w:t>[</w:t>
      </w:r>
      <w:r>
        <w:rPr/>
        <w:t>Doch</w:t>
      </w:r>
      <w:r>
        <w:rPr>
          <w:b/>
          <w:color w:val="808080"/>
        </w:rPr>
        <w:t>]</w:t>
      </w:r>
      <w:r>
        <w:rPr/>
        <w:t xml:space="preserve"> noch bevor ein Mann seinen Nächsten </w:t>
      </w:r>
      <w:r>
        <w:rPr>
          <w:color w:val="808080"/>
        </w:rPr>
        <w:t>(bevor man einander, bevor einer den andern)</w:t>
      </w:r>
      <w:r>
        <w:rPr/>
        <w:t xml:space="preserve"> </w:t>
      </w:r>
      <w:r>
        <w:rPr>
          <w:rStyle w:val="Funotenanker"/>
        </w:rPr>
        <w:footnoteReference w:customMarkFollows="1" w:id="318"/>
        <w:t>ba</w:t>
      </w:r>
      <w:r>
        <w:rPr/>
        <w:t xml:space="preserve"> erkennen konnte, stand sie auf.Er sagte </w:t>
      </w:r>
      <w:r>
        <w:rPr>
          <w:b/>
          <w:color w:val="808080"/>
        </w:rPr>
        <w:t>[</w:t>
      </w:r>
      <w:r>
        <w:rPr/>
        <w:t>sich</w:t>
      </w:r>
      <w:r>
        <w:rPr>
          <w:b/>
          <w:color w:val="808080"/>
        </w:rPr>
        <w:t>]</w:t>
      </w:r>
      <w:r>
        <w:rPr/>
        <w:t>:</w:t>
      </w:r>
      <w:r>
        <w:rPr>
          <w:rStyle w:val="Funotenanker"/>
        </w:rPr>
        <w:footnoteReference w:customMarkFollows="1" w:id="319"/>
        <w:t>bb</w:t>
      </w:r>
      <w:r>
        <w:rPr/>
        <w:t xml:space="preserve"> „Es soll nicht bekannt sein, dass die Frau zur Tenne gekommen ist!“{{field-off:bible}} </w:t>
        <w:br/>
        <w:t>[[@BibleTOBIBLE:Ru 3:15]]</w:t>
      </w:r>
      <w:r>
        <w:rPr>
          <w:b/>
        </w:rPr>
        <w:t>15</w:t>
      </w:r>
      <w:r>
        <w:rPr/>
        <w:t xml:space="preserve"> {{field-on:bible}} </w:t>
      </w:r>
      <w:r>
        <w:rPr>
          <w:b/>
          <w:color w:val="808080"/>
        </w:rPr>
        <w:t>[</w:t>
      </w:r>
      <w:r>
        <w:rPr/>
        <w:t>Daher</w:t>
      </w:r>
      <w:r>
        <w:rPr>
          <w:b/>
          <w:color w:val="808080"/>
        </w:rPr>
        <w:t>]</w:t>
      </w:r>
      <w:r>
        <w:rPr/>
        <w:t xml:space="preserve"> sagte er: „Gib den </w:t>
      </w:r>
      <w:r>
        <w:rPr>
          <w:color w:val="808080"/>
        </w:rPr>
        <w:t>(deinen)</w:t>
      </w:r>
      <w:r>
        <w:rPr/>
        <w:t xml:space="preserve"> Mantel, der um dich </w:t>
      </w:r>
      <w:r>
        <w:rPr>
          <w:b/>
          <w:color w:val="808080"/>
        </w:rPr>
        <w:t>[</w:t>
      </w:r>
      <w:r>
        <w:rPr/>
        <w:t>ist</w:t>
      </w:r>
      <w:r>
        <w:rPr>
          <w:b/>
          <w:color w:val="808080"/>
        </w:rPr>
        <w:t>]</w:t>
      </w:r>
      <w:r>
        <w:rPr/>
        <w:t xml:space="preserve"> </w:t>
      </w:r>
      <w:r>
        <w:rPr>
          <w:color w:val="808080"/>
        </w:rPr>
        <w:t>(den du an hast)</w:t>
      </w:r>
      <w:r>
        <w:rPr/>
        <w:t xml:space="preserve">, und halte ihn </w:t>
      </w:r>
      <w:r>
        <w:rPr>
          <w:b/>
          <w:color w:val="808080"/>
        </w:rPr>
        <w:t>[</w:t>
      </w:r>
      <w:r>
        <w:rPr/>
        <w:t>gut fest</w:t>
      </w:r>
      <w:r>
        <w:rPr>
          <w:b/>
          <w:color w:val="808080"/>
        </w:rPr>
        <w:t>]</w:t>
      </w:r>
      <w:r>
        <w:rPr/>
        <w:t xml:space="preserve"> </w:t>
      </w:r>
      <w:r>
        <w:rPr>
          <w:rStyle w:val="Funotenanker"/>
        </w:rPr>
        <w:footnoteReference w:customMarkFollows="1" w:id="320"/>
        <w:t>bc</w:t>
      </w:r>
      <w:r>
        <w:rPr/>
        <w:t xml:space="preserve">!“ Also hielt sie ihn </w:t>
      </w:r>
      <w:r>
        <w:rPr>
          <w:b/>
          <w:color w:val="808080"/>
        </w:rPr>
        <w:t>[</w:t>
      </w:r>
      <w:r>
        <w:rPr/>
        <w:t>fest</w:t>
      </w:r>
      <w:r>
        <w:rPr>
          <w:b/>
          <w:color w:val="808080"/>
        </w:rPr>
        <w:t>]</w:t>
      </w:r>
      <w:r>
        <w:rPr/>
        <w:t xml:space="preserve"> und er maß ihr sechs der Gerste</w:t>
      </w:r>
      <w:r>
        <w:rPr>
          <w:rStyle w:val="Funotenanker"/>
        </w:rPr>
        <w:footnoteReference w:customMarkFollows="1" w:id="321"/>
        <w:t>bd</w:t>
      </w:r>
      <w:r>
        <w:rPr/>
        <w:t xml:space="preserve"> </w:t>
      </w:r>
      <w:r>
        <w:rPr>
          <w:b/>
          <w:color w:val="808080"/>
        </w:rPr>
        <w:t>[</w:t>
      </w:r>
      <w:r>
        <w:rPr/>
        <w:t>hinein</w:t>
      </w:r>
      <w:r>
        <w:rPr>
          <w:b/>
          <w:color w:val="808080"/>
        </w:rPr>
        <w:t>]</w:t>
      </w:r>
      <w:r>
        <w:rPr/>
        <w:t xml:space="preserve">, lud ihn ihr auf und kam zur Stadt </w:t>
      </w:r>
      <w:r>
        <w:rPr>
          <w:color w:val="808080"/>
        </w:rPr>
        <w:t>(und sie kam zur Stadt)</w:t>
      </w:r>
      <w:r>
        <w:rPr/>
        <w:t xml:space="preserve"> </w:t>
      </w:r>
      <w:r>
        <w:rPr>
          <w:rStyle w:val="Funotenanker"/>
        </w:rPr>
        <w:footnoteReference w:customMarkFollows="1" w:id="322"/>
        <w:t>be</w:t>
      </w:r>
      <w:r>
        <w:rPr/>
        <w:t xml:space="preserve"> {{field-off:bible}} </w:t>
        <w:br/>
        <w:t>[[@BibleTOBIBLE:Ru 3:16]]</w:t>
      </w:r>
      <w:r>
        <w:rPr>
          <w:b/>
        </w:rPr>
        <w:t>16</w:t>
      </w:r>
      <w:r>
        <w:rPr/>
        <w:t xml:space="preserve"> {{field-on:bible}}Und sie kam zur Schwiegermutter, und </w:t>
      </w:r>
      <w:r>
        <w:rPr>
          <w:b/>
          <w:color w:val="808080"/>
        </w:rPr>
        <w:t>[</w:t>
      </w:r>
      <w:r>
        <w:rPr/>
        <w:t>diese</w:t>
      </w:r>
      <w:r>
        <w:rPr>
          <w:b/>
          <w:color w:val="808080"/>
        </w:rPr>
        <w:t>]</w:t>
      </w:r>
      <w:r>
        <w:rPr/>
        <w:t xml:space="preserve"> fragte: „Wie ist es gelaufen, meine Tochter? </w:t>
      </w:r>
      <w:r>
        <w:rPr>
          <w:color w:val="808080"/>
        </w:rPr>
        <w:t xml:space="preserve">(Als was/Wie/Was </w:t>
      </w:r>
      <w:r>
        <w:rPr>
          <w:b/>
          <w:color w:val="808080"/>
        </w:rPr>
        <w:t>[</w:t>
      </w:r>
      <w:r>
        <w:rPr>
          <w:color w:val="808080"/>
        </w:rPr>
        <w:t>bist</w:t>
      </w:r>
      <w:r>
        <w:rPr>
          <w:b/>
          <w:color w:val="808080"/>
        </w:rPr>
        <w:t>]</w:t>
      </w:r>
      <w:r>
        <w:rPr>
          <w:color w:val="808080"/>
        </w:rPr>
        <w:t xml:space="preserve"> du, meine Tochter?, Wer bist du - meine Tochter?)</w:t>
      </w:r>
      <w:r>
        <w:rPr/>
        <w:t>“</w:t>
      </w:r>
      <w:r>
        <w:rPr>
          <w:rStyle w:val="Funotenanker"/>
        </w:rPr>
        <w:footnoteReference w:customMarkFollows="1" w:id="323"/>
        <w:t>bf</w:t>
      </w:r>
      <w:r>
        <w:rPr/>
        <w:t xml:space="preserve"> Da berichtete sie ihr alles, was ihr der Mann getan hatte.{{field-off:bible}} </w:t>
        <w:br/>
        <w:t>[[@BibleTOBIBLE:Ru 3:17]]</w:t>
      </w:r>
      <w:r>
        <w:rPr>
          <w:b/>
        </w:rPr>
        <w:t>17</w:t>
      </w:r>
      <w:r>
        <w:rPr/>
        <w:t xml:space="preserve"> {{field-on:bible}}Und sie sagte: ''Diese sechs der Gerste'' hat er mir gegeben, denn er hat </w:t>
      </w:r>
      <w:r>
        <w:rPr>
          <w:color w:val="808080"/>
        </w:rPr>
        <w:t>(</w:t>
      </w:r>
      <w:r>
        <w:rPr>
          <w:b/>
          <w:color w:val="808080"/>
        </w:rPr>
        <w:t>[</w:t>
      </w:r>
      <w:r>
        <w:rPr>
          <w:color w:val="808080"/>
        </w:rPr>
        <w:t>zu mir</w:t>
      </w:r>
      <w:r>
        <w:rPr>
          <w:b/>
          <w:color w:val="808080"/>
        </w:rPr>
        <w:t>]</w:t>
      </w:r>
      <w:r>
        <w:rPr>
          <w:color w:val="808080"/>
        </w:rPr>
        <w:t>)</w:t>
      </w:r>
      <w:r>
        <w:rPr/>
        <w:t xml:space="preserve"> gesagt: „Du darfst nicht leer zur Schwiegermutter kommen!“</w:t>
      </w:r>
      <w:r>
        <w:rPr>
          <w:rStyle w:val="Funotenanker"/>
        </w:rPr>
        <w:footnoteReference w:customMarkFollows="1" w:id="324"/>
        <w:t>bg</w:t>
      </w:r>
      <w:r>
        <w:rPr/>
        <w:t xml:space="preserve"> {{field-off:bible}} </w:t>
        <w:br/>
        <w:t>[[@BibleTOBIBLE:Ru 3:18]]</w:t>
      </w:r>
      <w:r>
        <w:rPr>
          <w:b/>
        </w:rPr>
        <w:t>18</w:t>
      </w:r>
      <w:r>
        <w:rPr/>
        <w:t xml:space="preserve"> {{field-on:bible}}Da sagte sie: „Warte ab, meine Tochter, bis du weißt, wie die Sache ausfallen wird. Denn der Mann wird nich ruhen bis er </w:t>
      </w:r>
      <w:r>
        <w:rPr>
          <w:b/>
          <w:color w:val="808080"/>
        </w:rPr>
        <w:t>[</w:t>
      </w:r>
      <w:r>
        <w:rPr/>
        <w:t>noch</w:t>
      </w:r>
      <w:r>
        <w:rPr>
          <w:b/>
          <w:color w:val="808080"/>
        </w:rPr>
        <w:t>]</w:t>
      </w:r>
      <w:r>
        <w:rPr/>
        <w:t xml:space="preserve"> heute die Sache beendet hat.“{{field-off:bible}} </w:t>
      </w:r>
    </w:p>
    <w:p>
      <w:pPr>
        <w:pStyle w:val="Berschrift3"/>
        <w:rPr/>
      </w:pPr>
      <w:r>
        <w:rPr/>
        <w:t>[[@BibleTOBIBLE:Ru 4]]Kapitel 4</w:t>
      </w:r>
    </w:p>
    <w:p>
      <w:pPr>
        <w:pStyle w:val="Textkrper"/>
        <w:rPr/>
      </w:pPr>
      <w:r>
        <w:rPr/>
        <w:t>Was zu Beginn von Kapitel 4 geschieht, lässt sich nicht mehr ganz erschließen, da uns die das nötige Wissen über die rechtlichen Hintergründe fehlt. So viel ist gewiss:Grundbesitz gehörte im Alten Israel immer untrennbar zu einer Familie. Weil das Land eine Gabe Gottes an seine Besitzer war (s. Lev 25,23), musste es idealiter immer im Besitz dieser Familie bleiben - ihr „Name musste auf diesem Besitz immer aufgerichtet bleiben“ (V. 5) - und konnte daher auch nicht letztgültig verkauft werden (s. dazu näher Bodenrecht (AT) (WiBiLex)). Zu diesem Zweck war im Alten Israel auch das Erbfolgerecht genau geregelt (s. dazu näher Erbe/Erbrecht (AT) (WiBiLex)); die Erbfolge war: Sohn =&gt; Tochter =&gt; Bruder d. Vaters =&gt; nächste Verwandte (s. Num 27,8-11). Wichtig für das folgende: Witwen waren erst in persischer Zeit erbberechtigt und hatten dies früher wegen der beiden folgenden rechtlichen Hintergründe auch gar nicht nötig. Trotz dieser genauen Erbfolgeregelungen existierten zwei Gefahren: (1) Eine Familie konnte verarmen und deshalb gezwungen sein ihren Erbbesitz verkaufen zu müssen; (2) eine Familie konnte aussterben. Vor der ersten Gefahr sollte die „Löserinstitution“ schützen, vor der zweiten die „Schwagerehe“. Die Löserinstitution (s. dazu näher Löser/Loskauf (WiBiLex); gut auch Gordis 1974, S. 252f.) sollte sicherstellen, dass Land nicht auf Dauer verkauft werden musste und auch nur möglichst kurz aus dem Besitz einer Familie geriet. Sie ist geregelt in Lev 25,25-34; eine alternative Anwendung findet sich in Jer 32,7-10. Aus beiden Stellen ergibt sich für der Löserinstitution in etwa, dass im Falle eines zeitweiligen „Verkaufs“ von Land der sog. „Löser“ entweder das Vorkaufsrecht für das Land seines verarmten Verwandten hatte oder bei bereits erfolgtem Verkauf das Recht und die Pflicht hatte, es von den Käufern wieder zurückzuerwerben. Auch die Löser-Reihenfolge ist genau geregelt, sie war: Bruder =&gt; Onkel =&gt; Cousin =&gt; nächster Verwandter (s. Lev 25,48-50). Die Schwagerehe (s. dazu näher Levirat/Leviratsehe (WiBiLex); gut auch Olanisebe/Oladosu 2014) schließlich sollte sicherstellen, dass eine Familie nicht ausstarb. Sie ist geregelt in Dtn 25,5-10 und besagt dort, dass im Falle des Todes eines kinderlosen Mannes der Bruder dieses Mannes dessen Frau heiraten sollte. Das erste Kind aus dieser Verbindung galt rechtlich dann als Sohn des Verstorbenen, konnte dessen Erbe antreten und damit auch seine Mutter versorgen. In Gen 38 wird außerdem von einer „Schwagerehe“ zwischen Tamar und ihrem Schwiegervater Juda berichtet, und das Rutbuch legt nahe, dass wohl auch noch entferntere Verwandte schwagerehen-berechtigt waren.</w:t>
      </w:r>
      <w:r>
        <w:rPr>
          <w:rStyle w:val="Funotenanker"/>
        </w:rPr>
        <w:footnoteReference w:customMarkFollows="1" w:id="325"/>
        <w:t>a</w:t>
      </w:r>
      <w:r>
        <w:rPr/>
        <w:t xml:space="preserve"> S. auch noch mal die Zusammenfassung in FN y. Sicher ist, dass diese rechtlichen Hintergründe irgendwie in Rut 4,1-12 zur Anwendung kommen. Unsicher ist, wie genau. &lt;small&gt;&lt;u&gt;Exkurs&lt;/u&gt;: Einige Unsicherheiten: Überraschend ist schon im ersten Vers das Feld, das sich offenbar in Noomis Besitz befindet - erstens, weil der Besitz eines Feldes wahrscheinlich Ruts Ährenlesen in Kap. 2 „illegal“ gemacht hätte (s. die Anmerkungen zu Kap. 2; so z.B. auch Köhlmoos 2010, S. 72); zweitens, weil nach der obigen Erbfolge Noomi überhaupt kein Feld besitzen dürfte: Witwen waren wie gesagt nicht erbberechtigt. Selbst, wenn sie es gewesen wären, wäre nach dem Tod Elimelechs das Feld zunächst in den Besitz von Machlon und Kiljon und danach in den Besitz von deren Witwen Rut und Orpa übergegangen, und da sie es nicht waren, wäre nach der oben dargestellten Erb- und Löserfolge verrückterweise gerade der Löser der Erbe des Feldes und damit der einzige, der das Feld nicht erst erwerben müsste. Genug: Irgendwie hat Noomi hier ein Feld, das sie gerne verkaufen möchte. Weiter: Wegen Rut 3 und Rut 4,11-17 dürfen wir sicher sein, dass primär von Interesse nicht die Lösung des Feldes, sondern die Schwagerehe Boas mit Rut ist. Die Rolle dieses Feldes ist dann aber unklar; gerade die Schwagerehe ist ja unproblematisch, da der Löser sie ohnehin nicht vollziehen will. Warum geht dann aber der Erzähler den Umweg über das Feld? Warum weiterhin in V. 5 die Lösung an die Schwagerehe gekoppelt zu sein scheint, ist gleichfalls unklar. Und schließlich ist die Antwort des Lösers in V. 6 nicht verständlich: Durch die Schwagerehe mit Rut würde er zweifellos wegen des Unterhalts, den er für Rut und „Machlons“ Sohn zu zahlen hätte, Verlust machen - wie er damit aber seinen Erbbesitz schädigen würde, ist für uns nicht mehr ersichtlich. Auch für die Alten offenbar nicht; TgRut z.B. erfindet einfach eine Hintergrundgeschichte, um sich die Weigerung des Lösers erklären zu können (Der Löser wäre bereits verheiratet gewesen und eine weitere Frau hätte zu Missstimmung in seinem Haus geführt).&lt;/small&gt; Sofern wir dem Text vertrauen können, scheint es sich in etwa so zu verhalten: Aus irgendeinem Grund ist die Lösung von Elimelechs Grundstück tatsächlich an eine Schwagerehe mit Rut gekoppelt und aus irgendeinem Grund ist es für die Schwagerehe von Rut und Boas wichtig, dass der Löser sich zunächst bereit erklärt, Elimelechs Feld zu lösen, und erst dann einen Rückzieher macht. Und eben dies geschieht hier: Der Löser macht einen Rückzieher; Boas rückt in der Löserfolge nach, löst Elimelechs Feld, geht die Schwagerehe ein und zeugt mit Rut einen Sohn, der rechtlich als Sohn Machlons gilt, dessen Erbe antreten und mithilfe dieses Erbes seine Großmutter Noomi im Alter versorgen kann. Ob wir allerdings dem Text vertrauen können, ist unsicher - denn neben den rechtlichen Vorgängen selbst liegt der Fokus der Vv. 1-12 gerade darauf, wie völlig korrekt Boas hier vorgeht: Ordnungsgemäß bespricht er die Angelegenheit mit dem Löser im Tor; ordnungsgemäß bestellt er sich dazu auch gleich zehn der Dorfältesten; sämtliche Vorgänge werden von einer Vielzahl von Zeuen abgesegnet. Die Besiegelung ihrer Übereinkunft wird ordnungsgemäß mit dem Schuhritus besiegelt, der zu diesem Zweck in V. 7 sogar extra noch mal erklärt wird. Letztlich haben wohl auch die beiden Ausrufe des Frauenchors in in Vv. 14f. und V. 17 v.a. die Funktion, noch einmal zu betonen, dass das Kind aus der Verbindung von Rut und Boas in der Tat ein ordnungsgemäßes Schwagerehen-Kind ist, und vermutlich soll auch die Verknüpfung dieses Kindes mit dem Stammbaum Davids in V. 17 die Stellung dieses Kindes noch einmal über jeden Zweifel erhaben sein lassen. Gerade vor dem Hintergrund der letzten drei Kapitel macht das diese ersten Verse sehr verdächtig: Offenbar geht auch hier irgend etwas nicht „mit rechten Dingen zu“ - und das wir nicht mehr erkennen können, was das ist, ist ärgerlich. Mindestens aber geht dies „nicht mit rechten Dingen zu“: Nach wie vor ist ja die Ehe zwischen einem Israeliten und einer Moabiterin untersagt (s. die Anmerkungen zu Kap. 1) - und der größte Teil des Kapitels 4 dient dann dazu, noch einmal zu unterstreichen, dass sie dennoch stattfindet und trotz widersprechender Regelungen rechtens stattfindet: Von allem Volk und von zehn Ältesten wurde sie sozusagen im Gerichtssaal selbst abgesegnet; ihr Kind wird von allen Frauen Bethlehems als rechtmäßiges Schwagerehen-Kind anerkannt, und vor dem Hintergrund, dass aus dieser Verbindung sogar der legendäre König David hervorging, kann diese Verbindung gar nicht illegal sein - ganz gleich, welche Regelungen dem entgegenstehen. </w:t>
        <w:br/>
        <w:br/>
        <w:t>[[@BibleTOBIBLE:Ru 4:1]]</w:t>
      </w:r>
      <w:r>
        <w:rPr>
          <w:b/>
        </w:rPr>
        <w:t>1</w:t>
      </w:r>
      <w:r>
        <w:rPr/>
        <w:t xml:space="preserve"> {{field-on:bible}} </w:t>
      </w:r>
      <w:r>
        <w:rPr>
          <w:rStyle w:val="Funotenanker"/>
        </w:rPr>
        <w:footnoteReference w:customMarkFollows="1" w:id="326"/>
        <w:t>Status</w:t>
      </w:r>
      <w:r>
        <w:rPr/>
        <w:t xml:space="preserve"> Boas aber ging ins Tor</w:t>
      </w:r>
      <w:r>
        <w:rPr>
          <w:rStyle w:val="Funotenanker"/>
        </w:rPr>
        <w:footnoteReference w:customMarkFollows="1" w:id="327"/>
        <w:t>b</w:t>
      </w:r>
      <w:r>
        <w:rPr/>
        <w:t xml:space="preserve"> hinauf und setzte sich dort hin. Und, siehe da!,</w:t>
      </w:r>
      <w:r>
        <w:rPr>
          <w:rStyle w:val="Funotenanker"/>
        </w:rPr>
        <w:footnoteReference w:customMarkFollows="1" w:id="328"/>
        <w:t>c</w:t>
      </w:r>
      <w:r>
        <w:rPr/>
        <w:t xml:space="preserve"> der Löser</w:t>
      </w:r>
      <w:r>
        <w:rPr>
          <w:rStyle w:val="Funotenanker"/>
        </w:rPr>
        <w:footnoteReference w:customMarkFollows="1" w:id="329"/>
        <w:t>d</w:t>
      </w:r>
      <w:r>
        <w:rPr/>
        <w:t xml:space="preserve"> kam vorüber, von dem Boas gesprochen hatte. Da sagte er: „Bieg ab!</w:t>
      </w:r>
      <w:r>
        <w:rPr>
          <w:rStyle w:val="Funotenanker"/>
        </w:rPr>
        <w:footnoteReference w:customMarkFollows="1" w:id="330"/>
        <w:t>e</w:t>
      </w:r>
      <w:r>
        <w:rPr/>
        <w:t xml:space="preserve"> Setz dich hier irgendwo hin </w:t>
      </w:r>
      <w:r>
        <w:rPr>
          <w:color w:val="808080"/>
        </w:rPr>
        <w:t>(setz dich hier hin, Soundso)</w:t>
      </w:r>
      <w:r>
        <w:rPr/>
        <w:t>!“</w:t>
      </w:r>
      <w:r>
        <w:rPr>
          <w:rStyle w:val="Funotenanker"/>
        </w:rPr>
        <w:footnoteReference w:customMarkFollows="1" w:id="331"/>
        <w:t>f</w:t>
      </w:r>
      <w:r>
        <w:rPr/>
        <w:t xml:space="preserve"> Und dieser bog ab und setzte sich hin.{{field-off:bible}} </w:t>
        <w:br/>
        <w:t>[[@BibleTOBIBLE:Ru 4:2]]</w:t>
      </w:r>
      <w:r>
        <w:rPr>
          <w:b/>
        </w:rPr>
        <w:t>2</w:t>
      </w:r>
      <w:r>
        <w:rPr/>
        <w:t xml:space="preserve"> {{field-on:bible}}Dann nahm </w:t>
      </w:r>
      <w:r>
        <w:rPr>
          <w:b/>
          <w:color w:val="808080"/>
        </w:rPr>
        <w:t>[</w:t>
      </w:r>
      <w:r>
        <w:rPr/>
        <w:t>Boas</w:t>
      </w:r>
      <w:r>
        <w:rPr>
          <w:b/>
          <w:color w:val="808080"/>
        </w:rPr>
        <w:t>]</w:t>
      </w:r>
      <w:r>
        <w:rPr/>
        <w:t xml:space="preserve"> sich zehn Männer von den Ältesten</w:t>
      </w:r>
      <w:r>
        <w:rPr>
          <w:rStyle w:val="Funotenanker"/>
        </w:rPr>
        <w:footnoteReference w:customMarkFollows="1" w:id="332"/>
        <w:t>g</w:t>
      </w:r>
      <w:r>
        <w:rPr/>
        <w:t xml:space="preserve"> der Stadt und sagte: „Setzt euch hier hin!“ Und sie setzten sich.{{field-off:bible}} </w:t>
        <w:br/>
        <w:t>[[@BibleTOBIBLE:Ru 4:3]]</w:t>
      </w:r>
      <w:r>
        <w:rPr>
          <w:b/>
        </w:rPr>
        <w:t>3</w:t>
      </w:r>
      <w:r>
        <w:rPr/>
        <w:t xml:space="preserve"> {{field-on:bible}}Dann sagte er zum Löser: „</w:t>
      </w:r>
      <w:r>
        <w:rPr>
          <w:b/>
          <w:color w:val="808080"/>
        </w:rPr>
        <w:t>[</w:t>
      </w:r>
      <w:r>
        <w:rPr/>
        <w:t>Das</w:t>
      </w:r>
      <w:r>
        <w:rPr>
          <w:b/>
          <w:color w:val="808080"/>
        </w:rPr>
        <w:t>]</w:t>
      </w:r>
      <w:r>
        <w:rPr/>
        <w:t xml:space="preserve"> Feldstück,</w:t>
      </w:r>
      <w:r>
        <w:rPr>
          <w:rStyle w:val="Funotenanker"/>
        </w:rPr>
        <w:footnoteReference w:customMarkFollows="1" w:id="333"/>
        <w:t>h</w:t>
      </w:r>
      <w:r>
        <w:rPr/>
        <w:t xml:space="preserve"> das unserem Bruder</w:t>
      </w:r>
      <w:r>
        <w:rPr>
          <w:rStyle w:val="Funotenanker"/>
        </w:rPr>
        <w:footnoteReference w:customMarkFollows="1" w:id="334"/>
        <w:t>i</w:t>
      </w:r>
      <w:r>
        <w:rPr/>
        <w:t xml:space="preserve">, dem Elimelech, </w:t>
      </w:r>
      <w:r>
        <w:rPr>
          <w:b/>
          <w:color w:val="808080"/>
        </w:rPr>
        <w:t>[</w:t>
      </w:r>
      <w:r>
        <w:rPr/>
        <w:t xml:space="preserve">war </w:t>
      </w:r>
      <w:r>
        <w:rPr>
          <w:color w:val="808080"/>
        </w:rPr>
        <w:t>(gehörte)</w:t>
      </w:r>
      <w:r>
        <w:rPr>
          <w:b/>
          <w:color w:val="808080"/>
        </w:rPr>
        <w:t>]</w:t>
      </w:r>
      <w:r>
        <w:rPr/>
        <w:t>, verkauft</w:t>
      </w:r>
      <w:r>
        <w:rPr>
          <w:rStyle w:val="Funotenanker"/>
        </w:rPr>
        <w:footnoteReference w:customMarkFollows="1" w:id="335"/>
        <w:t>j</w:t>
      </w:r>
      <w:r>
        <w:rPr/>
        <w:t xml:space="preserve"> Noomi, die zurückgekehrt ist aus </w:t>
      </w:r>
      <w:r>
        <w:rPr>
          <w:strike/>
          <w:color w:val="808080"/>
        </w:rPr>
        <w:t>{dem Gebiet von}</w:t>
      </w:r>
      <w:r>
        <w:rPr/>
        <w:t xml:space="preserve"> </w:t>
      </w:r>
      <w:r>
        <w:rPr>
          <w:color w:val="808080"/>
        </w:rPr>
        <w:t>(dem Feld von)</w:t>
      </w:r>
      <w:r>
        <w:rPr/>
        <w:t xml:space="preserve"> </w:t>
      </w:r>
      <w:r>
        <w:rPr>
          <w:rStyle w:val="Funotenanker"/>
        </w:rPr>
        <w:footnoteReference w:customMarkFollows="1" w:id="336"/>
        <w:t>k</w:t>
      </w:r>
      <w:r>
        <w:rPr/>
        <w:t xml:space="preserve"> Moab.{{field-off:bible}} </w:t>
        <w:br/>
        <w:t>[[@BibleTOBIBLE:Ru 4:4]]</w:t>
      </w:r>
      <w:r>
        <w:rPr>
          <w:b/>
        </w:rPr>
        <w:t>4</w:t>
      </w:r>
      <w:r>
        <w:rPr/>
        <w:t xml:space="preserve"> {{field-on:bible}}Und ich habe gesagt </w:t>
      </w:r>
      <w:r>
        <w:rPr>
          <w:color w:val="808080"/>
        </w:rPr>
        <w:t>(</w:t>
      </w:r>
      <w:r>
        <w:rPr>
          <w:b/>
          <w:color w:val="808080"/>
        </w:rPr>
        <w:t>[</w:t>
      </w:r>
      <w:r>
        <w:rPr>
          <w:color w:val="808080"/>
        </w:rPr>
        <w:t>mir</w:t>
      </w:r>
      <w:r>
        <w:rPr>
          <w:b/>
          <w:color w:val="808080"/>
        </w:rPr>
        <w:t>]</w:t>
      </w:r>
      <w:r>
        <w:rPr>
          <w:color w:val="808080"/>
        </w:rPr>
        <w:t xml:space="preserve"> gedacht)</w:t>
      </w:r>
      <w:r>
        <w:rPr/>
        <w:t>,</w:t>
      </w:r>
      <w:r>
        <w:rPr>
          <w:rStyle w:val="Funotenanker"/>
        </w:rPr>
        <w:footnoteReference w:customMarkFollows="1" w:id="337"/>
        <w:t>l</w:t>
      </w:r>
      <w:r>
        <w:rPr/>
        <w:t xml:space="preserve"> ich will dir folgendes zu Gehör bringen:</w:t>
      </w:r>
      <w:r>
        <w:rPr>
          <w:rStyle w:val="Funotenanker"/>
        </w:rPr>
        <w:footnoteReference w:customMarkFollows="1" w:id="338"/>
        <w:t>m</w:t>
      </w:r>
      <w:r>
        <w:rPr/>
        <w:t xml:space="preserve"> Kaufe </w:t>
      </w:r>
      <w:r>
        <w:rPr>
          <w:b/>
          <w:color w:val="808080"/>
        </w:rPr>
        <w:t>[</w:t>
      </w:r>
      <w:r>
        <w:rPr/>
        <w:t>es</w:t>
      </w:r>
      <w:r>
        <w:rPr>
          <w:b/>
          <w:color w:val="808080"/>
        </w:rPr>
        <w:t>]</w:t>
      </w:r>
      <w:r>
        <w:rPr/>
        <w:t xml:space="preserve"> in Gegenwart der Sitzenden und in Gegenwart der Ältesten meines Volkes</w:t>
      </w:r>
      <w:r>
        <w:rPr>
          <w:rStyle w:val="Funotenanker"/>
        </w:rPr>
        <w:footnoteReference w:customMarkFollows="1" w:id="339"/>
        <w:t>n</w:t>
      </w:r>
      <w:r>
        <w:rPr/>
        <w:t xml:space="preserve"> - wenn du lösen willst, dann löse.</w:t>
      </w:r>
      <w:r>
        <w:rPr>
          <w:rStyle w:val="Funotenanker"/>
        </w:rPr>
        <w:footnoteReference w:customMarkFollows="1" w:id="340"/>
        <w:t>o</w:t>
      </w:r>
      <w:r>
        <w:rPr/>
        <w:t xml:space="preserve"> Wenn aber niemand lösen will </w:t>
      </w:r>
      <w:r>
        <w:rPr>
          <w:color w:val="808080"/>
        </w:rPr>
        <w:t>(wenn du aber nicht lösen willst)</w:t>
      </w:r>
      <w:r>
        <w:rPr/>
        <w:t>,</w:t>
      </w:r>
      <w:r>
        <w:rPr>
          <w:rStyle w:val="Funotenanker"/>
        </w:rPr>
        <w:footnoteReference w:customMarkFollows="1" w:id="341"/>
        <w:t>p</w:t>
      </w:r>
      <w:r>
        <w:rPr/>
        <w:t xml:space="preserve"> dann verrate es mir, damit ich es weiß! Denn </w:t>
      </w:r>
      <w:r>
        <w:rPr>
          <w:b/>
          <w:color w:val="808080"/>
        </w:rPr>
        <w:t>[</w:t>
      </w:r>
      <w:r>
        <w:rPr/>
        <w:t xml:space="preserve">es ist </w:t>
      </w:r>
      <w:r>
        <w:rPr>
          <w:color w:val="808080"/>
        </w:rPr>
        <w:t>(es gibt)</w:t>
      </w:r>
      <w:r>
        <w:rPr>
          <w:b/>
          <w:color w:val="808080"/>
        </w:rPr>
        <w:t>]</w:t>
      </w:r>
      <w:r>
        <w:rPr/>
        <w:t xml:space="preserve"> niemanden außer dir, der lösen </w:t>
      </w:r>
      <w:r>
        <w:rPr>
          <w:b/>
          <w:color w:val="808080"/>
        </w:rPr>
        <w:t>[</w:t>
      </w:r>
      <w:r>
        <w:rPr/>
        <w:t>könnte</w:t>
      </w:r>
      <w:r>
        <w:rPr>
          <w:b/>
          <w:color w:val="808080"/>
        </w:rPr>
        <w:t>]</w:t>
      </w:r>
      <w:r>
        <w:rPr/>
        <w:t xml:space="preserve">. Und ich </w:t>
      </w:r>
      <w:r>
        <w:rPr>
          <w:b/>
          <w:color w:val="808080"/>
        </w:rPr>
        <w:t>[</w:t>
      </w:r>
      <w:r>
        <w:rPr/>
        <w:t xml:space="preserve">bin </w:t>
      </w:r>
      <w:r>
        <w:rPr>
          <w:color w:val="808080"/>
        </w:rPr>
        <w:t>(komme)</w:t>
      </w:r>
      <w:r>
        <w:rPr>
          <w:b/>
          <w:color w:val="808080"/>
        </w:rPr>
        <w:t>]</w:t>
      </w:r>
      <w:r>
        <w:rPr/>
        <w:t xml:space="preserve"> nach dir.“Da sagte er: „Ich will lösen“.{{field-off:bible}} </w:t>
        <w:br/>
        <w:t>[[@BibleTOBIBLE:Ru 4:5]]</w:t>
      </w:r>
      <w:r>
        <w:rPr>
          <w:b/>
        </w:rPr>
        <w:t>5</w:t>
      </w:r>
      <w:r>
        <w:rPr/>
        <w:t xml:space="preserve"> {{field-on:bible}}Da sagte Boas: „An dem Tag, an dem du das Feld von Noomi kaufst, kaufst</w:t>
      </w:r>
      <w:r>
        <w:rPr>
          <w:rStyle w:val="Funotenanker"/>
        </w:rPr>
        <w:footnoteReference w:customMarkFollows="1" w:id="342"/>
        <w:t>q</w:t>
      </w:r>
      <w:r>
        <w:rPr/>
        <w:t xml:space="preserve"> du auch die </w:t>
      </w:r>
      <w:r>
        <w:rPr>
          <w:color w:val="808080"/>
        </w:rPr>
        <w:t>(kaufe ich die, kaufst du es auch von der, kaufe ich es von der)</w:t>
      </w:r>
      <w:r>
        <w:rPr/>
        <w:t xml:space="preserve"> Moabiterin Rut,</w:t>
      </w:r>
      <w:r>
        <w:rPr>
          <w:rStyle w:val="Funotenanker"/>
        </w:rPr>
        <w:footnoteReference w:customMarkFollows="1" w:id="343"/>
        <w:t>r</w:t>
      </w:r>
      <w:r>
        <w:rPr/>
        <w:t xml:space="preserve"> die Frau des Toten, um den Namen des Toten auf seinem Erbbesitz </w:t>
      </w:r>
      <w:r>
        <w:rPr>
          <w:b/>
          <w:color w:val="808080"/>
        </w:rPr>
        <w:t>[</w:t>
      </w:r>
      <w:r>
        <w:rPr/>
        <w:t>wieder</w:t>
      </w:r>
      <w:r>
        <w:rPr>
          <w:b/>
          <w:color w:val="808080"/>
        </w:rPr>
        <w:t>]</w:t>
      </w:r>
      <w:r>
        <w:rPr/>
        <w:t xml:space="preserve"> aufzurichten.“</w:t>
      </w:r>
      <w:r>
        <w:rPr>
          <w:rStyle w:val="Funotenanker"/>
        </w:rPr>
        <w:footnoteReference w:customMarkFollows="1" w:id="344"/>
        <w:t>s</w:t>
      </w:r>
      <w:r>
        <w:rPr/>
        <w:t xml:space="preserve"> {{field-off:bible}} </w:t>
        <w:br/>
        <w:t>[[@BibleTOBIBLE:Ru 4:6]]</w:t>
      </w:r>
      <w:r>
        <w:rPr>
          <w:b/>
        </w:rPr>
        <w:t>6</w:t>
      </w:r>
      <w:r>
        <w:rPr/>
        <w:t xml:space="preserve"> {{field-on:bible}}Da sagte der Löser: „Ich vermag </w:t>
      </w:r>
      <w:r>
        <w:rPr>
          <w:b/>
          <w:color w:val="808080"/>
        </w:rPr>
        <w:t>[</w:t>
      </w:r>
      <w:r>
        <w:rPr/>
        <w:t>es</w:t>
      </w:r>
      <w:r>
        <w:rPr>
          <w:b/>
          <w:color w:val="808080"/>
        </w:rPr>
        <w:t>]</w:t>
      </w:r>
      <w:r>
        <w:rPr/>
        <w:t xml:space="preserve"> nicht, </w:t>
      </w:r>
      <w:r>
        <w:rPr>
          <w:strike/>
          <w:color w:val="808080"/>
        </w:rPr>
        <w:t>{für mich}</w:t>
      </w:r>
      <w:r>
        <w:rPr/>
        <w:t xml:space="preserve"> </w:t>
      </w:r>
      <w:r>
        <w:rPr>
          <w:rStyle w:val="Funotenanker"/>
        </w:rPr>
        <w:footnoteReference w:customMarkFollows="1" w:id="345"/>
        <w:t>t</w:t>
      </w:r>
      <w:r>
        <w:rPr/>
        <w:t xml:space="preserve"> zu lösen, sonst verdürbe ich </w:t>
      </w:r>
      <w:r>
        <w:rPr>
          <w:b/>
          <w:color w:val="808080"/>
        </w:rPr>
        <w:t>[</w:t>
      </w:r>
      <w:r>
        <w:rPr/>
        <w:t>ja</w:t>
      </w:r>
      <w:r>
        <w:rPr>
          <w:b/>
          <w:color w:val="808080"/>
        </w:rPr>
        <w:t>]</w:t>
      </w:r>
      <w:r>
        <w:rPr/>
        <w:t xml:space="preserve"> meinen </w:t>
      </w:r>
      <w:r>
        <w:rPr>
          <w:b/>
          <w:color w:val="808080"/>
        </w:rPr>
        <w:t>[</w:t>
      </w:r>
      <w:r>
        <w:rPr/>
        <w:t>eigenen</w:t>
      </w:r>
      <w:r>
        <w:rPr>
          <w:b/>
          <w:color w:val="808080"/>
        </w:rPr>
        <w:t>]</w:t>
      </w:r>
      <w:r>
        <w:rPr/>
        <w:t xml:space="preserve"> Erbbesitz. Löse du </w:t>
      </w:r>
      <w:r>
        <w:rPr>
          <w:strike/>
          <w:color w:val="808080"/>
        </w:rPr>
        <w:t>{für dich}</w:t>
      </w:r>
      <w:r>
        <w:rPr/>
        <w:t xml:space="preserve"> das </w:t>
      </w:r>
      <w:r>
        <w:rPr>
          <w:b/>
          <w:color w:val="808080"/>
        </w:rPr>
        <w:t>[</w:t>
      </w:r>
      <w:r>
        <w:rPr/>
        <w:t>eigentlich</w:t>
      </w:r>
      <w:r>
        <w:rPr>
          <w:b/>
          <w:color w:val="808080"/>
        </w:rPr>
        <w:t>]</w:t>
      </w:r>
      <w:r>
        <w:rPr/>
        <w:t xml:space="preserve"> von mir zu Lösende, denn ich vermag es nicht, zu lösen.“{{field-off:bible}} </w:t>
        <w:br/>
        <w:t>[[@BibleTOBIBLE:Ru 4:7]]</w:t>
      </w:r>
      <w:r>
        <w:rPr>
          <w:b/>
        </w:rPr>
        <w:t>7</w:t>
      </w:r>
      <w:r>
        <w:rPr/>
        <w:t xml:space="preserve"> {{field-on:bible}}In Israel </w:t>
      </w:r>
      <w:r>
        <w:rPr>
          <w:b/>
          <w:color w:val="808080"/>
        </w:rPr>
        <w:t>[</w:t>
      </w:r>
      <w:r>
        <w:rPr/>
        <w:t xml:space="preserve">war </w:t>
      </w:r>
      <w:r>
        <w:rPr>
          <w:color w:val="808080"/>
        </w:rPr>
        <w:t>(galt)</w:t>
      </w:r>
      <w:r>
        <w:rPr>
          <w:b/>
          <w:color w:val="808080"/>
        </w:rPr>
        <w:t>]</w:t>
      </w:r>
      <w:r>
        <w:rPr/>
        <w:t xml:space="preserve"> früher dies bezüglich Lösung und Tauschgeschäft,</w:t>
      </w:r>
      <w:r>
        <w:rPr>
          <w:rStyle w:val="Funotenanker"/>
        </w:rPr>
        <w:footnoteReference w:customMarkFollows="1" w:id="346"/>
        <w:t>u</w:t>
      </w:r>
      <w:r>
        <w:rPr/>
        <w:t xml:space="preserve"> um irgendetwas</w:t>
      </w:r>
      <w:r>
        <w:rPr>
          <w:rStyle w:val="Funotenanker"/>
        </w:rPr>
        <w:footnoteReference w:customMarkFollows="1" w:id="347"/>
        <w:t>v</w:t>
      </w:r>
      <w:r>
        <w:rPr/>
        <w:t xml:space="preserve"> Gültigkeit zu verleihen: Man zog seinen Schuh aus und gab ihn dem anderen </w:t>
      </w:r>
      <w:r>
        <w:rPr>
          <w:color w:val="808080"/>
        </w:rPr>
        <w:t>(man zog seinen seinen Schuh aus und gab ihn einander)</w:t>
      </w:r>
      <w:r>
        <w:rPr/>
        <w:t xml:space="preserve">. Und dies </w:t>
      </w:r>
      <w:r>
        <w:rPr>
          <w:b/>
          <w:color w:val="808080"/>
        </w:rPr>
        <w:t>[</w:t>
      </w:r>
      <w:r>
        <w:rPr/>
        <w:t xml:space="preserve">war </w:t>
      </w:r>
      <w:r>
        <w:rPr>
          <w:color w:val="808080"/>
        </w:rPr>
        <w:t>(galt)</w:t>
      </w:r>
      <w:r>
        <w:rPr>
          <w:b/>
          <w:color w:val="808080"/>
        </w:rPr>
        <w:t>]</w:t>
      </w:r>
      <w:r>
        <w:rPr/>
        <w:t xml:space="preserve"> </w:t>
      </w:r>
      <w:r>
        <w:rPr>
          <w:b/>
          <w:color w:val="808080"/>
        </w:rPr>
        <w:t>[</w:t>
      </w:r>
      <w:r>
        <w:rPr/>
        <w:t>dann</w:t>
      </w:r>
      <w:r>
        <w:rPr>
          <w:b/>
          <w:color w:val="808080"/>
        </w:rPr>
        <w:t>]</w:t>
      </w:r>
      <w:r>
        <w:rPr/>
        <w:t xml:space="preserve"> in Israel </w:t>
      </w:r>
      <w:r>
        <w:rPr>
          <w:b/>
          <w:color w:val="808080"/>
        </w:rPr>
        <w:t>[</w:t>
      </w:r>
      <w:r>
        <w:rPr/>
        <w:t>als</w:t>
      </w:r>
      <w:r>
        <w:rPr>
          <w:b/>
          <w:color w:val="808080"/>
        </w:rPr>
        <w:t>]</w:t>
      </w:r>
      <w:r>
        <w:rPr/>
        <w:t xml:space="preserve"> Bezeugung.</w:t>
      </w:r>
      <w:r>
        <w:rPr>
          <w:rStyle w:val="Funotenanker"/>
        </w:rPr>
        <w:footnoteReference w:customMarkFollows="1" w:id="348"/>
        <w:t>w</w:t>
      </w:r>
      <w:r>
        <w:rPr/>
        <w:t xml:space="preserve"> {{field-off:bible}} </w:t>
        <w:br/>
        <w:t>[[@BibleTOBIBLE:Ru 4:8]]</w:t>
      </w:r>
      <w:r>
        <w:rPr>
          <w:b/>
        </w:rPr>
        <w:t>8</w:t>
      </w:r>
      <w:r>
        <w:rPr/>
        <w:t xml:space="preserve"> {{field-on:bible}}Der Löser sprach </w:t>
      </w:r>
      <w:r>
        <w:rPr>
          <w:b/>
          <w:color w:val="808080"/>
        </w:rPr>
        <w:t>[</w:t>
      </w:r>
      <w:r>
        <w:rPr/>
        <w:t>also</w:t>
      </w:r>
      <w:r>
        <w:rPr>
          <w:b/>
          <w:color w:val="808080"/>
        </w:rPr>
        <w:t>]</w:t>
      </w:r>
      <w:r>
        <w:rPr/>
        <w:t xml:space="preserve"> zu Boas: „Kaufe </w:t>
      </w:r>
      <w:r>
        <w:rPr>
          <w:strike/>
          <w:color w:val="808080"/>
        </w:rPr>
        <w:t>{für dich}</w:t>
      </w:r>
      <w:r>
        <w:rPr/>
        <w:t xml:space="preserve">!“ und zog </w:t>
      </w:r>
      <w:r>
        <w:rPr>
          <w:color w:val="808080"/>
        </w:rPr>
        <w:t>(und dieser zog)</w:t>
      </w:r>
      <w:r>
        <w:rPr/>
        <w:t xml:space="preserve"> </w:t>
      </w:r>
      <w:r>
        <w:rPr>
          <w:rStyle w:val="Funotenanker"/>
        </w:rPr>
        <w:footnoteReference w:customMarkFollows="1" w:id="349"/>
        <w:t>x</w:t>
      </w:r>
      <w:r>
        <w:rPr/>
        <w:t xml:space="preserve"> seinen Schuh aus.{{field-off:bible}} </w:t>
        <w:br/>
        <w:t>[[@BibleTOBIBLE:Ru 4:9]]</w:t>
      </w:r>
      <w:r>
        <w:rPr>
          <w:b/>
        </w:rPr>
        <w:t>9</w:t>
      </w:r>
      <w:r>
        <w:rPr/>
        <w:t xml:space="preserve"> {{field-on:bible}}Da sprach Boas zu den Ältesten und zum ganzen Volk: „Ihr seid heute Zeugen, dass ich von Noomi alles gekauft habe, was dem Elimelech </w:t>
      </w:r>
      <w:r>
        <w:rPr>
          <w:b/>
          <w:color w:val="808080"/>
        </w:rPr>
        <w:t>[</w:t>
      </w:r>
      <w:r>
        <w:rPr/>
        <w:t xml:space="preserve">war </w:t>
      </w:r>
      <w:r>
        <w:rPr>
          <w:color w:val="808080"/>
        </w:rPr>
        <w:t>(gehörte)</w:t>
      </w:r>
      <w:r>
        <w:rPr>
          <w:b/>
          <w:color w:val="808080"/>
        </w:rPr>
        <w:t>]</w:t>
      </w:r>
      <w:r>
        <w:rPr/>
        <w:t xml:space="preserve"> und alles, was dem Kiljon und Machlon </w:t>
      </w:r>
      <w:r>
        <w:rPr>
          <w:b/>
          <w:color w:val="808080"/>
        </w:rPr>
        <w:t>[</w:t>
      </w:r>
      <w:r>
        <w:rPr/>
        <w:t xml:space="preserve">war </w:t>
      </w:r>
      <w:r>
        <w:rPr>
          <w:color w:val="808080"/>
        </w:rPr>
        <w:t>(gehörte)</w:t>
      </w:r>
      <w:r>
        <w:rPr>
          <w:b/>
          <w:color w:val="808080"/>
        </w:rPr>
        <w:t>]</w:t>
      </w:r>
      <w:r>
        <w:rPr/>
        <w:t xml:space="preserve">.{{field-off:bible}} </w:t>
        <w:br/>
        <w:t>[[@BibleTOBIBLE:Ru 4:10]]</w:t>
      </w:r>
      <w:r>
        <w:rPr>
          <w:b/>
        </w:rPr>
        <w:t>10</w:t>
      </w:r>
      <w:r>
        <w:rPr/>
        <w:t xml:space="preserve"> {{field-on:bible}}Und auch die Moabiterin Rut, die Frau Machlons, habe ich mir zur Frau gekauft,</w:t>
      </w:r>
      <w:r>
        <w:rPr>
          <w:rStyle w:val="Funotenanker"/>
        </w:rPr>
        <w:footnoteReference w:customMarkFollows="1" w:id="350"/>
        <w:t>y</w:t>
      </w:r>
      <w:r>
        <w:rPr/>
        <w:t xml:space="preserve"> um </w:t>
      </w:r>
      <w:r>
        <w:rPr>
          <w:b/>
          <w:color w:val="808080"/>
        </w:rPr>
        <w:t>[</w:t>
      </w:r>
      <w:r>
        <w:rPr/>
        <w:t>wieder</w:t>
      </w:r>
      <w:r>
        <w:rPr>
          <w:b/>
          <w:color w:val="808080"/>
        </w:rPr>
        <w:t>]</w:t>
      </w:r>
      <w:r>
        <w:rPr/>
        <w:t xml:space="preserve"> aufzurichten den Namen des Toten auf seinem Erbbesitz, so dass nicht ausgerottet werde der Name des Toten</w:t>
      </w:r>
      <w:r>
        <w:rPr>
          <w:rStyle w:val="Funotenanker"/>
        </w:rPr>
        <w:footnoteReference w:customMarkFollows="1" w:id="351"/>
        <w:t>z</w:t>
      </w:r>
      <w:r>
        <w:rPr/>
        <w:t xml:space="preserve"> aus dem Volk seiner Brüder und aus dem Tor seines Ortes.</w:t>
      </w:r>
      <w:r>
        <w:rPr>
          <w:rStyle w:val="Funotenanker"/>
        </w:rPr>
        <w:footnoteReference w:customMarkFollows="1" w:id="352"/>
        <w:t>aa</w:t>
      </w:r>
      <w:r>
        <w:rPr/>
        <w:t xml:space="preserve"> Ihr seid heute Zeugen!“{{field-off:bible}} </w:t>
        <w:br/>
        <w:t>[[@BibleTOBIBLE:Ru 4:11]]</w:t>
      </w:r>
      <w:r>
        <w:rPr>
          <w:b/>
        </w:rPr>
        <w:t>11</w:t>
      </w:r>
      <w:r>
        <w:rPr/>
        <w:t xml:space="preserve"> {{field-on:bible}}Und das ganze Volk, das im Tor </w:t>
      </w:r>
      <w:r>
        <w:rPr>
          <w:b/>
          <w:color w:val="808080"/>
        </w:rPr>
        <w:t>[</w:t>
      </w:r>
      <w:r>
        <w:rPr/>
        <w:t>war</w:t>
      </w:r>
      <w:r>
        <w:rPr>
          <w:b/>
          <w:color w:val="808080"/>
        </w:rPr>
        <w:t>]</w:t>
      </w:r>
      <w:r>
        <w:rPr/>
        <w:t>, antwortete, und die Ältesten:</w:t>
      </w:r>
      <w:r>
        <w:rPr>
          <w:rStyle w:val="Funotenanker"/>
        </w:rPr>
        <w:footnoteReference w:customMarkFollows="1" w:id="353"/>
        <w:t>ab</w:t>
      </w:r>
      <w:r>
        <w:rPr/>
        <w:t xml:space="preserve"> „</w:t>
      </w:r>
      <w:r>
        <w:rPr>
          <w:b/>
          <w:color w:val="808080"/>
        </w:rPr>
        <w:t>[</w:t>
      </w:r>
      <w:r>
        <w:rPr/>
        <w:t>Wir sind</w:t>
      </w:r>
      <w:r>
        <w:rPr>
          <w:b/>
          <w:color w:val="808080"/>
        </w:rPr>
        <w:t>]</w:t>
      </w:r>
      <w:r>
        <w:rPr/>
        <w:t xml:space="preserve"> Zeugen! </w:t>
        <w:br/>
      </w:r>
      <w:r>
        <w:rPr>
          <w:smallCaps/>
          <w:color w:val="FF0000"/>
        </w:rPr>
        <w:t>JHWH</w:t>
      </w:r>
      <w:r>
        <w:rPr/>
        <w:t xml:space="preserve"> gebe, </w:t>
      </w:r>
      <w:r>
        <w:rPr>
          <w:b/>
          <w:color w:val="808080"/>
        </w:rPr>
        <w:t>[</w:t>
      </w:r>
      <w:r>
        <w:rPr/>
        <w:t>dass</w:t>
      </w:r>
      <w:r>
        <w:rPr>
          <w:b/>
          <w:color w:val="808080"/>
        </w:rPr>
        <w:t>]</w:t>
      </w:r>
      <w:r>
        <w:rPr/>
        <w:t xml:space="preserve"> </w:t>
      </w:r>
      <w:r>
        <w:rPr>
          <w:color w:val="808080"/>
        </w:rPr>
        <w:t>(</w:t>
      </w:r>
      <w:r>
        <w:rPr>
          <w:smallCaps/>
          <w:color w:val="FF0000"/>
        </w:rPr>
        <w:t>JHWH</w:t>
      </w:r>
      <w:r>
        <w:rPr>
          <w:color w:val="808080"/>
        </w:rPr>
        <w:t xml:space="preserve"> mache)</w:t>
      </w:r>
      <w:r>
        <w:rPr/>
        <w:t xml:space="preserve"> diese Frau,Die in dein Haus kommt,</w:t>
        <w:br/>
        <w:t>Wie Rahel und wie Lea</w:t>
      </w:r>
      <w:r>
        <w:rPr>
          <w:rStyle w:val="Funotenanker"/>
        </w:rPr>
        <w:footnoteReference w:customMarkFollows="1" w:id="354"/>
        <w:t>ac</w:t>
      </w:r>
      <w:r>
        <w:rPr/>
        <w:t xml:space="preserve"> </w:t>
      </w:r>
      <w:r>
        <w:rPr>
          <w:b/>
          <w:color w:val="808080"/>
        </w:rPr>
        <w:t>[</w:t>
      </w:r>
      <w:r>
        <w:rPr/>
        <w:t>werde</w:t>
      </w:r>
      <w:r>
        <w:rPr>
          <w:b/>
          <w:color w:val="808080"/>
        </w:rPr>
        <w:t>]</w:t>
      </w:r>
      <w:r>
        <w:rPr/>
        <w:t>,Die beide</w:t>
      </w:r>
      <w:r>
        <w:rPr>
          <w:rStyle w:val="Funotenanker"/>
        </w:rPr>
        <w:footnoteReference w:customMarkFollows="1" w:id="355"/>
        <w:t>ad</w:t>
      </w:r>
      <w:r>
        <w:rPr/>
        <w:t xml:space="preserve"> das Haus Israel erbauten!</w:t>
      </w:r>
      <w:r>
        <w:rPr>
          <w:rStyle w:val="Funotenanker"/>
        </w:rPr>
        <w:footnoteReference w:customMarkFollows="1" w:id="356"/>
        <w:t>ae</w:t>
      </w:r>
      <w:r>
        <w:rPr/>
        <w:t xml:space="preserve"> </w:t>
        <w:br/>
        <w:t xml:space="preserve">Vollbringe </w:t>
      </w:r>
      <w:r>
        <w:rPr>
          <w:color w:val="808080"/>
        </w:rPr>
        <w:t>(erzeuge)</w:t>
      </w:r>
      <w:r>
        <w:rPr/>
        <w:t xml:space="preserve"> Tüchtiges</w:t>
      </w:r>
      <w:r>
        <w:rPr>
          <w:rStyle w:val="Funotenanker"/>
        </w:rPr>
        <w:footnoteReference w:customMarkFollows="1" w:id="357"/>
        <w:t>af</w:t>
      </w:r>
      <w:r>
        <w:rPr/>
        <w:t xml:space="preserve"> in EphratahUnd rufe </w:t>
      </w:r>
      <w:r>
        <w:rPr>
          <w:b/>
          <w:color w:val="808080"/>
        </w:rPr>
        <w:t>[</w:t>
      </w:r>
      <w:r>
        <w:rPr/>
        <w:t>einen</w:t>
      </w:r>
      <w:r>
        <w:rPr>
          <w:b/>
          <w:color w:val="808080"/>
        </w:rPr>
        <w:t>]</w:t>
      </w:r>
      <w:r>
        <w:rPr/>
        <w:t xml:space="preserve"> Namen</w:t>
      </w:r>
      <w:r>
        <w:rPr>
          <w:rStyle w:val="Funotenanker"/>
        </w:rPr>
        <w:footnoteReference w:customMarkFollows="1" w:id="358"/>
        <w:t>ag</w:t>
      </w:r>
      <w:r>
        <w:rPr/>
        <w:t xml:space="preserve"> in Bethlehem!</w:t>
        <w:br/>
        <w:t xml:space="preserve">{{field-off:bible}} </w:t>
        <w:br/>
        <w:t>[[@BibleTOBIBLE:Ru 4:12]]</w:t>
      </w:r>
      <w:r>
        <w:rPr>
          <w:b/>
        </w:rPr>
        <w:t>12</w:t>
      </w:r>
      <w:r>
        <w:rPr/>
        <w:t xml:space="preserve"> {{field-on:bible}} </w:t>
        <w:br/>
        <w:t>Es sei dein Haus wie das Haus des Perez,</w:t>
      </w:r>
      <w:r>
        <w:rPr>
          <w:rStyle w:val="Funotenanker"/>
        </w:rPr>
        <w:footnoteReference w:customMarkFollows="1" w:id="359"/>
        <w:t>ah</w:t>
      </w:r>
      <w:r>
        <w:rPr/>
        <w:t xml:space="preserve"> Den Tamar dem Juda gebar</w:t>
        <w:br/>
        <w:t xml:space="preserve">Durch den Nachwuchs,Den </w:t>
      </w:r>
      <w:r>
        <w:rPr>
          <w:smallCaps/>
          <w:color w:val="FF0000"/>
        </w:rPr>
        <w:t>JHWH</w:t>
      </w:r>
      <w:r>
        <w:rPr/>
        <w:t xml:space="preserve"> dir gebe</w:t>
      </w:r>
      <w:r>
        <w:rPr>
          <w:rStyle w:val="Funotenanker"/>
        </w:rPr>
        <w:footnoteReference w:customMarkFollows="1" w:id="360"/>
        <w:t>ai</w:t>
      </w:r>
      <w:r>
        <w:rPr/>
        <w:t xml:space="preserve"> durch diese junge Frau!“</w:t>
        <w:br/>
        <w:t xml:space="preserve">{{field-off:bible}} </w:t>
        <w:br/>
        <w:t>[[@BibleTOBIBLE:Ru 4:13]]</w:t>
      </w:r>
      <w:r>
        <w:rPr>
          <w:b/>
        </w:rPr>
        <w:t>13</w:t>
      </w:r>
      <w:r>
        <w:rPr/>
        <w:t xml:space="preserve"> {{field-on:bible}}Boas nahm Rut,</w:t>
      </w:r>
      <w:r>
        <w:rPr>
          <w:rStyle w:val="Funotenanker"/>
        </w:rPr>
        <w:footnoteReference w:customMarkFollows="1" w:id="361"/>
        <w:t>aj</w:t>
      </w:r>
      <w:r>
        <w:rPr/>
        <w:t xml:space="preserve"> sie wurde seine Frau,</w:t>
      </w:r>
      <w:r>
        <w:rPr>
          <w:rStyle w:val="Funotenanker"/>
        </w:rPr>
        <w:footnoteReference w:customMarkFollows="1" w:id="362"/>
        <w:t>ak</w:t>
      </w:r>
      <w:r>
        <w:rPr/>
        <w:t xml:space="preserve"> er ging zu ihr,</w:t>
      </w:r>
      <w:r>
        <w:rPr>
          <w:rStyle w:val="Funotenanker"/>
        </w:rPr>
        <w:footnoteReference w:customMarkFollows="1" w:id="363"/>
        <w:t>al</w:t>
      </w:r>
      <w:r>
        <w:rPr/>
        <w:t xml:space="preserve"> </w:t>
      </w:r>
      <w:r>
        <w:rPr>
          <w:smallCaps/>
          <w:color w:val="FF0000"/>
        </w:rPr>
        <w:t>JHWH</w:t>
      </w:r>
      <w:r>
        <w:rPr/>
        <w:t xml:space="preserve"> gab ihr Schwangerschaft, sie gebar einen Sohn{{field-off:bible}} </w:t>
        <w:br/>
        <w:t>[[@BibleTOBIBLE:Ru 4:14]]</w:t>
      </w:r>
      <w:r>
        <w:rPr>
          <w:b/>
        </w:rPr>
        <w:t>14</w:t>
      </w:r>
      <w:r>
        <w:rPr/>
        <w:t xml:space="preserve"> {{field-on:bible}}und die Frauen sagten zu Noomi: </w:t>
        <w:br/>
        <w:t xml:space="preserve">„Gepriesen sei </w:t>
      </w:r>
      <w:r>
        <w:rPr>
          <w:smallCaps/>
          <w:color w:val="FF0000"/>
        </w:rPr>
        <w:t>JHWH</w:t>
      </w:r>
      <w:r>
        <w:rPr/>
        <w:t>,Der</w:t>
      </w:r>
      <w:r>
        <w:rPr>
          <w:rStyle w:val="Funotenanker"/>
        </w:rPr>
        <w:footnoteReference w:customMarkFollows="1" w:id="364"/>
        <w:t>am</w:t>
      </w:r>
      <w:r>
        <w:rPr/>
        <w:t xml:space="preserve"> dir heute einen Löser nicht hat fehlen lassen,Sein Name werde gerufen</w:t>
      </w:r>
      <w:r>
        <w:rPr>
          <w:rStyle w:val="Funotenanker"/>
        </w:rPr>
        <w:footnoteReference w:customMarkFollows="1" w:id="365"/>
        <w:t>an</w:t>
      </w:r>
      <w:r>
        <w:rPr/>
        <w:t xml:space="preserve"> in Israel!</w:t>
        <w:br/>
        <w:t xml:space="preserve">{{field-off:bible}} </w:t>
        <w:br/>
        <w:t>[[@BibleTOBIBLE:Ru 4:15]]</w:t>
      </w:r>
      <w:r>
        <w:rPr>
          <w:b/>
        </w:rPr>
        <w:t>15</w:t>
      </w:r>
      <w:r>
        <w:rPr/>
        <w:t xml:space="preserve"> {{field-on:bible}} </w:t>
        <w:br/>
        <w:t xml:space="preserve">Möge er dir </w:t>
      </w:r>
      <w:r>
        <w:rPr>
          <w:color w:val="808080"/>
        </w:rPr>
        <w:t>(er wird dir)</w:t>
      </w:r>
      <w:r>
        <w:rPr/>
        <w:t xml:space="preserve"> </w:t>
      </w:r>
      <w:r>
        <w:rPr>
          <w:b/>
          <w:color w:val="808080"/>
        </w:rPr>
        <w:t>[</w:t>
      </w:r>
      <w:r>
        <w:rPr/>
        <w:t>der</w:t>
      </w:r>
      <w:r>
        <w:rPr>
          <w:b/>
          <w:color w:val="808080"/>
        </w:rPr>
        <w:t>]</w:t>
      </w:r>
      <w:r>
        <w:rPr/>
        <w:t xml:space="preserve"> sein, </w:t>
      </w:r>
      <w:r>
        <w:rPr>
          <w:b/>
          <w:color w:val="808080"/>
        </w:rPr>
        <w:t>[</w:t>
      </w:r>
      <w:r>
        <w:rPr/>
        <w:t>der</w:t>
      </w:r>
      <w:r>
        <w:rPr>
          <w:b/>
          <w:color w:val="808080"/>
        </w:rPr>
        <w:t>]</w:t>
      </w:r>
      <w:r>
        <w:rPr/>
        <w:t xml:space="preserve"> Lebenskraft zurückkehren lässt</w:t>
      </w:r>
      <w:r>
        <w:rPr>
          <w:rStyle w:val="Funotenanker"/>
        </w:rPr>
        <w:footnoteReference w:customMarkFollows="1" w:id="366"/>
        <w:t>ao</w:t>
      </w:r>
      <w:r>
        <w:rPr/>
        <w:t xml:space="preserve">Und </w:t>
      </w:r>
      <w:r>
        <w:rPr>
          <w:b/>
          <w:color w:val="808080"/>
        </w:rPr>
        <w:t>[</w:t>
      </w:r>
      <w:r>
        <w:rPr/>
        <w:t>der</w:t>
      </w:r>
      <w:r>
        <w:rPr>
          <w:b/>
          <w:color w:val="808080"/>
        </w:rPr>
        <w:t>]</w:t>
      </w:r>
      <w:r>
        <w:rPr/>
        <w:t xml:space="preserve"> dein Alter erhält!</w:t>
        <w:br/>
        <w:t xml:space="preserve">Ja!, </w:t>
      </w:r>
      <w:r>
        <w:rPr>
          <w:color w:val="808080"/>
        </w:rPr>
        <w:t>(denn)</w:t>
      </w:r>
      <w:r>
        <w:rPr/>
        <w:t xml:space="preserve"> </w:t>
      </w:r>
      <w:r>
        <w:rPr>
          <w:rStyle w:val="Funotenanker"/>
        </w:rPr>
        <w:footnoteReference w:customMarkFollows="1" w:id="367"/>
        <w:t>ap</w:t>
      </w:r>
      <w:r>
        <w:rPr/>
        <w:t xml:space="preserve"> deine Schwiegertochter, die dich liebt, hat ihn geboren,Sie, die besser für dich </w:t>
      </w:r>
      <w:r>
        <w:rPr>
          <w:b/>
          <w:color w:val="808080"/>
        </w:rPr>
        <w:t>[</w:t>
      </w:r>
      <w:r>
        <w:rPr/>
        <w:t>ist</w:t>
      </w:r>
      <w:r>
        <w:rPr>
          <w:b/>
          <w:color w:val="808080"/>
        </w:rPr>
        <w:t>]</w:t>
      </w:r>
      <w:r>
        <w:rPr/>
        <w:t xml:space="preserve"> als sieben Söhne!“</w:t>
        <w:br/>
        <w:t xml:space="preserve">{{field-off:bible}} </w:t>
        <w:br/>
        <w:t>[[@BibleTOBIBLE:Ru 4:16]]</w:t>
      </w:r>
      <w:r>
        <w:rPr>
          <w:b/>
        </w:rPr>
        <w:t>16</w:t>
      </w:r>
      <w:r>
        <w:rPr/>
        <w:t xml:space="preserve"> {{field-on:bible}}Noomi nahm den Säugling, hob ihn an ihre Brust,</w:t>
      </w:r>
      <w:r>
        <w:rPr>
          <w:rStyle w:val="Funotenanker"/>
        </w:rPr>
        <w:footnoteReference w:customMarkFollows="1" w:id="368"/>
        <w:t>aq</w:t>
      </w:r>
      <w:r>
        <w:rPr/>
        <w:t xml:space="preserve"> wurde seine Kinderfrau{{field-off:bible}} </w:t>
        <w:br/>
        <w:t>[[@BibleTOBIBLE:Ru 4:17]]</w:t>
      </w:r>
      <w:r>
        <w:rPr>
          <w:b/>
        </w:rPr>
        <w:t>17</w:t>
      </w:r>
      <w:r>
        <w:rPr/>
        <w:t xml:space="preserve"> {{field-on:bible}}und die Bürgerinnen </w:t>
      </w:r>
      <w:r>
        <w:rPr>
          <w:color w:val="808080"/>
        </w:rPr>
        <w:t>(Nachbarinnen)</w:t>
      </w:r>
      <w:r>
        <w:rPr/>
        <w:t xml:space="preserve"> gaben ihm einen Namen </w:t>
      </w:r>
      <w:r>
        <w:rPr>
          <w:color w:val="808080"/>
        </w:rPr>
        <w:t>(riefen)</w:t>
      </w:r>
      <w:r>
        <w:rPr/>
        <w:t xml:space="preserve">, indem sie sagten </w:t>
      </w:r>
      <w:r>
        <w:rPr>
          <w:color w:val="808080"/>
        </w:rPr>
        <w:t>(wie folgt)</w:t>
      </w:r>
      <w:r>
        <w:rPr/>
        <w:t xml:space="preserve">: „Ein Sohn ist der Noomi geboren!“, und sie nannten seinen Namen „Obed </w:t>
      </w:r>
      <w:r>
        <w:rPr>
          <w:color w:val="808080"/>
        </w:rPr>
        <w:t>(Diener)</w:t>
      </w:r>
      <w:r>
        <w:rPr/>
        <w:t>“.</w:t>
      </w:r>
      <w:r>
        <w:rPr>
          <w:rStyle w:val="Funotenanker"/>
        </w:rPr>
        <w:footnoteReference w:customMarkFollows="1" w:id="369"/>
        <w:t>ar</w:t>
      </w:r>
      <w:r>
        <w:rPr/>
        <w:t xml:space="preserve"> Dieser war der Vater von Isai, dem Vater Davids.{{field-off:bible}} </w:t>
        <w:br/>
        <w:t>[[@BibleTOBIBLE:Ru 4:18]]</w:t>
      </w:r>
      <w:r>
        <w:rPr>
          <w:b/>
        </w:rPr>
        <w:t>18</w:t>
      </w:r>
      <w:r>
        <w:rPr/>
        <w:t xml:space="preserve"> {{field-on:bible}}Dies </w:t>
      </w:r>
      <w:r>
        <w:rPr>
          <w:b/>
          <w:color w:val="808080"/>
        </w:rPr>
        <w:t>[</w:t>
      </w:r>
      <w:r>
        <w:rPr/>
        <w:t>also</w:t>
      </w:r>
      <w:r>
        <w:rPr>
          <w:b/>
          <w:color w:val="808080"/>
        </w:rPr>
        <w:t>]</w:t>
      </w:r>
      <w:r>
        <w:rPr/>
        <w:t xml:space="preserve"> sind die Zeugungen von Perez:</w:t>
      </w:r>
      <w:r>
        <w:rPr>
          <w:rStyle w:val="Funotenanker"/>
        </w:rPr>
        <w:footnoteReference w:customMarkFollows="1" w:id="370"/>
        <w:t>as</w:t>
      </w:r>
      <w:r>
        <w:rPr/>
        <w:t xml:space="preserve"> Perez zeugte den Hezron,{{field-off:bible}} </w:t>
        <w:br/>
        <w:t>[[@BibleTOBIBLE:Ru 4:19]]</w:t>
      </w:r>
      <w:r>
        <w:rPr>
          <w:b/>
        </w:rPr>
        <w:t>19</w:t>
      </w:r>
      <w:r>
        <w:rPr/>
        <w:t xml:space="preserve"> {{field-on:bible}}Hezron zeugte Ram, Ram zeugte Amminadab,{{field-off:bible}} </w:t>
        <w:br/>
        <w:t>[[@BibleTOBIBLE:Ru 4:20]]</w:t>
      </w:r>
      <w:r>
        <w:rPr>
          <w:b/>
        </w:rPr>
        <w:t>20</w:t>
      </w:r>
      <w:r>
        <w:rPr/>
        <w:t xml:space="preserve"> {{field-on:bible}}Amminadab zeugte Nachschon, Nachschon zeugte Salmon,{{field-off:bible}} </w:t>
        <w:br/>
        <w:t>[[@BibleTOBIBLE:Ru 4:21]]</w:t>
      </w:r>
      <w:r>
        <w:rPr>
          <w:b/>
        </w:rPr>
        <w:t>21</w:t>
      </w:r>
      <w:r>
        <w:rPr/>
        <w:t xml:space="preserve"> {{field-on:bible}}Salmon zeugte Boas, Boas zeugte Obed,{{field-off:bible}} </w:t>
        <w:br/>
        <w:t>[[@BibleTOBIBLE:Ru 4:22]]</w:t>
      </w:r>
      <w:r>
        <w:rPr>
          <w:b/>
        </w:rPr>
        <w:t>22</w:t>
      </w:r>
      <w:r>
        <w:rPr/>
        <w:t xml:space="preserve"> {{field-on:bible}}Obed zeugte Isai, Isai zeugte David.</w:t>
      </w:r>
      <w:r>
        <w:rPr>
          <w:rStyle w:val="Funotenanker"/>
        </w:rPr>
        <w:footnoteReference w:customMarkFollows="1" w:id="371"/>
        <w:t>at</w:t>
      </w:r>
      <w:r>
        <w:rPr/>
        <w:t xml:space="preserve"> {{field-off:bible}} </w:t>
      </w:r>
    </w:p>
    <w:p>
      <w:pPr>
        <w:pStyle w:val="Berschrift2"/>
        <w:rPr/>
      </w:pPr>
      <w:r>
        <w:rPr/>
        <w:t>[[@BibleTOBIBLE:2Sa]]2 Samuel</w:t>
      </w:r>
    </w:p>
    <w:p>
      <w:pPr>
        <w:pStyle w:val="Berschrift3"/>
        <w:rPr/>
      </w:pPr>
      <w:r>
        <w:rPr/>
        <w:t>[[@BibleTOBIBLE:2Sa 22]]Kapitel 22</w:t>
      </w:r>
    </w:p>
    <w:p>
      <w:pPr>
        <w:pStyle w:val="Textkrper"/>
        <w:rPr/>
      </w:pPr>
      <w:r>
        <w:rPr/>
        <w:br/>
        <w:t>[[@BibleTOBIBLE:2Sa 22:1]]</w:t>
      </w:r>
      <w:r>
        <w:rPr>
          <w:b/>
        </w:rPr>
        <w:t>1</w:t>
      </w:r>
      <w:r>
        <w:rPr/>
        <w:t xml:space="preserve"> {{field-on:bible}} </w:t>
      </w:r>
      <w:r>
        <w:rPr>
          <w:rStyle w:val="Funotenanker"/>
        </w:rPr>
        <w:footnoteReference w:customMarkFollows="1" w:id="372"/>
        <w:t>Status</w:t>
      </w:r>
      <w:r>
        <w:rPr/>
        <w:t xml:space="preserve"> David sprach zu </w:t>
      </w:r>
      <w:r>
        <w:rPr>
          <w:smallCaps/>
          <w:color w:val="FF0000"/>
        </w:rPr>
        <w:t>JHWH</w:t>
      </w:r>
      <w:r>
        <w:rPr/>
        <w:t xml:space="preserve"> die Worte dieses Lieds am Tag, als JHWH ihn rettete aus der Handfläche all seiner Feinde und aus der Handfläche</w:t>
      </w:r>
      <w:r>
        <w:rPr>
          <w:rStyle w:val="Funotenanker"/>
        </w:rPr>
        <w:footnoteReference w:customMarkFollows="1" w:id="373"/>
        <w:t>a</w:t>
      </w:r>
      <w:r>
        <w:rPr/>
        <w:t xml:space="preserve"> Sauls.{{field-off:bible}} </w:t>
        <w:br/>
        <w:t>[[@BibleTOBIBLE:2Sa 22:2]]</w:t>
      </w:r>
      <w:r>
        <w:rPr>
          <w:b/>
        </w:rPr>
        <w:t>2</w:t>
      </w:r>
      <w:r>
        <w:rPr/>
        <w:t xml:space="preserve"> {{field-on:bible}}Und er sagte: </w:t>
        <w:br/>
      </w:r>
      <w:r>
        <w:rPr>
          <w:smallCaps/>
          <w:color w:val="FF0000"/>
        </w:rPr>
        <w:t>JHWH</w:t>
      </w:r>
      <w:r>
        <w:rPr/>
        <w:t xml:space="preserve"> </w:t>
      </w:r>
      <w:r>
        <w:rPr>
          <w:b/>
          <w:color w:val="808080"/>
        </w:rPr>
        <w:t>[</w:t>
      </w:r>
      <w:r>
        <w:rPr/>
        <w:t>ist</w:t>
      </w:r>
      <w:r>
        <w:rPr>
          <w:b/>
          <w:color w:val="808080"/>
        </w:rPr>
        <w:t>]</w:t>
      </w:r>
      <w:r>
        <w:rPr/>
        <w:t xml:space="preserve"> mein Fels und meine Burg und mein Retter,</w:t>
        <w:br/>
        <w:t xml:space="preserve">{{field-off:bible}} </w:t>
        <w:br/>
        <w:t>[[@BibleTOBIBLE:2Sa 22:3]]</w:t>
      </w:r>
      <w:r>
        <w:rPr>
          <w:b/>
        </w:rPr>
        <w:t>3</w:t>
      </w:r>
      <w:r>
        <w:rPr/>
        <w:t xml:space="preserve"> {{field-on:bible}} </w:t>
        <w:br/>
        <w:t xml:space="preserve">Mein Gott </w:t>
      </w:r>
      <w:r>
        <w:rPr>
          <w:b/>
          <w:color w:val="808080"/>
        </w:rPr>
        <w:t>[</w:t>
      </w:r>
      <w:r>
        <w:rPr/>
        <w:t>ist</w:t>
      </w:r>
      <w:r>
        <w:rPr>
          <w:b/>
          <w:color w:val="808080"/>
        </w:rPr>
        <w:t>]</w:t>
      </w:r>
      <w:r>
        <w:rPr/>
        <w:t xml:space="preserve"> </w:t>
      </w:r>
      <w:r>
        <w:rPr>
          <w:color w:val="808080"/>
        </w:rPr>
        <w:t>(,)</w:t>
      </w:r>
      <w:r>
        <w:rPr/>
        <w:t xml:space="preserve"> mein Berg, zu dem ich fliehe </w:t>
      </w:r>
      <w:r>
        <w:rPr>
          <w:color w:val="808080"/>
        </w:rPr>
        <w:t>(auf den ich vertraue)</w:t>
      </w:r>
      <w:r>
        <w:rPr/>
        <w:t>,</w:t>
        <w:br/>
        <w:t xml:space="preserve">Mein Schild, das Horn meiner Rettung, meine Klippe </w:t>
      </w:r>
      <w:r>
        <w:rPr>
          <w:color w:val="808080"/>
        </w:rPr>
        <w:t>(Festung)</w:t>
      </w:r>
      <w:r>
        <w:rPr/>
        <w:t xml:space="preserve"> und meine Zuflucht,Mein Retter, vor Gewalttat wirst du mich retten!</w:t>
        <w:br/>
        <w:t xml:space="preserve">{{field-off:bible}} </w:t>
        <w:br/>
        <w:t>[[@BibleTOBIBLE:2Sa 22:4]]</w:t>
      </w:r>
      <w:r>
        <w:rPr>
          <w:b/>
        </w:rPr>
        <w:t>4</w:t>
      </w:r>
      <w:r>
        <w:rPr/>
        <w:t xml:space="preserve"> {{field-on:bible}} </w:t>
        <w:br/>
        <w:t xml:space="preserve">Als Lobenswerten will ich anrufen </w:t>
      </w:r>
      <w:r>
        <w:rPr>
          <w:smallCaps/>
          <w:color w:val="FF0000"/>
        </w:rPr>
        <w:t>JHWH</w:t>
      </w:r>
      <w:r>
        <w:rPr/>
        <w:t xml:space="preserve">Und von meinen Feinden will </w:t>
      </w:r>
      <w:r>
        <w:rPr>
          <w:color w:val="808080"/>
        </w:rPr>
        <w:t>(werde)</w:t>
      </w:r>
      <w:r>
        <w:rPr/>
        <w:t xml:space="preserve"> ich gerettet werden.</w:t>
        <w:br/>
        <w:br/>
        <w:t xml:space="preserve">{{field-off:bible}} </w:t>
        <w:br/>
        <w:t>[[@BibleTOBIBLE:2Sa 22:5]]</w:t>
      </w:r>
      <w:r>
        <w:rPr>
          <w:b/>
        </w:rPr>
        <w:t>5</w:t>
      </w:r>
      <w:r>
        <w:rPr/>
        <w:t xml:space="preserve"> {{field-on:bible}} </w:t>
        <w:br/>
        <w:t>Denn es umgaben mich Wogen des Todes,Die Flüsse Belias werden mich erschrecken!</w:t>
      </w:r>
      <w:r>
        <w:rPr>
          <w:rStyle w:val="Funotenanker"/>
        </w:rPr>
        <w:footnoteReference w:customMarkFollows="1" w:id="374"/>
        <w:t>b</w:t>
      </w:r>
      <w:r>
        <w:rPr/>
        <w:t xml:space="preserve"> </w:t>
        <w:br/>
        <w:t xml:space="preserve">{{field-off:bible}} </w:t>
        <w:br/>
        <w:t>[[@BibleTOBIBLE:2Sa 22:6]]</w:t>
      </w:r>
      <w:r>
        <w:rPr>
          <w:b/>
        </w:rPr>
        <w:t>6</w:t>
      </w:r>
      <w:r>
        <w:rPr/>
        <w:t xml:space="preserve"> {{field-on:bible}} </w:t>
        <w:br/>
        <w:t>Die Stricke des Scheol</w:t>
      </w:r>
      <w:r>
        <w:rPr>
          <w:rStyle w:val="Funotenanker"/>
        </w:rPr>
        <w:footnoteReference w:customMarkFollows="1" w:id="375"/>
        <w:t>c</w:t>
      </w:r>
      <w:r>
        <w:rPr/>
        <w:t xml:space="preserve"> umfingen mich, Es ereilten mich die Schlingen des Todes.</w:t>
        <w:br/>
        <w:t xml:space="preserve">{{field-off:bible}} </w:t>
        <w:br/>
        <w:t>[[@BibleTOBIBLE:2Sa 22:7]]</w:t>
      </w:r>
      <w:r>
        <w:rPr>
          <w:b/>
        </w:rPr>
        <w:t>7</w:t>
      </w:r>
      <w:r>
        <w:rPr/>
        <w:t xml:space="preserve"> {{field-on:bible}} </w:t>
        <w:br/>
      </w:r>
      <w:r>
        <w:rPr>
          <w:b/>
          <w:color w:val="808080"/>
        </w:rPr>
        <w:t>[</w:t>
      </w:r>
      <w:r>
        <w:rPr/>
        <w:t>Ich sprach:</w:t>
      </w:r>
      <w:r>
        <w:rPr>
          <w:b/>
          <w:color w:val="808080"/>
        </w:rPr>
        <w:t>]</w:t>
      </w:r>
      <w:r>
        <w:rPr/>
        <w:t xml:space="preserve"> „In meiner Not will ich anrufen </w:t>
      </w:r>
      <w:r>
        <w:rPr>
          <w:smallCaps/>
          <w:color w:val="FF0000"/>
        </w:rPr>
        <w:t>JHWH</w:t>
      </w:r>
      <w:r>
        <w:rPr/>
        <w:t>Und meinen Gott will ich anrufen.</w:t>
        <w:br/>
        <w:t>Er soll hören in seinem Tempel meine StimmeUnd mein Schreien soll kommen in seinem Ohr!“</w:t>
        <w:br/>
        <w:br/>
        <w:br/>
        <w:t xml:space="preserve">{{field-off:bible}} </w:t>
        <w:br/>
        <w:t>[[@BibleTOBIBLE:2Sa 22:8]]</w:t>
      </w:r>
      <w:r>
        <w:rPr>
          <w:b/>
        </w:rPr>
        <w:t>8</w:t>
      </w:r>
      <w:r>
        <w:rPr/>
        <w:t xml:space="preserve"> {{field-on:bible}} </w:t>
        <w:br/>
        <w:t>Da wankte und schwankte die ErdeUnd die Pfeiler des Himmels</w:t>
      </w:r>
      <w:r>
        <w:rPr>
          <w:rStyle w:val="Funotenanker"/>
        </w:rPr>
        <w:footnoteReference w:customMarkFollows="1" w:id="376"/>
        <w:t>d</w:t>
      </w:r>
      <w:r>
        <w:rPr/>
        <w:t xml:space="preserve"> bebten und wanktenDenn es loderte in ihm.</w:t>
        <w:br/>
        <w:t xml:space="preserve">{{field-off:bible}} </w:t>
        <w:br/>
        <w:t>[[@BibleTOBIBLE:2Sa 22:9]]</w:t>
      </w:r>
      <w:r>
        <w:rPr>
          <w:b/>
        </w:rPr>
        <w:t>9</w:t>
      </w:r>
      <w:r>
        <w:rPr/>
        <w:t xml:space="preserve"> {{field-on:bible}} </w:t>
        <w:br/>
        <w:t xml:space="preserve">Es stieg Rauch aus seiner NaseUnd Feuer fraß aus seinem Mund;Kohlen brannten aus ihm hervor </w:t>
      </w:r>
      <w:r>
        <w:rPr>
          <w:color w:val="808080"/>
        </w:rPr>
        <w:t>(entbrannten durch es)</w:t>
      </w:r>
      <w:r>
        <w:rPr/>
        <w:t>.</w:t>
        <w:br/>
        <w:t xml:space="preserve">{{field-off:bible}} </w:t>
        <w:br/>
        <w:t>[[@BibleTOBIBLE:2Sa 22:10]]</w:t>
      </w:r>
      <w:r>
        <w:rPr>
          <w:b/>
        </w:rPr>
        <w:t>10</w:t>
      </w:r>
      <w:r>
        <w:rPr/>
        <w:t xml:space="preserve"> {{field-on:bible}} </w:t>
        <w:br/>
        <w:t xml:space="preserve">Und er öffnete </w:t>
      </w:r>
      <w:r>
        <w:rPr>
          <w:color w:val="808080"/>
        </w:rPr>
        <w:t>(neigte)</w:t>
      </w:r>
      <w:r>
        <w:rPr/>
        <w:t xml:space="preserve"> den Himmel</w:t>
      </w:r>
      <w:r>
        <w:rPr>
          <w:rStyle w:val="Funotenanker"/>
        </w:rPr>
        <w:footnoteReference w:customMarkFollows="1" w:id="377"/>
        <w:t>e</w:t>
      </w:r>
      <w:r>
        <w:rPr/>
        <w:t xml:space="preserve"> und stieg herabUnd eine Wolke </w:t>
      </w:r>
      <w:r>
        <w:rPr>
          <w:color w:val="808080"/>
        </w:rPr>
        <w:t>(Dunkelheit)</w:t>
      </w:r>
      <w:r>
        <w:rPr/>
        <w:t xml:space="preserve"> </w:t>
      </w:r>
      <w:r>
        <w:rPr>
          <w:b/>
          <w:color w:val="808080"/>
        </w:rPr>
        <w:t>[</w:t>
      </w:r>
      <w:r>
        <w:rPr/>
        <w:t>war</w:t>
      </w:r>
      <w:r>
        <w:rPr>
          <w:b/>
          <w:color w:val="808080"/>
        </w:rPr>
        <w:t>]</w:t>
      </w:r>
      <w:r>
        <w:rPr/>
        <w:t xml:space="preserve"> unter seinen Füßen.</w:t>
        <w:br/>
        <w:t xml:space="preserve">{{field-off:bible}} </w:t>
        <w:br/>
        <w:t>[[@BibleTOBIBLE:2Sa 22:11]]</w:t>
      </w:r>
      <w:r>
        <w:rPr>
          <w:b/>
        </w:rPr>
        <w:t>11</w:t>
      </w:r>
      <w:r>
        <w:rPr/>
        <w:t xml:space="preserve"> {{field-on:bible}} </w:t>
        <w:br/>
        <w:t>Und er ritt auf einem Kerub</w:t>
      </w:r>
      <w:r>
        <w:rPr>
          <w:rStyle w:val="Funotenanker"/>
        </w:rPr>
        <w:footnoteReference w:customMarkFollows="1" w:id="378"/>
        <w:t>f</w:t>
      </w:r>
      <w:r>
        <w:rPr/>
        <w:t xml:space="preserve"> und flogUnd schoß herab auf den Flügeln des Windes.</w:t>
        <w:br/>
        <w:br/>
        <w:t xml:space="preserve">{{field-off:bible}} </w:t>
        <w:br/>
        <w:t>[[@BibleTOBIBLE:2Sa 22:12]]</w:t>
      </w:r>
      <w:r>
        <w:rPr>
          <w:b/>
        </w:rPr>
        <w:t>12</w:t>
      </w:r>
      <w:r>
        <w:rPr/>
        <w:t xml:space="preserve"> {{field-on:bible}} </w:t>
        <w:br/>
        <w:t xml:space="preserve">Und er setzte Dunkelheit als seine Bedeckung um sich,Seine Hütte </w:t>
      </w:r>
      <w:r>
        <w:rPr>
          <w:b/>
          <w:color w:val="808080"/>
        </w:rPr>
        <w:t>[</w:t>
      </w:r>
      <w:r>
        <w:rPr/>
        <w:t>waren aus</w:t>
      </w:r>
      <w:r>
        <w:rPr>
          <w:b/>
          <w:color w:val="808080"/>
        </w:rPr>
        <w:t>]</w:t>
      </w:r>
      <w:r>
        <w:rPr/>
        <w:t xml:space="preserve"> Massen von Wassern in den Wolken des Himmels.</w:t>
        <w:br/>
        <w:t xml:space="preserve">{{field-off:bible}} </w:t>
        <w:br/>
        <w:t>[[@BibleTOBIBLE:2Sa 22:13]]</w:t>
      </w:r>
      <w:r>
        <w:rPr>
          <w:b/>
        </w:rPr>
        <w:t>13</w:t>
      </w:r>
      <w:r>
        <w:rPr/>
        <w:t xml:space="preserve"> {{field-on:bible}} </w:t>
        <w:br/>
        <w:t>Aus dem Glanz vor ihm gingen ausHagel und Kohlen von Feuer.</w:t>
        <w:br/>
        <w:t xml:space="preserve">{{field-off:bible}} </w:t>
        <w:br/>
        <w:t>[[@BibleTOBIBLE:2Sa 22:14]]</w:t>
      </w:r>
      <w:r>
        <w:rPr>
          <w:b/>
        </w:rPr>
        <w:t>14</w:t>
      </w:r>
      <w:r>
        <w:rPr/>
        <w:t xml:space="preserve"> {{field-on:bible}} </w:t>
        <w:br/>
        <w:t xml:space="preserve">Und es donnerte aus dem Himmel </w:t>
      </w:r>
      <w:r>
        <w:rPr>
          <w:smallCaps/>
          <w:color w:val="FF0000"/>
        </w:rPr>
        <w:t>JHWH</w:t>
      </w:r>
      <w:r>
        <w:rPr/>
        <w:t xml:space="preserve"> Und Eljon wird geben</w:t>
      </w:r>
      <w:r>
        <w:rPr>
          <w:rStyle w:val="Funotenanker"/>
        </w:rPr>
        <w:footnoteReference w:customMarkFollows="1" w:id="379"/>
        <w:t>g</w:t>
      </w:r>
      <w:r>
        <w:rPr/>
        <w:t xml:space="preserve"> seine Stimme.</w:t>
        <w:br/>
        <w:t xml:space="preserve">{{field-off:bible}} </w:t>
        <w:br/>
        <w:t>[[@BibleTOBIBLE:2Sa 22:15]]</w:t>
      </w:r>
      <w:r>
        <w:rPr>
          <w:b/>
        </w:rPr>
        <w:t>15</w:t>
      </w:r>
      <w:r>
        <w:rPr/>
        <w:t xml:space="preserve"> {{field-on:bible}} </w:t>
        <w:br/>
        <w:t>Und er warf Pfeile und zerstreute diese,Einen Blitz schoß er und verwirrte er.</w:t>
      </w:r>
      <w:r>
        <w:rPr>
          <w:rStyle w:val="Funotenanker"/>
        </w:rPr>
        <w:footnoteReference w:customMarkFollows="1" w:id="380"/>
        <w:t>h</w:t>
      </w:r>
      <w:r>
        <w:rPr/>
        <w:t xml:space="preserve"> </w:t>
        <w:br/>
        <w:t xml:space="preserve">{{field-off:bible}} </w:t>
        <w:br/>
        <w:t>[[@BibleTOBIBLE:2Sa 22:16]]</w:t>
      </w:r>
      <w:r>
        <w:rPr>
          <w:b/>
        </w:rPr>
        <w:t>16</w:t>
      </w:r>
      <w:r>
        <w:rPr/>
        <w:t xml:space="preserve"> {{field-on:bible}} </w:t>
        <w:br/>
        <w:t>Und es wurden gesehen die Betten der Wasser,Es werden bloßgelegt werden</w:t>
      </w:r>
      <w:r>
        <w:rPr>
          <w:rStyle w:val="Funotenanker"/>
        </w:rPr>
        <w:footnoteReference w:customMarkFollows="1" w:id="381"/>
        <w:t>i</w:t>
      </w:r>
      <w:r>
        <w:rPr/>
        <w:t xml:space="preserve"> die Fundamente der Erde.</w:t>
      </w:r>
      <w:r>
        <w:rPr>
          <w:rStyle w:val="Funotenanker"/>
        </w:rPr>
        <w:footnoteReference w:customMarkFollows="1" w:id="382"/>
        <w:t>j</w:t>
      </w:r>
      <w:r>
        <w:rPr/>
        <w:t xml:space="preserve"> </w:t>
        <w:br/>
        <w:t xml:space="preserve">Durch dein Schelten, </w:t>
      </w:r>
      <w:r>
        <w:rPr>
          <w:smallCaps/>
          <w:color w:val="FF0000"/>
        </w:rPr>
        <w:t>JHWH</w:t>
      </w:r>
      <w:r>
        <w:rPr/>
        <w:t>,Durch das Schnauben des Windes deiner Nase.</w:t>
        <w:br/>
        <w:br/>
        <w:t xml:space="preserve">{{field-off:bible}} </w:t>
        <w:br/>
        <w:t>[[@BibleTOBIBLE:2Sa 22:17]]</w:t>
      </w:r>
      <w:r>
        <w:rPr>
          <w:b/>
        </w:rPr>
        <w:t>17</w:t>
      </w:r>
      <w:r>
        <w:rPr/>
        <w:t xml:space="preserve"> {{field-on:bible}} </w:t>
        <w:br/>
      </w:r>
      <w:r>
        <w:rPr>
          <w:b/>
          <w:color w:val="808080"/>
        </w:rPr>
        <w:t>[</w:t>
      </w:r>
      <w:r>
        <w:rPr/>
        <w:t>Ich sprach:</w:t>
      </w:r>
      <w:r>
        <w:rPr>
          <w:b/>
          <w:color w:val="808080"/>
        </w:rPr>
        <w:t>]</w:t>
      </w:r>
      <w:r>
        <w:rPr/>
        <w:t xml:space="preserve"> „Er möge </w:t>
      </w:r>
      <w:r>
        <w:rPr>
          <w:color w:val="808080"/>
        </w:rPr>
        <w:t>(wird)</w:t>
      </w:r>
      <w:r>
        <w:rPr/>
        <w:t xml:space="preserve"> senden aus der Höhe,</w:t>
      </w:r>
      <w:r>
        <w:rPr>
          <w:rStyle w:val="Funotenanker"/>
        </w:rPr>
        <w:footnoteReference w:customMarkFollows="1" w:id="383"/>
        <w:t>k</w:t>
      </w:r>
      <w:r>
        <w:rPr/>
        <w:t xml:space="preserve"> mich ergreifen,Mich herausziehen aus vielen Wassern,</w:t>
      </w:r>
      <w:r>
        <w:rPr>
          <w:rStyle w:val="Funotenanker"/>
        </w:rPr>
        <w:footnoteReference w:customMarkFollows="1" w:id="384"/>
        <w:t>l</w:t>
      </w:r>
      <w:r>
        <w:rPr/>
        <w:t xml:space="preserve"> </w:t>
        <w:br/>
        <w:t xml:space="preserve">{{field-off:bible}} </w:t>
        <w:br/>
        <w:t>[[@BibleTOBIBLE:2Sa 22:18]]</w:t>
      </w:r>
      <w:r>
        <w:rPr>
          <w:b/>
        </w:rPr>
        <w:t>18</w:t>
      </w:r>
      <w:r>
        <w:rPr/>
        <w:t xml:space="preserve"> {{field-on:bible}} </w:t>
        <w:br/>
        <w:t>Es möge mich retten vor meinem Feind der Starke Und vor meinen Hassern, weil sie kräftiger sind als ich!</w:t>
        <w:br/>
        <w:t xml:space="preserve">{{field-off:bible}} </w:t>
        <w:br/>
        <w:t>[[@BibleTOBIBLE:2Sa 22:19]]</w:t>
      </w:r>
      <w:r>
        <w:rPr>
          <w:b/>
        </w:rPr>
        <w:t>19</w:t>
      </w:r>
      <w:r>
        <w:rPr/>
        <w:t xml:space="preserve"> {{field-on:bible}} </w:t>
        <w:br/>
        <w:t>Sie werden mir entgegentreten am Tag meines Unglücks!“</w:t>
        <w:br/>
        <w:t xml:space="preserve">Und </w:t>
      </w:r>
      <w:r>
        <w:rPr>
          <w:smallCaps/>
          <w:color w:val="FF0000"/>
        </w:rPr>
        <w:t>JHWH</w:t>
      </w:r>
      <w:r>
        <w:rPr/>
        <w:t xml:space="preserve"> war meine Stütze:</w:t>
        <w:br/>
        <w:t xml:space="preserve">{{field-off:bible}} </w:t>
        <w:br/>
        <w:t>[[@BibleTOBIBLE:2Sa 22:20]]</w:t>
      </w:r>
      <w:r>
        <w:rPr>
          <w:b/>
        </w:rPr>
        <w:t>20</w:t>
      </w:r>
      <w:r>
        <w:rPr/>
        <w:t xml:space="preserve"> {{field-on:bible}} </w:t>
        <w:br/>
        <w:t>Er führte mich ins Weite.</w:t>
        <w:br/>
        <w:br/>
      </w:r>
      <w:r>
        <w:rPr>
          <w:b/>
          <w:color w:val="808080"/>
        </w:rPr>
        <w:t>[</w:t>
      </w:r>
      <w:r>
        <w:rPr/>
        <w:t>Ich wusste:</w:t>
      </w:r>
      <w:r>
        <w:rPr>
          <w:b/>
          <w:color w:val="808080"/>
        </w:rPr>
        <w:t>]</w:t>
      </w:r>
      <w:r>
        <w:rPr/>
        <w:t xml:space="preserve"> „Er wird mich retten, weil er Gefallen hat an mir:</w:t>
        <w:br/>
        <w:t xml:space="preserve">{{field-off:bible}} </w:t>
        <w:br/>
        <w:t>[[@BibleTOBIBLE:2Sa 22:21]]</w:t>
      </w:r>
      <w:r>
        <w:rPr>
          <w:b/>
        </w:rPr>
        <w:t>21</w:t>
      </w:r>
      <w:r>
        <w:rPr/>
        <w:t xml:space="preserve"> {{field-on:bible}} </w:t>
        <w:br/>
        <w:t xml:space="preserve">Es wird mich belohnen </w:t>
      </w:r>
      <w:r>
        <w:rPr>
          <w:smallCaps/>
          <w:color w:val="FF0000"/>
        </w:rPr>
        <w:t>JHWH</w:t>
      </w:r>
      <w:r>
        <w:rPr/>
        <w:t xml:space="preserve"> entsprechend meiner Gerechtigkeit,Entsprechend der Reinheit meiner Hände wird er mir zurückgeben,</w:t>
        <w:br/>
        <w:t xml:space="preserve">{{field-off:bible}} </w:t>
        <w:br/>
        <w:t>[[@BibleTOBIBLE:2Sa 22:22]]</w:t>
      </w:r>
      <w:r>
        <w:rPr>
          <w:b/>
        </w:rPr>
        <w:t>22</w:t>
      </w:r>
      <w:r>
        <w:rPr/>
        <w:t xml:space="preserve"> {{field-on:bible}} </w:t>
        <w:br/>
        <w:t xml:space="preserve">Denn ich wahrte die Wege </w:t>
      </w:r>
      <w:r>
        <w:rPr>
          <w:smallCaps/>
          <w:color w:val="FF0000"/>
        </w:rPr>
        <w:t>JHWH</w:t>
      </w:r>
      <w:r>
        <w:rPr/>
        <w:t>sUnd handelte nicht böse von</w:t>
      </w:r>
      <w:r>
        <w:rPr>
          <w:rStyle w:val="Funotenanker"/>
        </w:rPr>
        <w:footnoteReference w:customMarkFollows="1" w:id="385"/>
        <w:t>m</w:t>
      </w:r>
      <w:r>
        <w:rPr/>
        <w:t xml:space="preserve"> meinem Gott,</w:t>
        <w:br/>
        <w:t xml:space="preserve">{{field-off:bible}} </w:t>
        <w:br/>
        <w:t>[[@BibleTOBIBLE:2Sa 22:23]]</w:t>
      </w:r>
      <w:r>
        <w:rPr>
          <w:b/>
        </w:rPr>
        <w:t>23</w:t>
      </w:r>
      <w:r>
        <w:rPr/>
        <w:t xml:space="preserve"> {{field-on:bible}} </w:t>
        <w:br/>
        <w:t xml:space="preserve">Denn all seine Gesetze </w:t>
      </w:r>
      <w:r>
        <w:rPr>
          <w:b/>
          <w:color w:val="808080"/>
        </w:rPr>
        <w:t>[</w:t>
      </w:r>
      <w:r>
        <w:rPr/>
        <w:t>waren</w:t>
      </w:r>
      <w:r>
        <w:rPr>
          <w:b/>
          <w:color w:val="808080"/>
        </w:rPr>
        <w:t>]</w:t>
      </w:r>
      <w:r>
        <w:rPr/>
        <w:t xml:space="preserve"> vor mir</w:t>
      </w:r>
      <w:r>
        <w:rPr>
          <w:rStyle w:val="Funotenanker"/>
        </w:rPr>
        <w:footnoteReference w:customMarkFollows="1" w:id="386"/>
        <w:t>n</w:t>
      </w:r>
      <w:r>
        <w:rPr/>
        <w:t>Und seine Satzungen werde ich nicht von mir stoßen</w:t>
        <w:br/>
        <w:t xml:space="preserve">{{field-off:bible}} </w:t>
        <w:br/>
        <w:t>[[@BibleTOBIBLE:2Sa 22:24]]</w:t>
      </w:r>
      <w:r>
        <w:rPr>
          <w:b/>
        </w:rPr>
        <w:t>24</w:t>
      </w:r>
      <w:r>
        <w:rPr/>
        <w:t xml:space="preserve"> {{field-on:bible}} </w:t>
        <w:br/>
        <w:t>Und ich verhielt mich gegen ihn perfektUnd ich hütete mich vor meinen Fehlern.“</w:t>
        <w:br/>
        <w:t xml:space="preserve">{{field-off:bible}} </w:t>
        <w:br/>
        <w:t>[[@BibleTOBIBLE:2Sa 22:25]]</w:t>
      </w:r>
      <w:r>
        <w:rPr>
          <w:b/>
        </w:rPr>
        <w:t>25</w:t>
      </w:r>
      <w:r>
        <w:rPr/>
        <w:t xml:space="preserve"> {{field-on:bible}} </w:t>
        <w:br/>
        <w:t xml:space="preserve">Und es gab </w:t>
      </w:r>
      <w:r>
        <w:rPr>
          <w:smallCaps/>
          <w:color w:val="FF0000"/>
        </w:rPr>
        <w:t>JHWH</w:t>
      </w:r>
      <w:r>
        <w:rPr/>
        <w:t xml:space="preserve"> mir zurück entsprechend meiner Gerechtigkeit,Entsprechend meiner Reinheit vor seinen Augen.</w:t>
        <w:br/>
        <w:br/>
        <w:t xml:space="preserve">{{field-off:bible}} </w:t>
        <w:br/>
        <w:t>[[@BibleTOBIBLE:2Sa 22:26]]</w:t>
      </w:r>
      <w:r>
        <w:rPr>
          <w:b/>
        </w:rPr>
        <w:t>26</w:t>
      </w:r>
      <w:r>
        <w:rPr/>
        <w:t xml:space="preserve"> {{field-on:bible}} </w:t>
        <w:br/>
      </w:r>
      <w:r>
        <w:rPr>
          <w:b/>
          <w:color w:val="808080"/>
        </w:rPr>
        <w:t>[</w:t>
      </w:r>
      <w:r>
        <w:rPr/>
        <w:t>Dem</w:t>
      </w:r>
      <w:r>
        <w:rPr>
          <w:b/>
          <w:color w:val="808080"/>
        </w:rPr>
        <w:t>]</w:t>
      </w:r>
      <w:r>
        <w:rPr/>
        <w:t xml:space="preserve"> Bundestreuen gegenüber wirst du dich bundestreu erweisen,Und </w:t>
      </w:r>
      <w:r>
        <w:rPr>
          <w:b/>
          <w:color w:val="808080"/>
        </w:rPr>
        <w:t>[</w:t>
      </w:r>
      <w:r>
        <w:rPr/>
        <w:t>dem</w:t>
      </w:r>
      <w:r>
        <w:rPr>
          <w:b/>
          <w:color w:val="808080"/>
        </w:rPr>
        <w:t>]</w:t>
      </w:r>
      <w:r>
        <w:rPr/>
        <w:t xml:space="preserve"> perfekten Mann gegenüber wirst du dich perfekt erweisen,</w:t>
        <w:br/>
        <w:t xml:space="preserve">{{field-off:bible}} </w:t>
        <w:br/>
        <w:t>[[@BibleTOBIBLE:2Sa 22:27]]</w:t>
      </w:r>
      <w:r>
        <w:rPr>
          <w:b/>
        </w:rPr>
        <w:t>27</w:t>
      </w:r>
      <w:r>
        <w:rPr/>
        <w:t xml:space="preserve"> {{field-on:bible}} </w:t>
        <w:br/>
      </w:r>
      <w:r>
        <w:rPr>
          <w:b/>
          <w:color w:val="808080"/>
        </w:rPr>
        <w:t>[</w:t>
      </w:r>
      <w:r>
        <w:rPr/>
        <w:t>Dem</w:t>
      </w:r>
      <w:r>
        <w:rPr>
          <w:b/>
          <w:color w:val="808080"/>
        </w:rPr>
        <w:t>]</w:t>
      </w:r>
      <w:r>
        <w:rPr/>
        <w:t xml:space="preserve"> Reinen gegenüber wirst du dich rein erweisen,Dem Falschen gegenüber wirst du dich verkehrt erweisen.</w:t>
        <w:br/>
        <w:t xml:space="preserve">{{field-off:bible}} </w:t>
        <w:br/>
        <w:t>[[@BibleTOBIBLE:2Sa 22:28]]</w:t>
      </w:r>
      <w:r>
        <w:rPr>
          <w:b/>
        </w:rPr>
        <w:t>28</w:t>
      </w:r>
      <w:r>
        <w:rPr/>
        <w:t xml:space="preserve"> {{field-on:bible}} </w:t>
        <w:br/>
        <w:t>Du rettest das arme Volk,Doch die Augen Hochmütiger beugst du nieder.</w:t>
        <w:br/>
        <w:t xml:space="preserve">{{field-off:bible}} </w:t>
        <w:br/>
        <w:t>[[@BibleTOBIBLE:2Sa 22:29]]</w:t>
      </w:r>
      <w:r>
        <w:rPr>
          <w:b/>
        </w:rPr>
        <w:t>29</w:t>
      </w:r>
      <w:r>
        <w:rPr/>
        <w:t xml:space="preserve"> {{field-on:bible}} </w:t>
        <w:br/>
        <w:t xml:space="preserve">Ja, du bist meine Lampe, </w:t>
      </w:r>
      <w:r>
        <w:rPr>
          <w:smallCaps/>
          <w:color w:val="FF0000"/>
        </w:rPr>
        <w:t>JHWH</w:t>
      </w:r>
      <w:r>
        <w:rPr/>
        <w:t>,</w:t>
      </w:r>
      <w:r>
        <w:rPr>
          <w:smallCaps/>
          <w:color w:val="FF0000"/>
        </w:rPr>
        <w:t>JHWH</w:t>
      </w:r>
      <w:r>
        <w:rPr/>
        <w:t xml:space="preserve"> wird erhellen meine Dunkelheit.</w:t>
        <w:br/>
        <w:t xml:space="preserve">{{field-off:bible}} </w:t>
        <w:br/>
        <w:t>[[@BibleTOBIBLE:2Sa 22:30]]</w:t>
      </w:r>
      <w:r>
        <w:rPr>
          <w:b/>
        </w:rPr>
        <w:t>30</w:t>
      </w:r>
      <w:r>
        <w:rPr/>
        <w:t xml:space="preserve"> {{field-on:bible}} </w:t>
        <w:br/>
        <w:t xml:space="preserve">Ja, mit dir werde </w:t>
      </w:r>
      <w:r>
        <w:rPr>
          <w:color w:val="808080"/>
        </w:rPr>
        <w:t>(kann)</w:t>
      </w:r>
      <w:r>
        <w:rPr/>
        <w:t xml:space="preserve"> ich überrennen </w:t>
      </w:r>
      <w:r>
        <w:rPr>
          <w:color w:val="808080"/>
        </w:rPr>
        <w:t>(zerschmettern)</w:t>
      </w:r>
      <w:r>
        <w:rPr/>
        <w:t xml:space="preserve"> eine TruppeUnd mit meinem Gott werde </w:t>
      </w:r>
      <w:r>
        <w:rPr>
          <w:color w:val="808080"/>
        </w:rPr>
        <w:t>(kann)</w:t>
      </w:r>
      <w:r>
        <w:rPr/>
        <w:t xml:space="preserve"> ich eine Mauer überspringen.</w:t>
        <w:br/>
        <w:br/>
        <w:t xml:space="preserve">{{field-off:bible}} </w:t>
        <w:br/>
        <w:t>[[@BibleTOBIBLE:2Sa 22:31]]</w:t>
      </w:r>
      <w:r>
        <w:rPr>
          <w:b/>
        </w:rPr>
        <w:t>31</w:t>
      </w:r>
      <w:r>
        <w:rPr/>
        <w:t xml:space="preserve"> {{field-on:bible}} </w:t>
        <w:br/>
        <w:t xml:space="preserve">Gott - vollkommen </w:t>
      </w:r>
      <w:r>
        <w:rPr>
          <w:b/>
          <w:color w:val="808080"/>
        </w:rPr>
        <w:t>[</w:t>
      </w:r>
      <w:r>
        <w:rPr/>
        <w:t>ist</w:t>
      </w:r>
      <w:r>
        <w:rPr>
          <w:b/>
          <w:color w:val="808080"/>
        </w:rPr>
        <w:t>]</w:t>
      </w:r>
      <w:r>
        <w:rPr/>
        <w:t xml:space="preserve"> sein Weg. Das Wort </w:t>
      </w:r>
      <w:r>
        <w:rPr>
          <w:smallCaps/>
          <w:color w:val="FF0000"/>
        </w:rPr>
        <w:t>JHWH</w:t>
      </w:r>
      <w:r>
        <w:rPr/>
        <w:t xml:space="preserve">s ist erprobt, Ein Schild </w:t>
      </w:r>
      <w:r>
        <w:rPr>
          <w:b/>
          <w:color w:val="808080"/>
        </w:rPr>
        <w:t>[</w:t>
      </w:r>
      <w:r>
        <w:rPr/>
        <w:t>ist</w:t>
      </w:r>
      <w:r>
        <w:rPr>
          <w:b/>
          <w:color w:val="808080"/>
        </w:rPr>
        <w:t>]</w:t>
      </w:r>
      <w:r>
        <w:rPr/>
        <w:t xml:space="preserve"> er für alle, die auf ihn vertrauen </w:t>
      </w:r>
      <w:r>
        <w:rPr>
          <w:color w:val="808080"/>
        </w:rPr>
        <w:t>(die zu ihm flüchten)</w:t>
      </w:r>
      <w:r>
        <w:rPr/>
        <w:t>.</w:t>
        <w:br/>
        <w:t xml:space="preserve">{{field-off:bible}} </w:t>
        <w:br/>
        <w:t>[[@BibleTOBIBLE:2Sa 22:32]]</w:t>
      </w:r>
      <w:r>
        <w:rPr>
          <w:b/>
        </w:rPr>
        <w:t>32</w:t>
      </w:r>
      <w:r>
        <w:rPr/>
        <w:t xml:space="preserve"> {{field-on:bible}} </w:t>
        <w:br/>
        <w:t xml:space="preserve">Ja, wer ist Gott außer </w:t>
      </w:r>
      <w:r>
        <w:rPr>
          <w:smallCaps/>
          <w:color w:val="FF0000"/>
        </w:rPr>
        <w:t>JHWH</w:t>
      </w:r>
      <w:r>
        <w:rPr/>
        <w:t>Und wer ein Berg außer unserem Gott –</w:t>
        <w:br/>
        <w:t xml:space="preserve">{{field-off:bible}} </w:t>
        <w:br/>
        <w:t>[[@BibleTOBIBLE:2Sa 22:33]]</w:t>
      </w:r>
      <w:r>
        <w:rPr>
          <w:b/>
        </w:rPr>
        <w:t>33</w:t>
      </w:r>
      <w:r>
        <w:rPr/>
        <w:t xml:space="preserve"> {{field-on:bible}} </w:t>
        <w:br/>
        <w:t xml:space="preserve">Dem Gott, </w:t>
      </w:r>
      <w:r>
        <w:rPr>
          <w:b/>
          <w:color w:val="808080"/>
        </w:rPr>
        <w:t>[</w:t>
      </w:r>
      <w:r>
        <w:rPr/>
        <w:t>der</w:t>
      </w:r>
      <w:r>
        <w:rPr>
          <w:b/>
          <w:color w:val="808080"/>
        </w:rPr>
        <w:t>]</w:t>
      </w:r>
      <w:r>
        <w:rPr/>
        <w:t xml:space="preserve"> mich stärkt </w:t>
      </w:r>
      <w:r>
        <w:rPr>
          <w:b/>
          <w:color w:val="808080"/>
        </w:rPr>
        <w:t>[</w:t>
      </w:r>
      <w:r>
        <w:rPr/>
        <w:t>mit</w:t>
      </w:r>
      <w:r>
        <w:rPr>
          <w:b/>
          <w:color w:val="808080"/>
        </w:rPr>
        <w:t>]</w:t>
      </w:r>
      <w:r>
        <w:rPr/>
        <w:t xml:space="preserve"> KraftUnd der meinen Weg perfekt machte,</w:t>
        <w:br/>
        <w:t xml:space="preserve">{{field-off:bible}} </w:t>
        <w:br/>
        <w:t>[[@BibleTOBIBLE:2Sa 22:34]]</w:t>
      </w:r>
      <w:r>
        <w:rPr>
          <w:b/>
        </w:rPr>
        <w:t>34</w:t>
      </w:r>
      <w:r>
        <w:rPr/>
        <w:t xml:space="preserve"> {{field-on:bible}} </w:t>
        <w:br/>
        <w:t>Der meinen Fuß einer Gazelle gleich machteUnd mich auf meine Höhen stellte,</w:t>
        <w:br/>
        <w:t xml:space="preserve">{{field-off:bible}} </w:t>
        <w:br/>
        <w:t>[[@BibleTOBIBLE:2Sa 22:35]]</w:t>
      </w:r>
      <w:r>
        <w:rPr>
          <w:b/>
        </w:rPr>
        <w:t>35</w:t>
      </w:r>
      <w:r>
        <w:rPr/>
        <w:t xml:space="preserve"> {{field-on:bible}} </w:t>
        <w:br/>
        <w:t>Der meine Hände für den Kampf trainierte,Um zu stärken</w:t>
      </w:r>
      <w:r>
        <w:rPr>
          <w:rStyle w:val="Funotenanker"/>
        </w:rPr>
        <w:footnoteReference w:customMarkFollows="1" w:id="387"/>
        <w:t>o</w:t>
      </w:r>
      <w:r>
        <w:rPr/>
        <w:t xml:space="preserve"> </w:t>
      </w:r>
      <w:r>
        <w:rPr>
          <w:b/>
          <w:color w:val="808080"/>
        </w:rPr>
        <w:t>[</w:t>
      </w:r>
      <w:r>
        <w:rPr/>
        <w:t>wie</w:t>
      </w:r>
      <w:r>
        <w:rPr>
          <w:b/>
          <w:color w:val="808080"/>
        </w:rPr>
        <w:t>]</w:t>
      </w:r>
      <w:r>
        <w:rPr/>
        <w:t xml:space="preserve"> einen Kupferbogen meine Arme!?</w:t>
        <w:br/>
        <w:t xml:space="preserve">{{field-off:bible}} </w:t>
        <w:br/>
        <w:t>[[@BibleTOBIBLE:2Sa 22:36]]</w:t>
      </w:r>
      <w:r>
        <w:rPr>
          <w:b/>
        </w:rPr>
        <w:t>36</w:t>
      </w:r>
      <w:r>
        <w:rPr/>
        <w:t xml:space="preserve"> {{field-on:bible}} </w:t>
        <w:br/>
        <w:t>Und du gabst mir den Schild der Rettung Und deine rechte Hand wird mich stützenUnd deine Erhörung wird mich vergrößern.</w:t>
        <w:br/>
        <w:t xml:space="preserve">{{field-off:bible}} </w:t>
        <w:br/>
        <w:t>[[@BibleTOBIBLE:2Sa 22:37]]</w:t>
      </w:r>
      <w:r>
        <w:rPr>
          <w:b/>
        </w:rPr>
        <w:t>37</w:t>
      </w:r>
      <w:r>
        <w:rPr/>
        <w:t xml:space="preserve"> {{field-on:bible}} </w:t>
        <w:br/>
        <w:t>Du wirst weit machen meine Schritte unter mirUnd meine Knöchel wanken nicht.</w:t>
        <w:br/>
        <w:br/>
        <w:t xml:space="preserve">{{field-off:bible}} </w:t>
        <w:br/>
        <w:t>[[@BibleTOBIBLE:2Sa 22:38]]</w:t>
      </w:r>
      <w:r>
        <w:rPr>
          <w:b/>
        </w:rPr>
        <w:t>38</w:t>
      </w:r>
      <w:r>
        <w:rPr/>
        <w:t xml:space="preserve"> {{field-on:bible}} </w:t>
        <w:br/>
        <w:t>Ich werde nachjagen meinen Feinden und sie erreichenUnd werde nicht umkehren, bis ich sie zerstört habe.</w:t>
        <w:br/>
        <w:t xml:space="preserve">{{field-off:bible}} </w:t>
        <w:br/>
        <w:t>[[@BibleTOBIBLE:2Sa 22:39]]</w:t>
      </w:r>
      <w:r>
        <w:rPr>
          <w:b/>
        </w:rPr>
        <w:t>39</w:t>
      </w:r>
      <w:r>
        <w:rPr/>
        <w:t xml:space="preserve"> {{field-on:bible}} </w:t>
        <w:br/>
        <w:t>Ich werde sie zerschmettern und sie werden sich nicht erheben können,Sie werden unter meine Füße fallen!</w:t>
        <w:br/>
        <w:t xml:space="preserve">{{field-off:bible}} </w:t>
        <w:br/>
        <w:t>[[@BibleTOBIBLE:2Sa 22:40]]</w:t>
      </w:r>
      <w:r>
        <w:rPr>
          <w:b/>
        </w:rPr>
        <w:t>40</w:t>
      </w:r>
      <w:r>
        <w:rPr/>
        <w:t xml:space="preserve"> {{field-on:bible}} </w:t>
        <w:br/>
        <w:t xml:space="preserve">Und du gürtetest mich mit Kraft für den Kampf,Du wirst beugen </w:t>
      </w:r>
      <w:r>
        <w:rPr>
          <w:b/>
          <w:color w:val="808080"/>
        </w:rPr>
        <w:t>[</w:t>
      </w:r>
      <w:r>
        <w:rPr/>
        <w:t>die</w:t>
      </w:r>
      <w:r>
        <w:rPr>
          <w:b/>
          <w:color w:val="808080"/>
        </w:rPr>
        <w:t>]</w:t>
      </w:r>
      <w:r>
        <w:rPr/>
        <w:t xml:space="preserve">, die sich </w:t>
      </w:r>
      <w:r>
        <w:rPr>
          <w:b/>
          <w:color w:val="808080"/>
        </w:rPr>
        <w:t>[</w:t>
      </w:r>
      <w:r>
        <w:rPr/>
        <w:t>gegen</w:t>
      </w:r>
      <w:r>
        <w:rPr>
          <w:b/>
          <w:color w:val="808080"/>
        </w:rPr>
        <w:t>]</w:t>
      </w:r>
      <w:r>
        <w:rPr/>
        <w:t xml:space="preserve"> mich erheben, unter mich!</w:t>
        <w:br/>
        <w:t xml:space="preserve">{{field-off:bible}} </w:t>
        <w:br/>
        <w:t>[[@BibleTOBIBLE:2Sa 22:41]]</w:t>
      </w:r>
      <w:r>
        <w:rPr>
          <w:b/>
        </w:rPr>
        <w:t>41</w:t>
      </w:r>
      <w:r>
        <w:rPr/>
        <w:t xml:space="preserve"> {{field-on:bible}} </w:t>
        <w:br/>
        <w:t xml:space="preserve">Und meine Feinde – du gabst mir </w:t>
      </w:r>
      <w:r>
        <w:rPr>
          <w:b/>
          <w:color w:val="808080"/>
        </w:rPr>
        <w:t>[</w:t>
      </w:r>
      <w:r>
        <w:rPr/>
        <w:t>ihren</w:t>
      </w:r>
      <w:r>
        <w:rPr>
          <w:b/>
          <w:color w:val="808080"/>
        </w:rPr>
        <w:t>]</w:t>
      </w:r>
      <w:r>
        <w:rPr/>
        <w:t xml:space="preserve"> Rücken;</w:t>
      </w:r>
      <w:r>
        <w:rPr>
          <w:rStyle w:val="Funotenanker"/>
        </w:rPr>
        <w:footnoteReference w:customMarkFollows="1" w:id="388"/>
        <w:t>p</w:t>
      </w:r>
      <w:r>
        <w:rPr/>
        <w:t>Meine Hasser werde ich vernichten.</w:t>
        <w:br/>
        <w:t xml:space="preserve">{{field-off:bible}} </w:t>
        <w:br/>
        <w:t>[[@BibleTOBIBLE:2Sa 22:42]]</w:t>
      </w:r>
      <w:r>
        <w:rPr>
          <w:b/>
        </w:rPr>
        <w:t>42</w:t>
      </w:r>
      <w:r>
        <w:rPr/>
        <w:t xml:space="preserve"> {{field-on:bible}} </w:t>
        <w:br/>
        <w:t xml:space="preserve">Sie werden schreien, doch es </w:t>
      </w:r>
      <w:r>
        <w:rPr>
          <w:b/>
          <w:color w:val="808080"/>
        </w:rPr>
        <w:t>[</w:t>
      </w:r>
      <w:r>
        <w:rPr/>
        <w:t>wird für sie</w:t>
      </w:r>
      <w:r>
        <w:rPr>
          <w:b/>
          <w:color w:val="808080"/>
        </w:rPr>
        <w:t>]</w:t>
      </w:r>
      <w:r>
        <w:rPr/>
        <w:t xml:space="preserve"> nicht geben einen Retter,Zu </w:t>
      </w:r>
      <w:r>
        <w:rPr>
          <w:smallCaps/>
          <w:color w:val="FF0000"/>
        </w:rPr>
        <w:t>JHWH</w:t>
      </w:r>
      <w:r>
        <w:rPr/>
        <w:t>,</w:t>
      </w:r>
      <w:r>
        <w:rPr>
          <w:rStyle w:val="Funotenanker"/>
        </w:rPr>
        <w:footnoteReference w:customMarkFollows="1" w:id="389"/>
        <w:t>q</w:t>
      </w:r>
      <w:r>
        <w:rPr/>
        <w:t xml:space="preserve"> aber er antwortete ihnen nicht.</w:t>
      </w:r>
      <w:r>
        <w:rPr>
          <w:rStyle w:val="Funotenanker"/>
        </w:rPr>
        <w:footnoteReference w:customMarkFollows="1" w:id="390"/>
        <w:t>r</w:t>
      </w:r>
      <w:r>
        <w:rPr/>
        <w:t xml:space="preserve"> </w:t>
        <w:br/>
        <w:t xml:space="preserve">{{field-off:bible}} </w:t>
        <w:br/>
        <w:t>[[@BibleTOBIBLE:2Sa 22:43]]</w:t>
      </w:r>
      <w:r>
        <w:rPr>
          <w:b/>
        </w:rPr>
        <w:t>43</w:t>
      </w:r>
      <w:r>
        <w:rPr/>
        <w:t xml:space="preserve"> {{field-on:bible}} </w:t>
        <w:br/>
        <w:t xml:space="preserve">Ich werde sie zermalmen wie Staub auf dem </w:t>
      </w:r>
      <w:r>
        <w:rPr>
          <w:strike/>
          <w:color w:val="808080"/>
        </w:rPr>
        <w:t>{Gesicht des}</w:t>
      </w:r>
      <w:r>
        <w:rPr/>
        <w:t xml:space="preserve"> Weg</w:t>
      </w:r>
      <w:r>
        <w:rPr>
          <w:strike/>
          <w:color w:val="808080"/>
        </w:rPr>
        <w:t>{es}</w:t>
      </w:r>
      <w:r>
        <w:rPr/>
        <w:t xml:space="preserve">,Wie Kot </w:t>
      </w:r>
      <w:r>
        <w:rPr>
          <w:b/>
          <w:color w:val="808080"/>
        </w:rPr>
        <w:t>[</w:t>
      </w:r>
      <w:r>
        <w:rPr/>
        <w:t>auf</w:t>
      </w:r>
      <w:r>
        <w:rPr>
          <w:b/>
          <w:color w:val="808080"/>
        </w:rPr>
        <w:t>]</w:t>
      </w:r>
      <w:r>
        <w:rPr/>
        <w:t xml:space="preserve"> der Straße werde ich sie ausschütten!</w:t>
        <w:br/>
        <w:br/>
        <w:t xml:space="preserve">{{field-off:bible}} </w:t>
        <w:br/>
        <w:t>[[@BibleTOBIBLE:2Sa 22:44]]</w:t>
      </w:r>
      <w:r>
        <w:rPr>
          <w:b/>
        </w:rPr>
        <w:t>44</w:t>
      </w:r>
      <w:r>
        <w:rPr/>
        <w:t xml:space="preserve"> {{field-on:bible}} </w:t>
        <w:br/>
        <w:t xml:space="preserve">Du wirst mich retten aus den Auseinandersetzungen des Volkes,Du wirst mich einsetzen als Haupt der Heiden,Ein Volk, </w:t>
      </w:r>
      <w:r>
        <w:rPr>
          <w:b/>
          <w:color w:val="808080"/>
        </w:rPr>
        <w:t>[</w:t>
      </w:r>
      <w:r>
        <w:rPr/>
        <w:t>das</w:t>
      </w:r>
      <w:r>
        <w:rPr>
          <w:b/>
          <w:color w:val="808080"/>
        </w:rPr>
        <w:t>]</w:t>
      </w:r>
      <w:r>
        <w:rPr/>
        <w:t xml:space="preserve"> ich nicht kenne </w:t>
      </w:r>
      <w:r>
        <w:rPr>
          <w:color w:val="808080"/>
        </w:rPr>
        <w:t>(kannte)</w:t>
      </w:r>
      <w:r>
        <w:rPr/>
        <w:t>, wird mir dienen.</w:t>
        <w:br/>
        <w:t xml:space="preserve">{{field-off:bible}} </w:t>
        <w:br/>
        <w:t>[[@BibleTOBIBLE:2Sa 22:45]]</w:t>
      </w:r>
      <w:r>
        <w:rPr>
          <w:b/>
        </w:rPr>
        <w:t>45</w:t>
      </w:r>
      <w:r>
        <w:rPr/>
        <w:t xml:space="preserve"> {{field-on:bible}} </w:t>
        <w:br/>
        <w:t xml:space="preserve">Auf Gehörtes des Ohrs </w:t>
      </w:r>
      <w:r>
        <w:rPr>
          <w:b/>
          <w:color w:val="808080"/>
        </w:rPr>
        <w:t>[</w:t>
      </w:r>
      <w:r>
        <w:rPr/>
        <w:t>hin</w:t>
      </w:r>
      <w:r>
        <w:rPr>
          <w:b/>
          <w:color w:val="808080"/>
        </w:rPr>
        <w:t>]</w:t>
      </w:r>
      <w:r>
        <w:rPr/>
        <w:t xml:space="preserve"> werden sie auf mich hören,</w:t>
      </w:r>
      <w:r>
        <w:rPr>
          <w:strike/>
          <w:color w:val="808080"/>
        </w:rPr>
        <w:t>{Kinder von }</w:t>
      </w:r>
      <w:r>
        <w:rPr/>
        <w:t>Ausländer</w:t>
      </w:r>
      <w:r>
        <w:rPr>
          <w:strike/>
          <w:color w:val="808080"/>
        </w:rPr>
        <w:t>{n}</w:t>
      </w:r>
      <w:r>
        <w:rPr/>
        <w:t xml:space="preserve"> werden mir </w:t>
      </w:r>
      <w:r>
        <w:rPr>
          <w:b/>
          <w:color w:val="808080"/>
        </w:rPr>
        <w:t>[</w:t>
      </w:r>
      <w:r>
        <w:rPr/>
        <w:t>Ergebung</w:t>
      </w:r>
      <w:r>
        <w:rPr>
          <w:b/>
          <w:color w:val="808080"/>
        </w:rPr>
        <w:t>]</w:t>
      </w:r>
      <w:r>
        <w:rPr/>
        <w:t xml:space="preserve"> heucheln </w:t>
      </w:r>
      <w:r>
        <w:rPr>
          <w:color w:val="808080"/>
        </w:rPr>
        <w:t>(mir schmeicheln)</w:t>
      </w:r>
      <w:r>
        <w:rPr/>
        <w:t>,</w:t>
      </w:r>
      <w:r>
        <w:rPr>
          <w:rStyle w:val="Funotenanker"/>
        </w:rPr>
        <w:footnoteReference w:customMarkFollows="1" w:id="391"/>
        <w:t>s</w:t>
      </w:r>
      <w:r>
        <w:rPr/>
        <w:t xml:space="preserve"> </w:t>
        <w:br/>
        <w:t xml:space="preserve">{{field-off:bible}} </w:t>
        <w:br/>
        <w:t>[[@BibleTOBIBLE:2Sa 22:46]]</w:t>
      </w:r>
      <w:r>
        <w:rPr>
          <w:b/>
        </w:rPr>
        <w:t>46</w:t>
      </w:r>
      <w:r>
        <w:rPr/>
        <w:t xml:space="preserve"> {{field-on:bible}} </w:t>
        <w:br/>
      </w:r>
      <w:r>
        <w:rPr>
          <w:strike/>
          <w:color w:val="808080"/>
        </w:rPr>
        <w:t>{Kinder von }</w:t>
      </w:r>
      <w:r>
        <w:rPr/>
        <w:t>Ausländer</w:t>
      </w:r>
      <w:r>
        <w:rPr>
          <w:strike/>
          <w:color w:val="808080"/>
        </w:rPr>
        <w:t>{n}</w:t>
      </w:r>
      <w:r>
        <w:rPr/>
        <w:t xml:space="preserve"> werden vergehen</w:t>
        <w:br/>
        <w:t xml:space="preserve">Und sich </w:t>
      </w:r>
      <w:r>
        <w:rPr>
          <w:b/>
          <w:color w:val="808080"/>
        </w:rPr>
        <w:t>[</w:t>
      </w:r>
      <w:r>
        <w:rPr/>
        <w:t>selbst</w:t>
      </w:r>
      <w:r>
        <w:rPr>
          <w:b/>
          <w:color w:val="808080"/>
        </w:rPr>
        <w:t>]</w:t>
      </w:r>
      <w:r>
        <w:rPr/>
        <w:t xml:space="preserve"> gürten mit ihren Banden.</w:t>
        <w:br/>
        <w:br/>
        <w:t xml:space="preserve">{{field-off:bible}} </w:t>
        <w:br/>
        <w:t>[[@BibleTOBIBLE:2Sa 22:47]]</w:t>
      </w:r>
      <w:r>
        <w:rPr>
          <w:b/>
        </w:rPr>
        <w:t>47</w:t>
      </w:r>
      <w:r>
        <w:rPr/>
        <w:t xml:space="preserve"> {{field-on:bible}} </w:t>
        <w:br/>
      </w:r>
      <w:r>
        <w:rPr>
          <w:b/>
          <w:color w:val="808080"/>
        </w:rPr>
        <w:t>[</w:t>
      </w:r>
      <w:r>
        <w:rPr/>
        <w:t>So wahr</w:t>
      </w:r>
      <w:r>
        <w:rPr>
          <w:b/>
          <w:color w:val="808080"/>
        </w:rPr>
        <w:t>]</w:t>
      </w:r>
      <w:r>
        <w:rPr/>
        <w:t xml:space="preserve"> Gott lebt: Gesegnet </w:t>
      </w:r>
      <w:r>
        <w:rPr>
          <w:b/>
          <w:color w:val="808080"/>
        </w:rPr>
        <w:t>[</w:t>
      </w:r>
      <w:r>
        <w:rPr/>
        <w:t>sei</w:t>
      </w:r>
      <w:r>
        <w:rPr>
          <w:b/>
          <w:color w:val="808080"/>
        </w:rPr>
        <w:t>]</w:t>
      </w:r>
      <w:r>
        <w:rPr/>
        <w:t xml:space="preserve"> mein FelsUnd erhoben werden soll der Gott meiner Rettung,</w:t>
        <w:br/>
        <w:t xml:space="preserve">{{field-off:bible}} </w:t>
        <w:br/>
        <w:t>[[@BibleTOBIBLE:2Sa 22:48]]</w:t>
      </w:r>
      <w:r>
        <w:rPr>
          <w:b/>
        </w:rPr>
        <w:t>48</w:t>
      </w:r>
      <w:r>
        <w:rPr/>
        <w:t xml:space="preserve"> {{field-on:bible}} </w:t>
        <w:br/>
        <w:t xml:space="preserve">Der Gott, </w:t>
      </w:r>
      <w:r>
        <w:rPr>
          <w:b/>
          <w:color w:val="808080"/>
        </w:rPr>
        <w:t>[</w:t>
      </w:r>
      <w:r>
        <w:rPr/>
        <w:t>der</w:t>
      </w:r>
      <w:r>
        <w:rPr>
          <w:b/>
          <w:color w:val="808080"/>
        </w:rPr>
        <w:t>]</w:t>
      </w:r>
      <w:r>
        <w:rPr/>
        <w:t xml:space="preserve"> mir Rache gab </w:t>
      </w:r>
      <w:r>
        <w:rPr>
          <w:color w:val="808080"/>
        </w:rPr>
        <w:t>(gibt)</w:t>
      </w:r>
      <w:r>
        <w:rPr/>
        <w:t>Und Völker unter mich unterjocht hat,</w:t>
        <w:br/>
        <w:t xml:space="preserve">{{field-off:bible}} </w:t>
        <w:br/>
        <w:t>[[@BibleTOBIBLE:2Sa 22:49]]</w:t>
      </w:r>
      <w:r>
        <w:rPr>
          <w:b/>
        </w:rPr>
        <w:t>49</w:t>
      </w:r>
      <w:r>
        <w:rPr/>
        <w:t xml:space="preserve"> {{field-on:bible}} </w:t>
        <w:br/>
        <w:t>Der mich aus meinen Feinden herausholt,</w:t>
      </w:r>
      <w:r>
        <w:rPr>
          <w:rStyle w:val="Funotenanker"/>
        </w:rPr>
        <w:footnoteReference w:customMarkFollows="1" w:id="392"/>
        <w:t>t</w:t>
      </w:r>
      <w:r>
        <w:rPr/>
        <w:t>Mich erhöhen wird über die, die sich gegen mich erheben,Der du mich von dem gewalttätigen Mann befreien wirst.</w:t>
        <w:br/>
        <w:br/>
        <w:t xml:space="preserve">{{field-off:bible}} </w:t>
        <w:br/>
        <w:t>[[@BibleTOBIBLE:2Sa 22:50]]</w:t>
      </w:r>
      <w:r>
        <w:rPr>
          <w:b/>
        </w:rPr>
        <w:t>50</w:t>
      </w:r>
      <w:r>
        <w:rPr/>
        <w:t xml:space="preserve"> {{field-on:bible}} </w:t>
        <w:br/>
        <w:t xml:space="preserve">Darum will ich dich preisen, </w:t>
      </w:r>
      <w:r>
        <w:rPr>
          <w:smallCaps/>
          <w:color w:val="FF0000"/>
        </w:rPr>
        <w:t>JHWH</w:t>
      </w:r>
      <w:r>
        <w:rPr/>
        <w:t xml:space="preserve">, </w:t>
      </w:r>
      <w:r>
        <w:rPr>
          <w:b/>
          <w:color w:val="808080"/>
        </w:rPr>
        <w:t>[</w:t>
      </w:r>
      <w:r>
        <w:rPr/>
        <w:t>mitten</w:t>
      </w:r>
      <w:r>
        <w:rPr>
          <w:b/>
          <w:color w:val="808080"/>
        </w:rPr>
        <w:t>]</w:t>
      </w:r>
      <w:r>
        <w:rPr/>
        <w:t xml:space="preserve"> unter den Heiden,Und deinem Namen singen,</w:t>
        <w:br/>
        <w:t xml:space="preserve">{{field-off:bible}} </w:t>
        <w:br/>
        <w:t>[[@BibleTOBIBLE:2Sa 22:51]]</w:t>
      </w:r>
      <w:r>
        <w:rPr>
          <w:b/>
        </w:rPr>
        <w:t>51</w:t>
      </w:r>
      <w:r>
        <w:rPr/>
        <w:t xml:space="preserve"> {{field-on:bible}} </w:t>
        <w:br/>
        <w:t xml:space="preserve">Der groß macht das Heil </w:t>
      </w:r>
      <w:r>
        <w:rPr>
          <w:color w:val="808080"/>
        </w:rPr>
        <w:t xml:space="preserve">(der ein Turm des Heils </w:t>
      </w:r>
      <w:r>
        <w:rPr>
          <w:b/>
          <w:color w:val="808080"/>
        </w:rPr>
        <w:t>[</w:t>
      </w:r>
      <w:r>
        <w:rPr>
          <w:color w:val="808080"/>
        </w:rPr>
        <w:t>ist</w:t>
      </w:r>
      <w:r>
        <w:rPr>
          <w:b/>
          <w:color w:val="808080"/>
        </w:rPr>
        <w:t>]</w:t>
      </w:r>
      <w:r>
        <w:rPr>
          <w:color w:val="808080"/>
        </w:rPr>
        <w:t xml:space="preserve"> für)</w:t>
      </w:r>
      <w:r>
        <w:rPr/>
        <w:t xml:space="preserve"> </w:t>
      </w:r>
      <w:r>
        <w:rPr>
          <w:rStyle w:val="Funotenanker"/>
        </w:rPr>
        <w:footnoteReference w:customMarkFollows="1" w:id="393"/>
        <w:t>u</w:t>
      </w:r>
      <w:r>
        <w:rPr/>
        <w:t xml:space="preserve"> seines KönigsUnd seinem Gesalbten Bundestreue erweist,David und seinen Nachkommen auf ewig.</w:t>
        <w:br/>
        <w:t xml:space="preserve">{{field-off:bible}}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394"/>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395"/>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396"/>
        <w:t>b</w:t>
      </w:r>
      <w:r>
        <w:rPr/>
        <w:t xml:space="preserve">, </w:t>
        <w:br/>
        <w:t xml:space="preserve">der nicht dem Rat </w:t>
      </w:r>
      <w:r>
        <w:rPr>
          <w:color w:val="808080"/>
        </w:rPr>
        <w:t>(den Plänen)</w:t>
      </w:r>
      <w:r>
        <w:rPr/>
        <w:t xml:space="preserve"> </w:t>
      </w:r>
      <w:r>
        <w:rPr>
          <w:rStyle w:val="Funotenanker"/>
        </w:rPr>
        <w:footnoteReference w:customMarkFollows="1" w:id="397"/>
        <w:t>c</w:t>
      </w:r>
      <w:r>
        <w:rPr/>
        <w:t xml:space="preserve"> der Gottlosen </w:t>
      </w:r>
      <w:r>
        <w:rPr>
          <w:color w:val="808080"/>
        </w:rPr>
        <w:t>(Übeltäter)</w:t>
      </w:r>
      <w:r>
        <w:rPr/>
        <w:t xml:space="preserve"> </w:t>
      </w:r>
      <w:r>
        <w:rPr>
          <w:rStyle w:val="Funotenanker"/>
        </w:rPr>
        <w:footnoteReference w:customMarkFollows="1" w:id="398"/>
        <w:t>d</w:t>
      </w:r>
      <w:r>
        <w:rPr/>
        <w:t xml:space="preserve"> folgt </w:t>
      </w:r>
      <w:r>
        <w:rPr>
          <w:color w:val="808080"/>
        </w:rPr>
        <w:t>(gefolgt ist)</w:t>
      </w:r>
      <w:r>
        <w:rPr/>
        <w:t xml:space="preserve"> </w:t>
      </w:r>
      <w:r>
        <w:rPr>
          <w:rStyle w:val="Funotenanker"/>
        </w:rPr>
        <w:footnoteReference w:customMarkFollows="1" w:id="399"/>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400"/>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401"/>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402"/>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403"/>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404"/>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405"/>
        <w:t>k</w:t>
      </w:r>
      <w:r>
        <w:rPr/>
        <w:t>.</w:t>
      </w:r>
      <w:r>
        <w:rPr>
          <w:rStyle w:val="Funotenanker"/>
        </w:rPr>
        <w:footnoteReference w:customMarkFollows="1" w:id="406"/>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407"/>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408"/>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409"/>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410"/>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411"/>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412"/>
        <w:t>a</w:t>
      </w:r>
      <w:r>
        <w:rPr/>
        <w:t xml:space="preserve"> </w:t>
      </w:r>
      <w:r>
        <w:rPr>
          <w:rStyle w:val="Funotenanker"/>
        </w:rPr>
        <w:footnoteReference w:customMarkFollows="1" w:id="413"/>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414"/>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415"/>
        <w:t>d</w:t>
      </w:r>
      <w:r>
        <w:rPr/>
        <w:t xml:space="preserve"> stellen die Könige der Erde </w:t>
      </w:r>
      <w:r>
        <w:rPr>
          <w:color w:val="808080"/>
        </w:rPr>
        <w:t>(des Landes; irdischen Könige)</w:t>
      </w:r>
      <w:r>
        <w:rPr/>
        <w:t xml:space="preserve"> </w:t>
      </w:r>
      <w:r>
        <w:rPr>
          <w:rStyle w:val="Funotenanker"/>
        </w:rPr>
        <w:footnoteReference w:customMarkFollows="1" w:id="416"/>
        <w:t>e</w:t>
      </w:r>
      <w:r>
        <w:rPr/>
        <w:t xml:space="preserve"> sich </w:t>
      </w:r>
      <w:r>
        <w:rPr>
          <w:b/>
          <w:color w:val="808080"/>
        </w:rPr>
        <w:t>[</w:t>
      </w:r>
      <w:r>
        <w:rPr/>
        <w:t>zum Kampf</w:t>
      </w:r>
      <w:r>
        <w:rPr>
          <w:b/>
          <w:color w:val="808080"/>
        </w:rPr>
        <w:t>]</w:t>
      </w:r>
      <w:r>
        <w:rPr/>
        <w:t xml:space="preserve"> </w:t>
      </w:r>
      <w:r>
        <w:rPr>
          <w:rStyle w:val="Funotenanker"/>
        </w:rPr>
        <w:footnoteReference w:customMarkFollows="1" w:id="417"/>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418"/>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419"/>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420"/>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421"/>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422"/>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423"/>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424"/>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425"/>
        <w:t>n</w:t>
      </w:r>
      <w:r>
        <w:rPr/>
        <w:t xml:space="preserve"> habe meinen König auf Zion, meinem heiligen Berg</w:t>
      </w:r>
      <w:r>
        <w:rPr>
          <w:rStyle w:val="Funotenanker"/>
        </w:rPr>
        <w:footnoteReference w:customMarkFollows="1" w:id="426"/>
        <w:t>o</w:t>
      </w:r>
      <w:r>
        <w:rPr/>
        <w:t xml:space="preserve">, eingesetzt </w:t>
      </w:r>
      <w:r>
        <w:rPr>
          <w:color w:val="808080"/>
        </w:rPr>
        <w:t>(geweiht; setze ein)</w:t>
      </w:r>
      <w:r>
        <w:rPr/>
        <w:t xml:space="preserve"> </w:t>
      </w:r>
      <w:r>
        <w:rPr>
          <w:rStyle w:val="Funotenanker"/>
        </w:rPr>
        <w:footnoteReference w:customMarkFollows="1" w:id="427"/>
        <w:t>p</w:t>
      </w:r>
      <w:r>
        <w:rPr/>
        <w:t>.“</w:t>
        <w:br/>
        <w:br/>
        <w:t xml:space="preserve">{{field-off:bible}} </w:t>
        <w:br/>
        <w:t>[[@BibleTOBIBLE:Ps 2:7]]</w:t>
      </w:r>
      <w:r>
        <w:rPr>
          <w:b/>
        </w:rPr>
        <w:t>7</w:t>
      </w:r>
      <w:r>
        <w:rPr/>
        <w:t xml:space="preserve"> {{field-on:bible}} </w:t>
        <w:br/>
      </w:r>
      <w:r>
        <w:rPr>
          <w:rStyle w:val="Funotenanker"/>
        </w:rPr>
        <w:footnoteReference w:customMarkFollows="1" w:id="428"/>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429"/>
        <w:t>r</w:t>
      </w:r>
      <w:r>
        <w:rPr/>
        <w:t xml:space="preserve"> der Anordnung </w:t>
      </w:r>
      <w:r>
        <w:rPr>
          <w:color w:val="808080"/>
        </w:rPr>
        <w:t>(Einsetzungsurkunde, Königsprotokoll, Gesetz)</w:t>
      </w:r>
      <w:r>
        <w:rPr/>
        <w:t xml:space="preserve"> </w:t>
      </w:r>
      <w:r>
        <w:rPr>
          <w:rStyle w:val="Funotenanker"/>
        </w:rPr>
        <w:footnoteReference w:customMarkFollows="1" w:id="430"/>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431"/>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432"/>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433"/>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434"/>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435"/>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436"/>
        <w:t>y</w:t>
      </w:r>
      <w:r>
        <w:rPr/>
        <w:t xml:space="preserve"> zerschmettern </w:t>
      </w:r>
      <w:r>
        <w:rPr>
          <w:color w:val="808080"/>
        </w:rPr>
        <w:t>(weiden)</w:t>
      </w:r>
      <w:r>
        <w:rPr/>
        <w:t xml:space="preserve"> </w:t>
      </w:r>
      <w:r>
        <w:rPr>
          <w:rStyle w:val="Funotenanker"/>
        </w:rPr>
        <w:footnoteReference w:customMarkFollows="1" w:id="437"/>
        <w:t>z</w:t>
      </w:r>
      <w:r>
        <w:rPr/>
        <w:t>,</w:t>
        <w:br/>
        <w:t>wie Töpferware</w:t>
      </w:r>
      <w:r>
        <w:rPr>
          <w:rStyle w:val="Funotenanker"/>
        </w:rPr>
        <w:footnoteReference w:customMarkFollows="1" w:id="438"/>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439"/>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440"/>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41"/>
        <w:t>Status</w:t>
      </w:r>
      <w:r>
        <w:rPr/>
        <w:t xml:space="preserve"> ''Ein Psalm </w:t>
      </w:r>
      <w:r>
        <w:rPr>
          <w:color w:val="808080"/>
        </w:rPr>
        <w:t>(begleitetes Lied)</w:t>
      </w:r>
      <w:r>
        <w:rPr/>
        <w:t xml:space="preserve"> von </w:t>
      </w:r>
      <w:r>
        <w:rPr>
          <w:color w:val="808080"/>
        </w:rPr>
        <w:t>(für, über, nach Art von)</w:t>
      </w:r>
      <w:r>
        <w:rPr/>
        <w:t xml:space="preserve"> David.'' ''Während </w:t>
      </w:r>
      <w:r>
        <w:rPr>
          <w:color w:val="808080"/>
        </w:rPr>
        <w:t>(Als)</w:t>
      </w:r>
      <w:r>
        <w:rPr/>
        <w:t xml:space="preserve"> er floh vor Absalom, seinem Sohn.''</w:t>
      </w:r>
      <w:r>
        <w:rPr>
          <w:rStyle w:val="Funotenanker"/>
        </w:rPr>
        <w:footnoteReference w:customMarkFollows="1" w:id="442"/>
        <w:t>a</w:t>
      </w:r>
      <w:r>
        <w:rPr/>
        <w:t xml:space="preserve"> </w:t>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443"/>
        <w:t>b</w:t>
      </w:r>
      <w:r>
        <w:rPr/>
        <w:t xml:space="preserve"> zahlreich </w:t>
      </w:r>
      <w:r>
        <w:rPr>
          <w:color w:val="808080"/>
        </w:rPr>
        <w:t>(wie sehr vermehrt)</w:t>
      </w:r>
      <w:r>
        <w:rPr/>
        <w:t xml:space="preserve"> </w:t>
      </w:r>
      <w:r>
        <w:rPr>
          <w:b/>
          <w:color w:val="808080"/>
        </w:rPr>
        <w:t>[</w:t>
      </w:r>
      <w:r>
        <w:rPr/>
        <w:t>sind</w:t>
      </w:r>
      <w:r>
        <w:rPr>
          <w:b/>
          <w:color w:val="808080"/>
        </w:rPr>
        <w:t>]</w:t>
      </w:r>
      <w:r>
        <w:rPr/>
        <w:t xml:space="preserve"> meine Gegner </w:t>
      </w:r>
      <w:r>
        <w:rPr>
          <w:color w:val="808080"/>
        </w:rPr>
        <w:t>(die, die sich gegen mich erheben)</w:t>
      </w:r>
      <w:r>
        <w:rPr/>
        <w:t xml:space="preserve"> </w:t>
      </w:r>
      <w:r>
        <w:rPr>
          <w:rStyle w:val="Funotenanker"/>
        </w:rPr>
        <w:footnoteReference w:customMarkFollows="1" w:id="444"/>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445"/>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446"/>
        <w:t>e</w:t>
      </w:r>
      <w:r>
        <w:rPr/>
        <w:t xml:space="preserve"> </w:t>
      </w:r>
      <w:r>
        <w:rPr>
          <w:rStyle w:val="Funotenanker"/>
        </w:rPr>
        <w:footnoteReference w:customMarkFollows="1" w:id="447"/>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448"/>
        <w:t>g</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449"/>
        <w:t>h</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450"/>
        <w:t>i</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451"/>
        <w:t>j</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ich </w:t>
      </w:r>
      <w:r>
        <w:rPr>
          <w:b/>
          <w:color w:val="808080"/>
        </w:rPr>
        <w:t>[</w:t>
      </w:r>
      <w:r>
        <w:rPr/>
        <w:t>mit</w:t>
      </w:r>
      <w:r>
        <w:rPr>
          <w:b/>
          <w:color w:val="808080"/>
        </w:rPr>
        <w:t>]</w:t>
      </w:r>
      <w:r>
        <w:rPr/>
        <w:t xml:space="preserve"> meiner Stimme</w:t>
      </w:r>
      <w:r>
        <w:rPr>
          <w:rStyle w:val="Funotenanker"/>
        </w:rPr>
        <w:footnoteReference w:customMarkFollows="1" w:id="452"/>
        <w:t>k</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453"/>
        <w:t>l</w:t>
      </w:r>
      <w:r>
        <w:rPr/>
        <w:t xml:space="preserve"> </w:t>
      </w:r>
      <w:r>
        <w:rPr>
          <w:color w:val="808080"/>
        </w:rPr>
        <w:t>)</w:t>
      </w:r>
      <w:r>
        <w:rPr/>
        <w:t xml:space="preserve"> </w:t>
      </w:r>
      <w:r>
        <w:rPr>
          <w:rStyle w:val="Funotenanker"/>
        </w:rPr>
        <w:footnoteReference w:customMarkFollows="1" w:id="454"/>
        <w:t>m</w:t>
      </w:r>
      <w:r>
        <w:rPr/>
        <w:t xml:space="preserve"> er mir von seinem heiligen Berg </w:t>
      </w:r>
      <w:r>
        <w:rPr>
          <w:color w:val="808080"/>
        </w:rPr>
        <w:t>(vom Berg seiner Heiligkeit)</w:t>
      </w:r>
      <w:r>
        <w:rPr/>
        <w:t>.</w:t>
      </w:r>
      <w:r>
        <w:rPr>
          <w:rStyle w:val="Funotenanker"/>
        </w:rPr>
        <w:footnoteReference w:customMarkFollows="1" w:id="455"/>
        <w:t>n</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w:t>
      </w:r>
      <w:r>
        <w:rPr>
          <w:color w:val="808080"/>
        </w:rPr>
        <w:t>(</w:t>
      </w:r>
      <w:r>
        <w:rPr>
          <w:b/>
          <w:color w:val="808080"/>
        </w:rPr>
        <w:t>[</w:t>
      </w:r>
      <w:r>
        <w:rPr>
          <w:color w:val="808080"/>
        </w:rPr>
        <w:t>wenn</w:t>
      </w:r>
      <w:r>
        <w:rPr>
          <w:b/>
          <w:color w:val="808080"/>
        </w:rPr>
        <w:t>]</w:t>
      </w:r>
      <w:r>
        <w:rPr>
          <w:color w:val="808080"/>
        </w:rPr>
        <w:t xml:space="preserve"> ich einschlafe)</w:t>
      </w:r>
      <w:r>
        <w:rPr/>
        <w:t xml:space="preserv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t xml:space="preserve">Ich fürchte mich nicht vor </w:t>
      </w:r>
      <w:r>
        <w:rPr>
          <w:b/>
          <w:color w:val="808080"/>
        </w:rPr>
        <w:t>[</w:t>
      </w:r>
      <w:r>
        <w:rPr/>
        <w:t>den</w:t>
      </w:r>
      <w:r>
        <w:rPr>
          <w:b/>
          <w:color w:val="808080"/>
        </w:rPr>
        <w:t>]</w:t>
      </w:r>
      <w:r>
        <w:rPr/>
        <w:t xml:space="preserve"> </w:t>
      </w:r>
      <w:r>
        <w:rPr>
          <w:rStyle w:val="Funotenanker"/>
        </w:rPr>
        <w:footnoteReference w:customMarkFollows="1" w:id="456"/>
        <w:t>o</w:t>
      </w:r>
      <w:r>
        <w:rPr/>
        <w:t xml:space="preserve"> Myriaden von Kriegern,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457"/>
        <w:t>p</w:t>
      </w:r>
      <w:r>
        <w:rPr/>
        <w:t xml:space="preserve"> Zerschlage</w:t>
      </w:r>
      <w:r>
        <w:rPr>
          <w:rStyle w:val="Funotenanker"/>
        </w:rPr>
        <w:footnoteReference w:customMarkFollows="1" w:id="458"/>
        <w:t>q</w:t>
      </w:r>
      <w:r>
        <w:rPr/>
        <w:t xml:space="preserve"> </w:t>
      </w:r>
      <w:r>
        <w:rPr>
          <w:color w:val="808080"/>
        </w:rPr>
        <w:t>(Schlage auf)</w:t>
      </w:r>
      <w:r>
        <w:rPr/>
        <w:t xml:space="preserve"> </w:t>
      </w:r>
      <w:r>
        <w:rPr>
          <w:rStyle w:val="Funotenanker"/>
        </w:rPr>
        <w:footnoteReference w:customMarkFollows="1" w:id="459"/>
        <w:t>r</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b/>
          <w:color w:val="808080"/>
        </w:rPr>
        <w:t>[</w:t>
      </w:r>
      <w:r>
        <w:rPr/>
        <w:t xml:space="preserve">ist </w:t>
      </w:r>
      <w:r>
        <w:rPr>
          <w:color w:val="808080"/>
        </w:rPr>
        <w:t>(sei)</w:t>
      </w:r>
      <w:r>
        <w:rPr>
          <w:b/>
          <w:color w:val="808080"/>
        </w:rPr>
        <w:t>]</w:t>
      </w:r>
      <w:r>
        <w:rPr/>
        <w:t xml:space="preserve"> die Rettung </w:t>
      </w:r>
      <w:r>
        <w:rPr>
          <w:color w:val="808080"/>
        </w:rPr>
        <w:t>(Hilfe, Sieg)</w:t>
      </w:r>
      <w:r>
        <w:rPr/>
        <w:t xml:space="preserve"> </w:t>
      </w:r>
      <w:r>
        <w:rPr>
          <w:rStyle w:val="Funotenanker"/>
        </w:rPr>
        <w:footnoteReference w:customMarkFollows="1" w:id="460"/>
        <w:t>s</w:t>
      </w:r>
      <w:r>
        <w:rPr/>
        <w:t xml:space="preserve">; auf deinem Volk </w:t>
      </w:r>
      <w:r>
        <w:rPr>
          <w:b/>
          <w:color w:val="808080"/>
        </w:rPr>
        <w:t>[</w:t>
      </w:r>
      <w:r>
        <w:rPr/>
        <w:t xml:space="preserve">ist </w:t>
      </w:r>
      <w:r>
        <w:rPr>
          <w:color w:val="808080"/>
        </w:rPr>
        <w:t>(sei)</w:t>
      </w:r>
      <w:r>
        <w:rPr>
          <w:b/>
          <w:color w:val="808080"/>
        </w:rPr>
        <w:t>]</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461"/>
        <w:t>Status</w:t>
      </w:r>
      <w:r>
        <w:rPr/>
        <w:t xml:space="preserve"> ''Für den Chorleiter </w:t>
      </w:r>
      <w:r>
        <w:rPr>
          <w:color w:val="808080"/>
        </w:rPr>
        <w:t>(Dirigenten, Singenden, Musizierenden)</w:t>
      </w:r>
      <w:r>
        <w:rPr/>
        <w:t xml:space="preserve">. Mit Saitenspiel </w:t>
      </w:r>
      <w:r>
        <w:rPr>
          <w:color w:val="808080"/>
        </w:rPr>
        <w:t>(Flötenspiel)</w:t>
      </w:r>
      <w:r>
        <w:rPr/>
        <w:t>''</w:t>
      </w:r>
      <w:r>
        <w:rPr>
          <w:rStyle w:val="Funotenanker"/>
        </w:rPr>
        <w:footnoteReference w:customMarkFollows="1" w:id="462"/>
        <w:t>a</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463"/>
        <w:t>b</w:t>
      </w:r>
      <w:r>
        <w:rPr/>
        <w:t xml:space="preserve">, oh du mein wahrer Gott </w:t>
      </w:r>
      <w:r>
        <w:rPr>
          <w:color w:val="808080"/>
        </w:rPr>
        <w:t>(mein gerechter Gott, Gott meines Heils, Gott meiner Gerechtigkeit)</w:t>
      </w:r>
      <w:r>
        <w:rPr/>
        <w:t>!</w:t>
      </w:r>
      <w:r>
        <w:rPr>
          <w:rStyle w:val="Funotenanker"/>
        </w:rPr>
        <w:footnoteReference w:customMarkFollows="1" w:id="464"/>
        <w:t>c</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465"/>
        <w:t>d</w:t>
      </w:r>
      <w:r>
        <w:rPr/>
        <w:t xml:space="preserve"> Weite </w:t>
      </w:r>
      <w:r>
        <w:rPr>
          <w:color w:val="808080"/>
        </w:rPr>
        <w:t>(hilf mir in meiner Not)</w:t>
      </w:r>
      <w:r>
        <w:rPr/>
        <w:t xml:space="preserve"> </w:t>
      </w:r>
      <w:r>
        <w:rPr>
          <w:rStyle w:val="Funotenanker"/>
        </w:rPr>
        <w:footnoteReference w:customMarkFollows="1" w:id="466"/>
        <w:t>e</w:t>
      </w:r>
      <w:r>
        <w:rPr/>
        <w:t xml:space="preserve"> Erbarme dich meiner und höre </w:t>
      </w:r>
      <w:r>
        <w:rPr>
          <w:color w:val="808080"/>
        </w:rPr>
        <w:t>(erhöre)</w:t>
      </w:r>
      <w:r>
        <w:rPr/>
        <w:t xml:space="preserve"> </w:t>
      </w:r>
      <w:r>
        <w:rPr>
          <w:rStyle w:val="Funotenanker"/>
        </w:rPr>
        <w:footnoteReference w:customMarkFollows="1" w:id="467"/>
        <w:t>f</w:t>
      </w:r>
      <w:r>
        <w:rPr/>
        <w:t xml:space="preserve"> mein Flehen </w:t>
      </w:r>
      <w:r>
        <w:rPr>
          <w:color w:val="808080"/>
        </w:rPr>
        <w:t>(Gebet)</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468"/>
        <w:t>g</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469"/>
        <w:t>h</w:t>
      </w:r>
      <w:r>
        <w:rPr/>
        <w:t xml:space="preserve"> geschmäht </w:t>
      </w:r>
      <w:r>
        <w:rPr>
          <w:color w:val="808080"/>
        </w:rPr>
        <w:t>(zum Schimpf)</w:t>
      </w:r>
      <w:r>
        <w:rPr/>
        <w:t>?</w:t>
      </w:r>
      <w:r>
        <w:rPr>
          <w:rStyle w:val="Funotenanker"/>
        </w:rPr>
        <w:footnoteReference w:customMarkFollows="1" w:id="470"/>
        <w:t>i</w:t>
      </w:r>
      <w:r>
        <w:rPr/>
        <w:t xml:space="preserve"> </w:t>
      </w:r>
      <w:r>
        <w:rPr>
          <w:b/>
          <w:color w:val="808080"/>
        </w:rPr>
        <w:t>[</w:t>
      </w:r>
      <w:r>
        <w:rPr/>
        <w:t>Wie lange</w:t>
      </w:r>
      <w:r>
        <w:rPr>
          <w:b/>
          <w:color w:val="808080"/>
        </w:rPr>
        <w:t>]</w:t>
      </w:r>
      <w:r>
        <w:rPr/>
        <w:t xml:space="preserve"> wollt ihr Nichtiges </w:t>
      </w:r>
      <w:r>
        <w:rPr>
          <w:color w:val="808080"/>
        </w:rPr>
        <w:t>(Leeres, Abgötter)</w:t>
      </w:r>
      <w:r>
        <w:rPr/>
        <w:t xml:space="preserve"> </w:t>
      </w:r>
      <w:r>
        <w:rPr>
          <w:rStyle w:val="Funotenanker"/>
        </w:rPr>
        <w:footnoteReference w:customMarkFollows="1" w:id="471"/>
        <w:t>j</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472"/>
        <w:t>k</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473"/>
        <w:t>l</w:t>
      </w:r>
      <w:r>
        <w:rPr/>
        <w:t xml:space="preserve"> den ihm Frommen </w:t>
      </w:r>
      <w:r>
        <w:rPr>
          <w:color w:val="808080"/>
        </w:rPr>
        <w:t>(seinem Frommen)</w:t>
      </w:r>
      <w:r>
        <w:rPr/>
        <w:t>;</w:t>
      </w:r>
      <w:r>
        <w:rPr>
          <w:rStyle w:val="Funotenanker"/>
        </w:rPr>
        <w:footnoteReference w:customMarkFollows="1" w:id="474"/>
        <w:t>m</w:t>
      </w:r>
      <w:r>
        <w:rPr/>
        <w:t xml:space="preserve"> </w:t>
      </w:r>
      <w:r>
        <w:rPr>
          <w:smallCaps/>
          <w:color w:val="FF0000"/>
        </w:rPr>
        <w:t>JHWH</w:t>
      </w:r>
      <w:r>
        <w:rPr/>
        <w:t xml:space="preserve"> wird hören </w:t>
      </w:r>
      <w:r>
        <w:rPr>
          <w:color w:val="808080"/>
        </w:rPr>
        <w:t>(erhören)</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475"/>
        <w:t>n</w:t>
      </w:r>
      <w:r>
        <w:rPr/>
        <w:t xml:space="preserve"> unruhig seid </w:t>
      </w:r>
      <w:r>
        <w:rPr>
          <w:color w:val="808080"/>
        </w:rPr>
        <w:t>(seid unruhig!, Zittert!)</w:t>
      </w:r>
      <w:r>
        <w:rPr/>
        <w:t>:</w:t>
      </w:r>
      <w:r>
        <w:rPr>
          <w:rStyle w:val="Funotenanker"/>
        </w:rPr>
        <w:footnoteReference w:customMarkFollows="1" w:id="476"/>
        <w:t>o</w:t>
      </w:r>
      <w:r>
        <w:rPr/>
        <w:t xml:space="preserve"> sündigt nicht! </w:t>
      </w:r>
      <w:r>
        <w:rPr>
          <w:b/>
          <w:color w:val="808080"/>
        </w:rPr>
        <w:t>[</w:t>
      </w:r>
      <w:r>
        <w:rPr/>
        <w:t>Wenn ihr</w:t>
      </w:r>
      <w:r>
        <w:rPr>
          <w:b/>
          <w:color w:val="808080"/>
        </w:rPr>
        <w:t>]</w:t>
      </w:r>
      <w:r>
        <w:rPr/>
        <w:t xml:space="preserve"> in euren Betten in euren Herzen sprecht</w:t>
      </w:r>
      <w:r>
        <w:rPr>
          <w:rStyle w:val="Funotenanker"/>
        </w:rPr>
        <w:footnoteReference w:customMarkFollows="1" w:id="477"/>
        <w:t>p</w:t>
      </w:r>
      <w:r>
        <w:rPr/>
        <w:t xml:space="preserve">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w:t>
      </w:r>
      <w:r>
        <w:rPr>
          <w:b/>
          <w:color w:val="808080"/>
        </w:rPr>
        <w:t>[</w:t>
      </w:r>
      <w:r>
        <w:rPr/>
        <w:t>Gott</w:t>
      </w:r>
      <w:r>
        <w:rPr>
          <w:b/>
          <w:color w:val="808080"/>
        </w:rPr>
        <w:t>]</w:t>
      </w:r>
      <w:r>
        <w:rPr/>
        <w:t xml:space="preserve"> </w:t>
      </w:r>
      <w:r>
        <w:rPr>
          <w:color w:val="808080"/>
        </w:rPr>
        <w:t>(Opfer der Gerechtigkeit, richtige Opfer)</w:t>
      </w:r>
      <w:r>
        <w:rPr/>
        <w:t xml:space="preserve"> </w:t>
      </w:r>
      <w:r>
        <w:rPr>
          <w:rStyle w:val="Funotenanker"/>
        </w:rPr>
        <w:footnoteReference w:customMarkFollows="1" w:id="478"/>
        <w:t>q</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479"/>
        <w:t>r</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480"/>
        <w:t>s</w:t>
      </w:r>
      <w:r>
        <w:rPr/>
        <w:t xml:space="preserve"> </w:t>
      </w:r>
      <w:r>
        <w:rPr>
          <w:color w:val="808080"/>
        </w:rPr>
        <w:t>)</w:t>
      </w:r>
      <w:r>
        <w:rPr/>
        <w:t xml:space="preserve"> </w:t>
      </w:r>
      <w:r>
        <w:rPr>
          <w:b/>
          <w:color w:val="808080"/>
        </w:rPr>
        <w:t>[</w:t>
      </w:r>
      <w:r>
        <w:rPr/>
        <w:t>Wo doch</w:t>
      </w:r>
      <w:r>
        <w:rPr>
          <w:b/>
          <w:color w:val="808080"/>
        </w:rPr>
        <w:t>]</w:t>
      </w:r>
      <w:r>
        <w:rPr/>
        <w:t xml:space="preserve"> </w:t>
      </w:r>
      <w:r>
        <w:rPr>
          <w:rStyle w:val="Funotenanker"/>
        </w:rPr>
        <w:footnoteReference w:customMarkFollows="1" w:id="481"/>
        <w:t>t</w:t>
      </w:r>
      <w:r>
        <w:rPr/>
        <w:t xml:space="preserve"> geflohen ist</w:t>
      </w:r>
      <w:r>
        <w:rPr>
          <w:rStyle w:val="Funotenanker"/>
        </w:rPr>
        <w:footnoteReference w:customMarkFollows="1" w:id="482"/>
        <w:t>u</w:t>
      </w:r>
      <w:r>
        <w:rPr/>
        <w:t xml:space="preserve"> von über</w:t>
      </w:r>
      <w:r>
        <w:rPr>
          <w:rStyle w:val="Funotenanker"/>
        </w:rPr>
        <w:footnoteReference w:customMarkFollows="1" w:id="483"/>
        <w:t>v</w:t>
      </w:r>
      <w:r>
        <w:rPr/>
        <w:t xml:space="preserve"> uns das Licht deines Angesichts</w:t>
      </w:r>
      <w:r>
        <w:rPr>
          <w:rStyle w:val="Funotenanker"/>
        </w:rPr>
        <w:footnoteReference w:customMarkFollows="1" w:id="484"/>
        <w:t>w</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Freude in mein HerzZur Zeit </w:t>
      </w:r>
      <w:r>
        <w:rPr>
          <w:color w:val="808080"/>
        </w:rPr>
        <w:t>(mehr als zur Zeit)</w:t>
      </w:r>
      <w:r>
        <w:rPr/>
        <w:t xml:space="preserve">, als </w:t>
      </w:r>
      <w:r>
        <w:rPr>
          <w:strike/>
          <w:color w:val="808080"/>
        </w:rPr>
        <w:t>{ihr}</w:t>
      </w:r>
      <w:r>
        <w:rPr/>
        <w:t xml:space="preserve"> </w:t>
      </w:r>
      <w:r>
        <w:rPr>
          <w:rStyle w:val="Funotenanker"/>
        </w:rPr>
        <w:footnoteReference w:customMarkFollows="1" w:id="485"/>
        <w:t>x</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486"/>
        <w:t>y</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487"/>
        <w:t>z</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t xml:space="preserve">Psalm 5 ist ein Gebet zur Vorbereitung auf eine Wallfahrt zum Tempel, die der Psalmist aufgrund der Befeindungen vonseiten seiner Gegner unternehmen will. V. 1 ist die „Überschrift“. Diese Psalmüberschriften wurde nachträglich hinzugefügt; über ihren Sinn weiß man immer noch nichts Genaueres und auch die Bedeutung der einzelnen Vokabeln ist hier wie oft unklar. Doch da es sich um nachträgliche Hinzufügungen handelt, wirkt sich das glücklicherweise nicht allzu nachteilig auf das Verständnis des Psalms im Ganzen aus. Der eigentliche Psalm beginnt in Vv. 2-3a mit der „Invokation“: Gott wird angerufen, damit er dem folgenden Gebet Gehör schenken möge. Der Anlass für den Psalm wird dann in Vv. 3b-4 genannt: Der Beter will eine Wallfahrt zum Tempel unternehmen, damit Gott dort „seine Stimme und seine Gebete“ vernehmen kann. Abschnitte wie Vv. 5-7 finden sich häufig in den Psalmen: Der Beter unterstützt seine (hier noch gar nicht vorgetragene) Bitte, indem er an bestimmte Wesenszüge Gottes appelliert; hier nämlich die Tatsache, dass Gott Übeltäter verabscheut. Vv. 8f. verdichten zunächst einen Kontrast zwischen diesen Übeltätern und dem Beter: Ihn verabscheut Gott nicht, sondern er darf sich ihm sogar in seinem Tempel nahen und sein Gebet vorbringen. Das ist es auch, was er vorhat, und bringt er in V. 9 den ersten Teil seiner Bitte vor: Er bittet um Gottes Schutz auf diesem Weg. Dieses Schutzes bedarf er „wegen seiner Feinde“, und von diesen handeln dann noch mal Vv. 10f.: Weil ihr Inneres durch und durch verdorben ist, sollen sie bestraft werden, untergehen und fortgetrieben werden. Ähnlich wie Vv. 5-7 funktionieren schließlich auch Vv. 12f.: Wieder wird an Gott appelliert, indem bestimmte Charakterzüge Gottes hervorgehoben werden. Wegen dieser allseits bekannten Charakterzüge weiß der Beter sogar bereits, wie die Sache ausgehen wird: Wer bei Gott Zuflucht sucht und wer </w:t>
      </w:r>
      <w:r>
        <w:rPr>
          <w:rStyle w:val="Funotenanker"/>
        </w:rPr>
        <w:footnoteReference w:customMarkFollows="1" w:id="488"/>
        <w:t>a</w:t>
      </w:r>
      <w:r>
        <w:rPr/>
        <w:t xml:space="preserve">-Verehrer ist – kurz: die „Gerechten“ –, also er, wird von Gott erhört werden. Er wird sich freuen können, jubeln und jauchzen, weil Gott ihn segnen, schützen und mit Huld krönen wird. Und mit diesem den Psalm abschließenden Appell ist er bestens gerüstet für seine Wallfahrt, die auf jeden Fall gelingen und Erfolg bringen wird. </w:t>
        <w:br/>
        <w:br/>
        <w:t>[[@BibleTOBIBLE:Ps 5:1]]</w:t>
      </w:r>
      <w:r>
        <w:rPr>
          <w:b/>
        </w:rPr>
        <w:t>1</w:t>
      </w:r>
      <w:r>
        <w:rPr/>
        <w:t xml:space="preserve"> {{field-on:bible}} </w:t>
      </w:r>
      <w:r>
        <w:rPr>
          <w:rStyle w:val="Funotenanker"/>
        </w:rPr>
        <w:footnoteReference w:customMarkFollows="1" w:id="489"/>
        <w:t>Status</w:t>
      </w:r>
      <w:r>
        <w:rPr/>
        <w:t xml:space="preserve"> ''Für den Chorleiter </w:t>
      </w:r>
      <w:r>
        <w:rPr>
          <w:color w:val="808080"/>
        </w:rPr>
        <w:t>(Dirigenten, Singenden, Musizierenden)</w:t>
      </w:r>
      <w:r>
        <w:rPr/>
        <w:t xml:space="preserve">. Zu Flötenspiel </w:t>
      </w:r>
      <w:r>
        <w:rPr>
          <w:color w:val="808080"/>
        </w:rPr>
        <w:t>(nach „das Erbe“)</w:t>
      </w:r>
      <w:r>
        <w:rPr/>
        <w:t>.''</w:t>
      </w:r>
      <w:r>
        <w:rPr>
          <w:rStyle w:val="Funotenanker"/>
        </w:rPr>
        <w:footnoteReference w:customMarkFollows="1" w:id="490"/>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w:t>
      </w:r>
      <w:r>
        <w:rPr>
          <w:rStyle w:val="Funotenanker"/>
        </w:rPr>
        <w:footnoteReference w:customMarkFollows="1" w:id="491"/>
        <w:t>c</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w:t>
      </w:r>
      <w:r>
        <w:rPr>
          <w:rStyle w:val="Funotenanker"/>
        </w:rPr>
        <w:footnoteReference w:customMarkFollows="1" w:id="492"/>
        <w:t>d</w:t>
      </w:r>
      <w:r>
        <w:rPr/>
        <w:t xml:space="preserve"> </w:t>
        <w:br/>
        <w:t xml:space="preserve">{{field-off:bible}} </w:t>
        <w:br/>
        <w:t>[[@BibleTOBIBLE:Ps 5:3]]</w:t>
      </w:r>
      <w:r>
        <w:rPr>
          <w:b/>
        </w:rPr>
        <w:t>3</w:t>
      </w:r>
      <w:r>
        <w:rPr/>
        <w:t xml:space="preserve"> {{field-on:bible}} </w:t>
        <w:br/>
        <w:t xml:space="preserve">Lausche auf </w:t>
      </w:r>
      <w:r>
        <w:rPr>
          <w:color w:val="808080"/>
        </w:rPr>
        <w:t>(Erhöre)</w:t>
      </w:r>
      <w:r>
        <w:rPr/>
        <w:t xml:space="preserve"> mein Geschrei </w:t>
      </w:r>
      <w:r>
        <w:rPr>
          <w:color w:val="808080"/>
        </w:rPr>
        <w:t>(Rufen, Stimme)</w:t>
      </w:r>
      <w:r>
        <w:rPr/>
        <w:t xml:space="preserve"> um Hilfe!</w:t>
        <w:br/>
        <w:t xml:space="preserve">Mein König und mein Gott: </w:t>
      </w:r>
      <w:r>
        <w:rPr>
          <w:strike/>
          <w:color w:val="808080"/>
        </w:rPr>
        <w:t>{Oh,}</w:t>
      </w:r>
      <w:r>
        <w:rPr/>
        <w:t xml:space="preserve"> </w:t>
      </w:r>
      <w:r>
        <w:rPr>
          <w:color w:val="808080"/>
        </w:rPr>
        <w:t>(weil)</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b/>
          <w:color w:val="808080"/>
        </w:rPr>
        <w:t>[</w:t>
      </w:r>
      <w:r>
        <w:rPr/>
        <w:t>Schon</w:t>
      </w:r>
      <w:r>
        <w:rPr>
          <w:b/>
          <w:color w:val="808080"/>
        </w:rPr>
        <w:t>]</w:t>
      </w:r>
      <w:r>
        <w:rPr/>
        <w:t xml:space="preserve"> am Morgen </w:t>
      </w:r>
      <w:r>
        <w:rPr>
          <w:color w:val="808080"/>
        </w:rPr>
        <w:t>(jeden Morgen, Morgen)</w:t>
      </w:r>
      <w:r>
        <w:rPr/>
        <w:t xml:space="preserve"> wirst </w:t>
      </w:r>
      <w:r>
        <w:rPr>
          <w:color w:val="808080"/>
        </w:rPr>
        <w:t>(sollst, höre!)</w:t>
      </w:r>
      <w:r>
        <w:rPr/>
        <w:t xml:space="preserve"> du meine Stimme hören, </w:t>
      </w:r>
      <w:r>
        <w:rPr>
          <w:b/>
          <w:color w:val="808080"/>
        </w:rPr>
        <w:t>[</w:t>
      </w:r>
      <w:r>
        <w:rPr/>
        <w:t>Schon</w:t>
      </w:r>
      <w:r>
        <w:rPr>
          <w:b/>
          <w:color w:val="808080"/>
        </w:rPr>
        <w:t>]</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493"/>
        <w:t>e</w:t>
      </w:r>
      <w:r>
        <w:rPr/>
        <w:t xml:space="preserve"> und </w:t>
      </w:r>
      <w:r>
        <w:rPr>
          <w:b/>
          <w:color w:val="808080"/>
        </w:rPr>
        <w:t>[</w:t>
      </w:r>
      <w:r>
        <w:rPr/>
        <w:t>auf dich</w:t>
      </w:r>
      <w:r>
        <w:rPr>
          <w:b/>
          <w:color w:val="808080"/>
        </w:rPr>
        <w:t>]</w:t>
      </w:r>
      <w:r>
        <w:rPr/>
        <w:t xml:space="preserve"> </w:t>
      </w:r>
      <w:r>
        <w:rPr>
          <w:rStyle w:val="Funotenanker"/>
        </w:rPr>
        <w:footnoteReference w:customMarkFollows="1" w:id="494"/>
        <w:t>f</w:t>
      </w:r>
      <w:r>
        <w:rPr/>
        <w:t xml:space="preserve"> warten.</w:t>
        <w:br/>
        <w:br/>
        <w:t xml:space="preserve">{{field-off:bible}} </w:t>
        <w:br/>
        <w:t>[[@BibleTOBIBLE:Ps 5:5]]</w:t>
      </w:r>
      <w:r>
        <w:rPr>
          <w:b/>
        </w:rPr>
        <w:t>5</w:t>
      </w:r>
      <w:r>
        <w:rPr/>
        <w:t xml:space="preserve"> {{field-on:bible}} </w:t>
        <w:br/>
      </w:r>
      <w:r>
        <w:rPr>
          <w:strike/>
          <w:color w:val="808080"/>
        </w:rPr>
        <w:t>{Oh!}</w:t>
      </w:r>
      <w:r>
        <w:rPr/>
        <w:t xml:space="preserve"> </w:t>
      </w:r>
      <w:r>
        <w:rPr>
          <w:rStyle w:val="Funotenanker"/>
        </w:rPr>
        <w:footnoteReference w:customMarkFollows="1" w:id="495"/>
        <w:t>g</w:t>
      </w:r>
      <w:r>
        <w:rPr/>
        <w:t xml:space="preserve"> </w:t>
      </w:r>
      <w:r>
        <w:rPr>
          <w:color w:val="808080"/>
        </w:rPr>
        <w:t>(Weil)</w:t>
      </w:r>
      <w:r>
        <w:rPr/>
        <w:t xml:space="preserve"> Du </w:t>
      </w:r>
      <w:r>
        <w:rPr>
          <w:b/>
          <w:color w:val="808080"/>
        </w:rPr>
        <w:t>[</w:t>
      </w:r>
      <w:r>
        <w:rPr/>
        <w:t>bist</w:t>
      </w:r>
      <w:r>
        <w:rPr>
          <w:b/>
          <w:color w:val="808080"/>
        </w:rPr>
        <w:t>]</w:t>
      </w:r>
      <w:r>
        <w:rPr/>
        <w:t xml:space="preserve"> kein Gott, dem Böse </w:t>
      </w:r>
      <w:r>
        <w:rPr>
          <w:color w:val="808080"/>
        </w:rPr>
        <w:t>(Böses)</w:t>
      </w:r>
      <w:r>
        <w:rPr/>
        <w:t xml:space="preserve"> </w:t>
      </w:r>
      <w:r>
        <w:rPr>
          <w:rStyle w:val="Funotenanker"/>
        </w:rPr>
        <w:footnoteReference w:customMarkFollows="1" w:id="496"/>
        <w:t>h</w:t>
      </w:r>
      <w:r>
        <w:rPr/>
        <w:t xml:space="preserve"> gefallen </w:t>
      </w:r>
      <w:r>
        <w:rPr>
          <w:color w:val="808080"/>
        </w:rPr>
        <w:t>(der Böses will)</w:t>
      </w:r>
      <w:r>
        <w:rPr/>
        <w:t xml:space="preserve">; es dürfen </w:t>
      </w:r>
      <w:r>
        <w:rPr>
          <w:color w:val="808080"/>
        </w:rPr>
        <w:t>(werden)</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stehen Frevler </w:t>
      </w:r>
      <w:r>
        <w:rPr>
          <w:color w:val="808080"/>
        </w:rPr>
        <w:t>(Angeber, Törichte, Preisende)</w:t>
      </w:r>
      <w:r>
        <w:rPr/>
        <w:t xml:space="preserve"> </w:t>
      </w:r>
      <w:r>
        <w:rPr>
          <w:rStyle w:val="Funotenanker"/>
        </w:rPr>
        <w:footnoteReference w:customMarkFollows="1" w:id="497"/>
        <w:t>i</w:t>
      </w:r>
      <w:r>
        <w:rPr/>
        <w:t xml:space="preserve"> vor deinen Augen.</w:t>
      </w:r>
      <w:r>
        <w:rPr>
          <w:rStyle w:val="Funotenanker"/>
        </w:rPr>
        <w:footnoteReference w:customMarkFollows="1" w:id="498"/>
        <w:t>j</w:t>
      </w:r>
      <w:r>
        <w:rPr/>
        <w:t xml:space="preserve"> </w:t>
        <w:br/>
      </w:r>
      <w:r>
        <w:rPr>
          <w:color w:val="808080"/>
        </w:rPr>
        <w:t>(Weil)</w:t>
      </w:r>
      <w:r>
        <w:rPr/>
        <w:t xml:space="preserve"> Du hasst alle Tuer von Unheil </w:t>
      </w:r>
      <w:r>
        <w:rPr>
          <w:color w:val="808080"/>
        </w:rPr>
        <w:t>(Unholde)</w:t>
      </w:r>
      <w:r>
        <w:rPr/>
        <w:t>:</w:t>
      </w:r>
      <w:r>
        <w:rPr>
          <w:rStyle w:val="Funotenanker"/>
        </w:rPr>
        <w:footnoteReference w:customMarkFollows="1" w:id="499"/>
        <w:t>k</w:t>
      </w:r>
      <w:r>
        <w:rPr/>
        <w:t xml:space="preserve"> </w:t>
        <w:br/>
        <w:t xml:space="preserve">{{field-off:bible}} </w:t>
        <w:br/>
        <w:t>[[@BibleTOBIBLE:Ps 5:7]]</w:t>
      </w:r>
      <w:r>
        <w:rPr>
          <w:b/>
        </w:rPr>
        <w:t>7</w:t>
      </w:r>
      <w:r>
        <w:rPr/>
        <w:t xml:space="preserve"> {{field-on:bible}} </w:t>
        <w:br/>
        <w:t xml:space="preserve">Du wirst vernichten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smallCaps/>
          <w:color w:val="FF0000"/>
        </w:rPr>
        <w:t>JHWH</w:t>
      </w:r>
      <w:r>
        <w:rPr/>
        <w:t>.</w:t>
      </w:r>
      <w:r>
        <w:rPr>
          <w:rStyle w:val="Funotenanker"/>
        </w:rPr>
        <w:footnoteReference w:customMarkFollows="1" w:id="500"/>
        <w:t>l</w:t>
      </w:r>
      <w:r>
        <w:rPr/>
        <w:t xml:space="preserve"> </w:t>
        <w:br/>
        <w:br/>
        <w:t xml:space="preserve">{{field-off:bible}} </w:t>
        <w:br/>
        <w:t>[[@BibleTOBIBLE:Ps 5:8]]</w:t>
      </w:r>
      <w:r>
        <w:rPr>
          <w:b/>
        </w:rPr>
        <w:t>8</w:t>
      </w:r>
      <w:r>
        <w:rPr/>
        <w:t xml:space="preserve"> {{field-on:bible}} </w:t>
        <w:br/>
        <w:t>Ich dagegen darf in der Menge deiner Gnade</w:t>
      </w:r>
      <w:r>
        <w:rPr>
          <w:rStyle w:val="Funotenanker"/>
        </w:rPr>
        <w:footnoteReference w:customMarkFollows="1" w:id="501"/>
        <w:t>m</w:t>
      </w:r>
      <w:r>
        <w:rPr/>
        <w:t xml:space="preserve"> </w:t>
      </w:r>
      <w:r>
        <w:rPr>
          <w:color w:val="808080"/>
        </w:rPr>
        <w:t>(in deiner großen Gnade/Treue/Liebe)</w:t>
      </w:r>
      <w:r>
        <w:rPr/>
        <w:t xml:space="preserve"> in dein Haus kommen; ich darf </w:t>
      </w:r>
      <w:r>
        <w:rPr>
          <w:b/>
          <w:color w:val="808080"/>
        </w:rPr>
        <w:t>[</w:t>
      </w:r>
      <w:r>
        <w:rPr/>
        <w:t>dich</w:t>
      </w:r>
      <w:r>
        <w:rPr>
          <w:b/>
          <w:color w:val="808080"/>
        </w:rPr>
        <w:t>]</w:t>
      </w:r>
      <w:r>
        <w:rPr/>
        <w:t xml:space="preserve"> in </w:t>
      </w:r>
      <w:r>
        <w:rPr>
          <w:color w:val="808080"/>
        </w:rPr>
        <w:t>(zu)</w:t>
      </w:r>
      <w:r>
        <w:rPr/>
        <w:t xml:space="preserve"> </w:t>
      </w:r>
      <w:r>
        <w:rPr>
          <w:rStyle w:val="Funotenanker"/>
        </w:rPr>
        <w:footnoteReference w:customMarkFollows="1" w:id="502"/>
        <w:t>n</w:t>
      </w:r>
      <w:r>
        <w:rPr/>
        <w:t xml:space="preserve"> deinem heiligen Tempel </w:t>
      </w:r>
      <w:r>
        <w:rPr>
          <w:color w:val="808080"/>
        </w:rPr>
        <w:t>(im Tempel deiner Heiligkeit)</w:t>
      </w:r>
      <w:r>
        <w:rPr/>
        <w:t xml:space="preserve"> anbeten in deiner Furcht.</w:t>
        <w:br/>
        <w:t xml:space="preserve">{{field-off:bible}} </w:t>
        <w:br/>
        <w:t>[[@BibleTOBIBLE:Ps 5:9]]</w:t>
      </w:r>
      <w:r>
        <w:rPr>
          <w:b/>
        </w:rPr>
        <w:t>9</w:t>
      </w:r>
      <w:r>
        <w:rPr/>
        <w:t xml:space="preserve"> {{field-on:bible}} </w:t>
        <w:br/>
      </w:r>
      <w:r>
        <w:rPr>
          <w:smallCaps/>
          <w:color w:val="FF0000"/>
        </w:rPr>
        <w:t>JHWH</w:t>
      </w:r>
      <w:r>
        <w:rPr/>
        <w:t xml:space="preserve">, führe </w:t>
      </w:r>
      <w:r>
        <w:rPr>
          <w:color w:val="808080"/>
        </w:rPr>
        <w:t>(begleite mich schützend, schütze)</w:t>
      </w:r>
      <w:r>
        <w:rPr/>
        <w:t xml:space="preserve"> mich in deiner Gerechtigkeit </w:t>
      </w:r>
      <w:r>
        <w:rPr>
          <w:color w:val="808080"/>
        </w:rPr>
        <w:t>(Wahrhaftigkeit, Wohlwollen, du Gerechter)</w:t>
      </w:r>
      <w:r>
        <w:rPr/>
        <w:t xml:space="preserve"> um meiner Feinde willen </w:t>
      </w:r>
      <w:r>
        <w:rPr>
          <w:color w:val="808080"/>
        </w:rPr>
        <w:t>(wegen meiner Feinde)</w:t>
      </w:r>
      <w:r>
        <w:rPr/>
        <w:t xml:space="preserve"> </w:t>
      </w:r>
      <w:r>
        <w:rPr>
          <w:rStyle w:val="Funotenanker"/>
        </w:rPr>
        <w:footnoteReference w:customMarkFollows="1" w:id="503"/>
        <w:t>o</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504"/>
        <w:t>p</w:t>
      </w:r>
      <w:r>
        <w:rPr/>
        <w:t xml:space="preserve"> </w:t>
        <w:br/>
        <w:br/>
        <w:t xml:space="preserve">{{field-off:bible}} </w:t>
        <w:br/>
        <w:t>[[@BibleTOBIBLE:Ps 5:10]]</w:t>
      </w:r>
      <w:r>
        <w:rPr>
          <w:b/>
        </w:rPr>
        <w:t>10</w:t>
      </w:r>
      <w:r>
        <w:rPr/>
        <w:t xml:space="preserve"> {{field-on:bible}} </w:t>
        <w:br/>
        <w:t xml:space="preserve">Weil in seinem </w:t>
      </w:r>
      <w:r>
        <w:rPr>
          <w:color w:val="808080"/>
        </w:rPr>
        <w:t>(ihrem)</w:t>
      </w:r>
      <w:r>
        <w:rPr/>
        <w:t xml:space="preserve"> </w:t>
      </w:r>
      <w:r>
        <w:rPr>
          <w:rStyle w:val="Funotenanker"/>
        </w:rPr>
        <w:footnoteReference w:customMarkFollows="1" w:id="505"/>
        <w:t>q</w:t>
      </w:r>
      <w:r>
        <w:rPr/>
        <w:t xml:space="preserve"> Reden </w:t>
      </w:r>
      <w:r>
        <w:rPr>
          <w:color w:val="808080"/>
        </w:rPr>
        <w:t>(Mund)</w:t>
      </w:r>
      <w:r>
        <w:rPr/>
        <w:t xml:space="preserve"> nichts Aufrichtiges ist, </w:t>
      </w:r>
      <w:r>
        <w:rPr>
          <w:b/>
          <w:color w:val="808080"/>
        </w:rPr>
        <w:t>[</w:t>
      </w:r>
      <w:r>
        <w:rPr/>
        <w:t>Sei</w:t>
      </w:r>
      <w:r>
        <w:rPr>
          <w:b/>
          <w:color w:val="808080"/>
        </w:rPr>
        <w:t>]</w:t>
      </w:r>
      <w:r>
        <w:rPr/>
        <w:t xml:space="preserve"> ihr Inneres </w:t>
      </w:r>
      <w:r>
        <w:rPr>
          <w:b/>
          <w:color w:val="808080"/>
        </w:rPr>
        <w:t>[</w:t>
      </w:r>
      <w:r>
        <w:rPr/>
        <w:t>ihr</w:t>
      </w:r>
      <w:r>
        <w:rPr>
          <w:b/>
          <w:color w:val="808080"/>
        </w:rPr>
        <w:t>]</w:t>
      </w:r>
      <w:r>
        <w:rPr/>
        <w:t xml:space="preserve"> Verderben </w:t>
      </w:r>
      <w:r>
        <w:rPr>
          <w:color w:val="808080"/>
        </w:rPr>
        <w:t>(Böses, sie sind verdorben/böse</w:t>
      </w:r>
      <w:r>
        <w:rPr/>
        <w:t xml:space="preserve"> </w:t>
      </w:r>
      <w:r>
        <w:rPr>
          <w:rStyle w:val="Funotenanker"/>
        </w:rPr>
        <w:footnoteReference w:customMarkFollows="1" w:id="506"/>
        <w:t>r</w:t>
      </w:r>
      <w:r>
        <w:rPr/>
        <w:t xml:space="preserve"> </w:t>
      </w:r>
      <w:r>
        <w:rPr>
          <w:color w:val="808080"/>
        </w:rPr>
        <w:t>)</w:t>
      </w:r>
      <w:r>
        <w:rPr/>
        <w:t>.</w:t>
        <w:br/>
      </w:r>
      <w:r>
        <w:rPr>
          <w:b/>
          <w:color w:val="808080"/>
        </w:rPr>
        <w:t>[</w:t>
      </w:r>
      <w:r>
        <w:rPr/>
        <w:t>Ihr</w:t>
      </w:r>
      <w:r>
        <w:rPr>
          <w:b/>
          <w:color w:val="808080"/>
        </w:rPr>
        <w:t>]</w:t>
      </w:r>
      <w:r>
        <w:rPr/>
        <w:t xml:space="preserve"> </w:t>
      </w:r>
      <w:r>
        <w:rPr>
          <w:color w:val="808080"/>
        </w:rPr>
        <w:t>(ein)</w:t>
      </w:r>
      <w:r>
        <w:rPr/>
        <w:t xml:space="preserve"> offenes Grab </w:t>
      </w:r>
      <w:r>
        <w:rPr>
          <w:color w:val="808080"/>
        </w:rPr>
        <w:t>(Tod)</w:t>
      </w:r>
      <w:r>
        <w:rPr/>
        <w:t xml:space="preserve"> </w:t>
      </w:r>
      <w:r>
        <w:rPr>
          <w:rStyle w:val="Funotenanker"/>
        </w:rPr>
        <w:footnoteReference w:customMarkFollows="1" w:id="507"/>
        <w:t>s</w:t>
      </w:r>
      <w:r>
        <w:rPr/>
        <w:t xml:space="preserve"> </w:t>
      </w:r>
      <w:r>
        <w:rPr>
          <w:b/>
          <w:color w:val="808080"/>
        </w:rPr>
        <w:t>[</w:t>
      </w:r>
      <w:r>
        <w:rPr/>
        <w:t xml:space="preserve">sei </w:t>
      </w:r>
      <w:r>
        <w:rPr>
          <w:color w:val="808080"/>
        </w:rPr>
        <w:t>(ist)</w:t>
      </w:r>
      <w:r>
        <w:rPr>
          <w:b/>
          <w:color w:val="808080"/>
        </w:rPr>
        <w:t>]</w:t>
      </w:r>
      <w:r>
        <w:rPr/>
        <w:t xml:space="preserve"> ihre Kehle, </w:t>
      </w:r>
      <w:r>
        <w:rPr>
          <w:b/>
          <w:color w:val="808080"/>
        </w:rPr>
        <w:t>[</w:t>
      </w:r>
      <w:r>
        <w:rPr/>
        <w:t>Weil</w:t>
      </w:r>
      <w:r>
        <w:rPr>
          <w:b/>
          <w:color w:val="808080"/>
        </w:rPr>
        <w:t>]</w:t>
      </w:r>
      <w:r>
        <w:rPr/>
        <w:t xml:space="preserve"> sie ihre Zunge glätten</w:t>
      </w:r>
      <w:r>
        <w:rPr>
          <w:rStyle w:val="Funotenanker"/>
        </w:rPr>
        <w:footnoteReference w:customMarkFollows="1" w:id="508"/>
        <w:t>t</w:t>
      </w:r>
      <w:r>
        <w:rPr/>
        <w:t xml:space="preserve"> </w:t>
      </w:r>
      <w:r>
        <w:rPr>
          <w:color w:val="808080"/>
        </w:rPr>
        <w:t>(Mit ihrer Zunge sind sie heuchlerisch, sie sind Heuchler)</w:t>
      </w:r>
      <w:r>
        <w:rPr/>
        <w:t>.</w:t>
        <w:br/>
        <w:t xml:space="preserve">{{field-off:bible}} </w:t>
        <w:br/>
        <w:t>[[@BibleTOBIBLE:Ps 5:11]]</w:t>
      </w:r>
      <w:r>
        <w:rPr>
          <w:b/>
        </w:rPr>
        <w:t>11</w:t>
      </w:r>
      <w:r>
        <w:rPr/>
        <w:t xml:space="preserve"> {{field-on:bible}} </w:t>
        <w:br/>
        <w:t xml:space="preserve">Lass sie büßen </w:t>
      </w:r>
      <w:r>
        <w:rPr>
          <w:color w:val="808080"/>
        </w:rPr>
        <w:t>(bestrafe sie)</w:t>
      </w:r>
      <w:r>
        <w:rPr/>
        <w:t xml:space="preserve">, Gott! Lass sie untergehen </w:t>
      </w:r>
      <w:r>
        <w:rPr>
          <w:color w:val="808080"/>
        </w:rPr>
        <w:t>(sie sollen untergehen)</w:t>
      </w:r>
      <w:r>
        <w:rPr/>
        <w:t xml:space="preserve"> wegen ihrer Pläne </w:t>
      </w:r>
      <w:r>
        <w:rPr>
          <w:color w:val="808080"/>
        </w:rPr>
        <w:t>(Ränke)</w:t>
      </w:r>
      <w:r>
        <w:rPr/>
        <w:t xml:space="preserve">! Wegen der Menge ihrer Sündenschuld </w:t>
      </w:r>
      <w:r>
        <w:rPr>
          <w:color w:val="808080"/>
        </w:rPr>
        <w:t>(Sünden; wegen ihren vielen/großen 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w:t>
      </w:r>
      <w:r>
        <w:rPr>
          <w:rStyle w:val="Funotenanker"/>
        </w:rPr>
        <w:footnoteReference w:customMarkFollows="1" w:id="509"/>
        <w:t>u</w:t>
      </w:r>
      <w:r>
        <w:rPr/>
        <w:t xml:space="preserve"> Es werden </w:t>
      </w:r>
      <w:r>
        <w:rPr>
          <w:color w:val="808080"/>
        </w:rPr>
        <w:t>(sollen)</w:t>
      </w:r>
      <w:r>
        <w:rPr/>
        <w:t xml:space="preserve"> jauchzen über dich, die deinen Namen lieben </w:t>
      </w:r>
      <w:r>
        <w:rPr>
          <w:color w:val="808080"/>
        </w:rPr>
        <w:t>(dich lieben, dich verehren)</w:t>
      </w:r>
      <w:r>
        <w:rPr/>
        <w:t>!</w:t>
      </w:r>
      <w:r>
        <w:rPr>
          <w:rStyle w:val="Funotenanker"/>
        </w:rPr>
        <w:footnoteReference w:customMarkFollows="1" w:id="510"/>
        <w:t>v</w:t>
      </w:r>
      <w:r>
        <w:rPr/>
        <w:t xml:space="preserve"> </w:t>
        <w:br/>
        <w:t xml:space="preserve">{{field-off:bible}} </w:t>
        <w:br/>
        <w:t>[[@BibleTOBIBLE:Ps 5:13]]</w:t>
      </w:r>
      <w:r>
        <w:rPr>
          <w:b/>
        </w:rPr>
        <w:t>13</w:t>
      </w:r>
      <w:r>
        <w:rPr/>
        <w:t xml:space="preserve"> {{field-on:bible}} </w:t>
        <w:br/>
        <w:t xml:space="preserve">Denn du wirst segnen </w:t>
      </w:r>
      <w:r>
        <w:rPr>
          <w:color w:val="808080"/>
        </w:rPr>
        <w:t>(bist es, der segnen wird)</w:t>
      </w:r>
      <w:r>
        <w:rPr/>
        <w:t>,</w:t>
      </w:r>
      <w:r>
        <w:rPr>
          <w:rStyle w:val="Funotenanker"/>
        </w:rPr>
        <w:footnoteReference w:customMarkFollows="1" w:id="511"/>
        <w:t>w</w:t>
      </w:r>
      <w:r>
        <w:rPr/>
        <w:t xml:space="preserve"> den Gerechten </w:t>
      </w:r>
      <w:r>
        <w:rPr>
          <w:color w:val="808080"/>
        </w:rPr>
        <w:t>(die Gerechten)</w:t>
      </w:r>
      <w:r>
        <w:rPr/>
        <w:t xml:space="preserve"> </w:t>
      </w:r>
      <w:r>
        <w:rPr>
          <w:rStyle w:val="Funotenanker"/>
        </w:rPr>
        <w:footnoteReference w:customMarkFollows="1" w:id="512"/>
        <w:t>x</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sie mit Huld krönen wird </w:t>
      </w:r>
      <w:r>
        <w:rPr>
          <w:color w:val="808080"/>
        </w:rPr>
        <w:t>(begünstigen wird)</w:t>
      </w:r>
      <w:r>
        <w:rPr/>
        <w:t>.</w:t>
      </w:r>
      <w:r>
        <w:rPr>
          <w:rStyle w:val="Funotenanker"/>
        </w:rPr>
        <w:footnoteReference w:customMarkFollows="1" w:id="513"/>
        <w:t>y</w:t>
      </w:r>
      <w:r>
        <w:rPr/>
        <w:t xml:space="preserve"> </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514"/>
        <w:t>Status</w:t>
      </w:r>
      <w:r>
        <w:rPr/>
        <w:t xml:space="preserve"> ''Für den Chorleiter </w:t>
      </w:r>
      <w:r>
        <w:rPr>
          <w:color w:val="808080"/>
        </w:rPr>
        <w:t>(Dirigenten, Singenden, Musizierenden)</w:t>
      </w:r>
      <w:r>
        <w:rPr/>
        <w:t xml:space="preserve">''. ''Zum Saitenspiel </w:t>
      </w:r>
      <w:r>
        <w:rPr>
          <w:color w:val="808080"/>
        </w:rPr>
        <w:t>(auf Saiteninstrumenten)</w:t>
      </w:r>
      <w:r>
        <w:rPr/>
        <w:t xml:space="preserve"> </w:t>
      </w:r>
      <w:r>
        <w:rPr>
          <w:b/>
          <w:color w:val="808080"/>
        </w:rPr>
        <w:t>[</w:t>
      </w:r>
      <w:r>
        <w:rPr/>
        <w:t>vorzutragen</w:t>
      </w:r>
      <w:r>
        <w:rPr>
          <w:b/>
          <w:color w:val="808080"/>
        </w:rPr>
        <w:t>]</w:t>
      </w:r>
      <w:r>
        <w:rPr/>
        <w:t xml:space="preserve"> von Basstimmen''</w:t>
      </w:r>
      <w:r>
        <w:rPr>
          <w:rStyle w:val="Funotenanker"/>
        </w:rPr>
        <w:footnoteReference w:customMarkFollows="1" w:id="515"/>
        <w:t>a</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w:t>
        <w:br/>
        <w:t xml:space="preserve">{{field-off:bible}} </w:t>
        <w:br/>
        <w:t>[[@BibleTOBIBLE:Ps 6:2]]</w:t>
      </w:r>
      <w:r>
        <w:rPr>
          <w:b/>
        </w:rPr>
        <w:t>2</w:t>
      </w:r>
      <w:r>
        <w:rPr/>
        <w:t xml:space="preserve"> {{field-on:bible}} </w:t>
        <w:br/>
      </w:r>
      <w:r>
        <w:rPr>
          <w:smallCaps/>
          <w:color w:val="FF0000"/>
        </w:rPr>
        <w:t>JHWH</w:t>
      </w:r>
      <w:r>
        <w:rPr/>
        <w:t>, nicht in deinem Zorn</w:t>
      </w:r>
      <w:r>
        <w:rPr>
          <w:rStyle w:val="Funotenanker"/>
        </w:rPr>
        <w:footnoteReference w:customMarkFollows="1" w:id="516"/>
        <w:t>b</w:t>
      </w:r>
      <w:r>
        <w:rPr/>
        <w:t xml:space="preserve"> strafe </w:t>
      </w:r>
      <w:r>
        <w:rPr>
          <w:color w:val="808080"/>
        </w:rPr>
        <w:t>(züchtige)</w:t>
      </w:r>
      <w:r>
        <w:rPr/>
        <w:t xml:space="preserve"> michUnd nicht in deinem Grimm züchtige mich.</w:t>
        <w:br/>
        <w:t xml:space="preserve">{{field-off:bible}} </w:t>
        <w:br/>
        <w:t>[[@BibleTOBIBLE:Ps 6:3]]</w:t>
      </w:r>
      <w:r>
        <w:rPr>
          <w:b/>
        </w:rPr>
        <w:t>3</w:t>
      </w:r>
      <w:r>
        <w:rPr/>
        <w:t xml:space="preserve"> {{field-on:bible}} </w:t>
        <w:br/>
        <w:t xml:space="preserv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517"/>
        <w:t>c</w:t>
      </w:r>
      <w:r>
        <w:rPr/>
        <w:t>.</w:t>
      </w:r>
      <w:r>
        <w:rPr>
          <w:position w:val="8"/>
          <w:sz w:val="19"/>
        </w:rPr>
        <w:t>[[ ℘ &gt;&gt; BibleTOBIBLE:Ps 25:16]][[ ℘ &gt;&gt; BibleTOBIBLE:Ps 31:10]]</w:t>
      </w:r>
      <w:r>
        <w:rPr/>
        <w:t xml:space="preserve">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518"/>
        <w:t>d</w:t>
      </w:r>
      <w:r>
        <w:rPr/>
        <w:t xml:space="preserve"> meine Knochen </w:t>
      </w:r>
      <w:r>
        <w:rPr>
          <w:color w:val="808080"/>
        </w:rPr>
        <w:t>(ich)</w:t>
      </w:r>
      <w:r>
        <w:rPr/>
        <w:t xml:space="preserve"> </w:t>
        <w:br/>
        <w:t xml:space="preserve">{{field-off:bible}} </w:t>
        <w:br/>
        <w:t>[[@BibleTOBIBLE:Ps 6:4]]</w:t>
      </w:r>
      <w:r>
        <w:rPr>
          <w:b/>
        </w:rPr>
        <w:t>4</w:t>
      </w:r>
      <w:r>
        <w:rPr/>
        <w:t xml:space="preserve"> {{field-on:bible}} </w:t>
        <w:br/>
        <w:t xml:space="preserve">Und meine Seele </w:t>
      </w:r>
      <w:r>
        <w:rPr>
          <w:color w:val="808080"/>
        </w:rPr>
        <w:t>(mein Leben)</w:t>
      </w:r>
      <w:r>
        <w:rPr/>
        <w:t xml:space="preserve"> ist sehr erschrocken </w:t>
      </w:r>
      <w:r>
        <w:rPr>
          <w:color w:val="808080"/>
        </w:rPr>
        <w:t>(vergeht sehr)</w:t>
      </w:r>
      <w:r>
        <w:rPr/>
        <w:t xml:space="preserve">. </w:t>
        <w:br/>
        <w:t xml:space="preserve">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519"/>
        <w:t>e</w:t>
      </w:r>
      <w:r>
        <w:rPr/>
        <w:t xml:space="preserve"> </w:t>
      </w:r>
      <w:r>
        <w:rPr>
          <w:position w:val="8"/>
          <w:sz w:val="19"/>
        </w:rPr>
        <w:t>[[ ℘ &gt;&gt; BibleTOBIBLE:Ps 13:2]][[ ℘ &gt;&gt; BibleTOBIBLE:Ps 90:13]][[ ℘ &gt;&gt; BibleTOBIBLE:Is 57:16]]</w:t>
      </w:r>
      <w:r>
        <w:rPr/>
        <w:t xml:space="preserve"> </w:t>
        <w:br/>
        <w:br/>
        <w:t xml:space="preserve">{{field-off:bible}} </w:t>
        <w:br/>
        <w:t>[[@BibleTOBIBLE:Ps 6:5]]</w:t>
      </w:r>
      <w:r>
        <w:rPr>
          <w:b/>
        </w:rPr>
        <w:t>5</w:t>
      </w:r>
      <w:r>
        <w:rPr/>
        <w:t xml:space="preserve"> {{field-on:bible}} </w:t>
        <w:br/>
        <w:t xml:space="preserve">Kehre um, </w:t>
      </w:r>
      <w:r>
        <w:rPr>
          <w:smallCaps/>
          <w:color w:val="FF0000"/>
        </w:rPr>
        <w:t>JHWH</w:t>
      </w:r>
      <w:r>
        <w:rPr/>
        <w:t>!</w:t>
      </w:r>
      <w:r>
        <w:rPr>
          <w:rStyle w:val="Funotenanker"/>
        </w:rPr>
        <w:footnoteReference w:customMarkFollows="1" w:id="520"/>
        <w:t>f</w:t>
      </w:r>
      <w:r>
        <w:rPr/>
        <w:t xml:space="preserve"> Rette</w:t>
      </w:r>
      <w:r>
        <w:rPr>
          <w:rStyle w:val="Funotenanker"/>
        </w:rPr>
        <w:footnoteReference w:customMarkFollows="1" w:id="521"/>
        <w:t>g</w:t>
      </w:r>
      <w:r>
        <w:rPr/>
        <w:t xml:space="preserve"> meine Seele </w:t>
      </w:r>
      <w:r>
        <w:rPr>
          <w:color w:val="808080"/>
        </w:rPr>
        <w:t>(mich)</w:t>
      </w:r>
      <w:r>
        <w:rPr/>
        <w:t xml:space="preserve"> </w:t>
      </w:r>
      <w:r>
        <w:rPr>
          <w:rStyle w:val="Funotenanker"/>
        </w:rPr>
        <w:footnoteReference w:customMarkFollows="1" w:id="522"/>
        <w:t>h</w:t>
      </w:r>
      <w:r>
        <w:rPr/>
        <w:t>!</w:t>
      </w:r>
      <w:r>
        <w:rPr>
          <w:position w:val="8"/>
          <w:sz w:val="19"/>
        </w:rPr>
        <w:t>[[ ℘ &gt;&gt; BibleTOBIBLE:Ps 80:15]][[ ℘ &gt;&gt; BibleTOBIBLE:Ps 86:13]][[ ℘ &gt;&gt; BibleTOBIBLE:Ps 90:13]][[ ℘ &gt;&gt; BibleTOBIBLE:Ps 116:3]][[ ℘ &gt;&gt; BibleTOBIBLE:Is 38:17]][[ ℘ &gt;&gt; BibleTOBIBLE:Mal 3:7]]</w:t>
      </w:r>
      <w:r>
        <w:rPr/>
        <w:t xml:space="preserve">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523"/>
        <w:t>i</w:t>
      </w:r>
      <w:r>
        <w:rPr/>
        <w:t>!</w:t>
        <w:br/>
        <w:t xml:space="preserve">{{field-off:bible}} </w:t>
        <w:br/>
        <w:t>[[@BibleTOBIBLE:Ps 6:6]]</w:t>
      </w:r>
      <w:r>
        <w:rPr>
          <w:b/>
        </w:rPr>
        <w:t>6</w:t>
      </w:r>
      <w:r>
        <w:rPr/>
        <w:t xml:space="preserve"> {{field-on:bible}} </w:t>
        <w:br/>
        <w:t xml:space="preserv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524"/>
        <w:t>j</w:t>
      </w:r>
      <w:r>
        <w:rPr/>
        <w:t>Und wer wird dich preisen im Scheol?</w:t>
      </w:r>
      <w:r>
        <w:rPr>
          <w:rStyle w:val="Funotenanker"/>
        </w:rPr>
        <w:footnoteReference w:customMarkFollows="1" w:id="525"/>
        <w:t>k</w:t>
      </w:r>
      <w:r>
        <w:rPr/>
        <w:t xml:space="preserve"> </w:t>
        <w:br/>
        <w:br/>
        <w:t xml:space="preserve">{{field-off:bible}} </w:t>
        <w:br/>
        <w:t>[[@BibleTOBIBLE:Ps 6:7]]</w:t>
      </w:r>
      <w:r>
        <w:rPr>
          <w:b/>
        </w:rPr>
        <w:t>7</w:t>
      </w:r>
      <w:r>
        <w:rPr/>
        <w:t xml:space="preserve"> {{field-on:bible}} </w:t>
        <w:br/>
        <w:t xml:space="preserve">Ich bin ermüdet durch mein Schluchzen </w:t>
      </w:r>
      <w:r>
        <w:rPr>
          <w:color w:val="808080"/>
        </w:rPr>
        <w:t>(Seufzen)</w:t>
      </w:r>
      <w:r>
        <w:rPr/>
        <w:t>,</w:t>
      </w:r>
      <w:r>
        <w:rPr>
          <w:rStyle w:val="Funotenanker"/>
        </w:rPr>
        <w:footnoteReference w:customMarkFollows="1" w:id="526"/>
        <w:t>l</w:t>
      </w:r>
      <w:r>
        <w:rPr/>
        <w:t xml:space="preserve"> </w:t>
      </w:r>
      <w:r>
        <w:rPr>
          <w:position w:val="8"/>
          <w:sz w:val="19"/>
        </w:rPr>
        <w:t>[[ ℘ &gt;&gt; BibleTOBIBLE:Je 45:3]]</w:t>
      </w:r>
      <w:r>
        <w:rPr/>
        <w:t xml:space="preserve">ich überflute </w:t>
      </w:r>
      <w:r>
        <w:rPr>
          <w:color w:val="808080"/>
        </w:rPr>
        <w:t>(lasse schwimmen)</w:t>
      </w:r>
      <w:r>
        <w:rPr/>
        <w:t xml:space="preserve"> </w:t>
      </w:r>
      <w:r>
        <w:rPr>
          <w:rStyle w:val="Funotenanker"/>
        </w:rPr>
        <w:footnoteReference w:customMarkFollows="1" w:id="527"/>
        <w:t>m</w:t>
      </w:r>
      <w:r>
        <w:rPr/>
        <w:t xml:space="preserve"> jede Nacht</w:t>
      </w:r>
      <w:r>
        <w:rPr>
          <w:rStyle w:val="Funotenanker"/>
        </w:rPr>
        <w:footnoteReference w:customMarkFollows="1" w:id="528"/>
        <w:t>n</w:t>
      </w:r>
      <w:r>
        <w:rPr/>
        <w:t xml:space="preserve"> </w:t>
      </w:r>
      <w:r>
        <w:rPr>
          <w:b/>
          <w:color w:val="808080"/>
        </w:rPr>
        <w:t>[</w:t>
      </w:r>
      <w:r>
        <w:rPr/>
        <w:t>mit meinen Tränen</w:t>
      </w:r>
      <w:r>
        <w:rPr>
          <w:b/>
          <w:color w:val="808080"/>
        </w:rPr>
        <w:t>]</w:t>
      </w:r>
      <w:r>
        <w:rPr/>
        <w:t xml:space="preserve"> </w:t>
      </w:r>
      <w:r>
        <w:rPr>
          <w:rStyle w:val="Funotenanker"/>
        </w:rPr>
        <w:footnoteReference w:customMarkFollows="1" w:id="529"/>
        <w:t>o</w:t>
      </w:r>
      <w:r>
        <w:rPr/>
        <w:t xml:space="preserve"> mein Bett,mit meinen Tränen weiche ich </w:t>
      </w:r>
      <w:r>
        <w:rPr>
          <w:b/>
          <w:color w:val="808080"/>
        </w:rPr>
        <w:t>[</w:t>
      </w:r>
      <w:r>
        <w:rPr/>
        <w:t>jede Nacht</w:t>
      </w:r>
      <w:r>
        <w:rPr>
          <w:b/>
          <w:color w:val="808080"/>
        </w:rPr>
        <w:t>]</w:t>
      </w:r>
      <w:r>
        <w:rPr/>
        <w:t xml:space="preserve"> </w:t>
      </w:r>
      <w:r>
        <w:rPr>
          <w:rStyle w:val="Funotenanker"/>
        </w:rPr>
        <w:footnoteReference w:customMarkFollows="1" w:id="530"/>
        <w:t>p</w:t>
      </w:r>
      <w:r>
        <w:rPr/>
        <w:t xml:space="preserve"> mein Lager auf.</w:t>
        <w:br/>
        <w:t xml:space="preserve">{{field-off:bible}} </w:t>
        <w:br/>
        <w:t>[[@BibleTOBIBLE:Ps 6:8]]</w:t>
      </w:r>
      <w:r>
        <w:rPr>
          <w:b/>
        </w:rPr>
        <w:t>8</w:t>
      </w:r>
      <w:r>
        <w:rPr/>
        <w:t xml:space="preserve"> {{field-on:bible}} </w:t>
        <w:br/>
        <w:t xml:space="preserve">Schwach geworden </w:t>
      </w:r>
      <w:r>
        <w:rPr>
          <w:color w:val="808080"/>
        </w:rPr>
        <w:t>(dunkel geworden, geeitert, angeschwollen, hochmütig?)</w:t>
      </w:r>
      <w:r>
        <w:rPr/>
        <w:t xml:space="preserve"> </w:t>
      </w:r>
      <w:r>
        <w:rPr>
          <w:rStyle w:val="Funotenanker"/>
        </w:rPr>
        <w:footnoteReference w:customMarkFollows="1" w:id="531"/>
        <w:t>q</w:t>
      </w:r>
      <w:r>
        <w:rPr/>
        <w:t xml:space="preserve"> vor Kummer </w:t>
      </w:r>
      <w:r>
        <w:rPr>
          <w:color w:val="808080"/>
        </w:rPr>
        <w:t>(Gram)</w:t>
      </w:r>
      <w:r>
        <w:rPr/>
        <w:t xml:space="preserve"> sind meine Augen,</w:t>
      </w:r>
      <w:r>
        <w:rPr>
          <w:rStyle w:val="Funotenanker"/>
        </w:rPr>
        <w:footnoteReference w:customMarkFollows="1" w:id="532"/>
        <w:t>r</w:t>
      </w:r>
      <w:r>
        <w:rPr/>
        <w:t xml:space="preserve"> </w:t>
      </w:r>
      <w:r>
        <w:rPr>
          <w:position w:val="8"/>
          <w:sz w:val="19"/>
        </w:rPr>
        <w:t>[[ ℘ &gt;&gt; BibleTOBIBLE:Job 17:7]][[ ℘ &gt;&gt; BibleTOBIBLE:Ps 31:10]][[ ℘ &gt;&gt; BibleTOBIBLE:Ps 69:4]][[ ℘ &gt;&gt; BibleTOBIBLE:Ps 88:10]]</w:t>
      </w:r>
      <w:r>
        <w:rPr/>
        <w:t xml:space="preserve">Ich bin gealtert wegen </w:t>
      </w:r>
      <w:r>
        <w:rPr>
          <w:color w:val="808080"/>
        </w:rPr>
        <w:t>(sie sind gealtert wegen)</w:t>
      </w:r>
      <w:r>
        <w:rPr/>
        <w:t xml:space="preserve"> </w:t>
      </w:r>
      <w:r>
        <w:rPr>
          <w:rStyle w:val="Funotenanker"/>
        </w:rPr>
        <w:footnoteReference w:customMarkFollows="1" w:id="533"/>
        <w:t>s</w:t>
      </w:r>
      <w:r>
        <w:rPr/>
        <w:t xml:space="preserve"> all meiner Feinde </w:t>
      </w:r>
      <w:r>
        <w:rPr>
          <w:color w:val="808080"/>
        </w:rPr>
        <w:t>(wegen all meinem Leid/meiner Not)</w:t>
      </w:r>
      <w:r>
        <w:rPr/>
        <w:t>.</w:t>
        <w:br/>
        <w:br/>
        <w:t xml:space="preserve">{{field-off:bible}} </w:t>
        <w:br/>
        <w:t>[[@BibleTOBIBLE:Ps 6:9]]</w:t>
      </w:r>
      <w:r>
        <w:rPr>
          <w:b/>
        </w:rPr>
        <w:t>9</w:t>
      </w:r>
      <w:r>
        <w:rPr/>
        <w:t xml:space="preserve"> {{field-on:bible}} </w:t>
        <w:br/>
        <w:t xml:space="preserve">Weicht von mir, all </w:t>
      </w:r>
      <w:r>
        <w:rPr>
          <w:b/>
          <w:color w:val="808080"/>
        </w:rPr>
        <w:t>[</w:t>
      </w:r>
      <w:r>
        <w:rPr/>
        <w:t>ihr</w:t>
      </w:r>
      <w:r>
        <w:rPr>
          <w:b/>
          <w:color w:val="808080"/>
        </w:rPr>
        <w:t>]</w:t>
      </w:r>
      <w:r>
        <w:rPr/>
        <w:t xml:space="preserve"> Frevler</w:t>
      </w:r>
      <w:r>
        <w:rPr>
          <w:rStyle w:val="Funotenanker"/>
        </w:rPr>
        <w:footnoteReference w:customMarkFollows="1" w:id="534"/>
        <w:t>t</w:t>
      </w:r>
      <w:r>
        <w:rPr/>
        <w:t>!</w:t>
      </w:r>
      <w:r>
        <w:rPr>
          <w:position w:val="8"/>
          <w:sz w:val="19"/>
        </w:rPr>
        <w:t>[[ ℘ &gt;&gt; BibleTOBIBLE:Ps 52:3]][[ ℘ &gt;&gt; BibleTOBIBLE:Ps 119:115]][[ ℘ &gt;&gt; BibleTOBIBLE:Ps 139:19]][[ ℘ &gt;&gt; BibleTOBIBLE:Mt 25:41]][[ ℘ &gt;&gt; BibleTOBIBLE:Lk 13:27]]</w:t>
      </w:r>
      <w:r>
        <w:rPr/>
        <w:t xml:space="preserve"> </w:t>
        <w:br/>
      </w:r>
      <w:r>
        <w:rPr>
          <w:strike/>
          <w:color w:val="808080"/>
        </w:rPr>
        <w:t>{Ja!,}</w:t>
      </w:r>
      <w:r>
        <w:rPr/>
        <w:t xml:space="preserve"> </w:t>
      </w:r>
      <w:r>
        <w:rPr>
          <w:color w:val="808080"/>
        </w:rPr>
        <w:t>(denn)</w:t>
      </w:r>
      <w:r>
        <w:rPr/>
        <w:t xml:space="preserve"> </w:t>
      </w:r>
      <w:r>
        <w:rPr>
          <w:rStyle w:val="Funotenanker"/>
        </w:rPr>
        <w:footnoteReference w:customMarkFollows="1" w:id="535"/>
        <w:t>u</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536"/>
        <w:t>v</w:t>
      </w:r>
      <w:r>
        <w:rPr/>
        <w:t>,</w:t>
      </w:r>
      <w:r>
        <w:rPr>
          <w:position w:val="8"/>
          <w:sz w:val="19"/>
        </w:rPr>
        <w:t>[[ ℘ &gt;&gt; BibleTOBIBLE:Ps 31:23]][[ ℘ &gt;&gt; BibleTOBIBLE:Ps 56:9]]</w:t>
      </w:r>
      <w:r>
        <w:rPr/>
        <w:t xml:space="preserve"> </w:t>
        <w:br/>
        <w:t xml:space="preserve">{{field-off:bible}} </w:t>
        <w:br/>
        <w:t>[[@BibleTOBIBLE:Ps 6:10]]</w:t>
      </w:r>
      <w:r>
        <w:rPr>
          <w:b/>
        </w:rPr>
        <w:t>10</w:t>
      </w:r>
      <w:r>
        <w:rPr/>
        <w:t xml:space="preserve"> {{field-on:bible}} </w:t>
        <w:br/>
        <w:t xml:space="preserve">Gehört </w:t>
      </w:r>
      <w:r>
        <w:rPr>
          <w:color w:val="808080"/>
        </w:rPr>
        <w:t>(erhört)</w:t>
      </w:r>
      <w:r>
        <w:rPr/>
        <w:t xml:space="preserve"> hat </w:t>
      </w:r>
      <w:r>
        <w:rPr>
          <w:smallCaps/>
          <w:color w:val="FF0000"/>
        </w:rPr>
        <w:t>JHWH</w:t>
      </w:r>
      <w:r>
        <w:rPr/>
        <w:t xml:space="preserve"> mein Bitten;</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537"/>
        <w:t>w</w:t>
      </w:r>
      <w:r>
        <w:rPr/>
        <w:t>:</w:t>
        <w:br/>
        <w:t xml:space="preserve">{{field-off:bible}} </w:t>
        <w:br/>
        <w:t>[[@BibleTOBIBLE:Ps 6:11]]</w:t>
      </w:r>
      <w:r>
        <w:rPr>
          <w:b/>
        </w:rPr>
        <w:t>11</w:t>
      </w:r>
      <w:r>
        <w:rPr/>
        <w:t xml:space="preserve"> {{field-on:bible}} </w:t>
        <w:br/>
        <w:t xml:space="preserv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538"/>
        <w:t>x</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r>
      <w:r>
        <w:rPr>
          <w:rStyle w:val="Funotenanker"/>
        </w:rPr>
        <w:footnoteReference w:customMarkFollows="1" w:id="539"/>
        <w:t>Status</w:t>
      </w:r>
      <w:r>
        <w:rPr/>
        <w:t xml:space="preserve"> Ein ''Shiggajon''</w:t>
      </w:r>
      <w:r>
        <w:rPr>
          <w:rStyle w:val="Funotenanker"/>
        </w:rPr>
        <w:footnoteReference w:customMarkFollows="1" w:id="540"/>
        <w:t>a</w:t>
      </w:r>
      <w:r>
        <w:rPr/>
        <w:t xml:space="preserve"> von </w:t>
      </w:r>
      <w:r>
        <w:rPr>
          <w:color w:val="808080"/>
        </w:rPr>
        <w:t>(für, über, nach Art von)</w:t>
      </w:r>
      <w:r>
        <w:rPr/>
        <w:t xml:space="preserve"> David, das er </w:t>
      </w:r>
      <w:r>
        <w:rPr>
          <w:smallCaps/>
          <w:color w:val="FF0000"/>
        </w:rPr>
        <w:t>JHWH</w:t>
      </w:r>
      <w:r>
        <w:rPr/>
        <w:t xml:space="preserve"> sang wegen der Reden Kuschs, des Benjaminiten.</w:t>
      </w:r>
      <w:r>
        <w:rPr>
          <w:rStyle w:val="Funotenanker"/>
        </w:rPr>
        <w:footnoteReference w:customMarkFollows="1" w:id="541"/>
        <w:t>b</w:t>
      </w:r>
      <w:r>
        <w:rPr/>
        <w:t xml:space="preserve"> </w:t>
        <w:br/>
        <w:br/>
        <w:t xml:space="preserve">{{field-off:bible}} </w:t>
        <w:br/>
        <w:t>[[@BibleTOBIBLE:Ps 7:2]]</w:t>
      </w:r>
      <w:r>
        <w:rPr>
          <w:b/>
        </w:rPr>
        <w:t>2</w:t>
      </w:r>
      <w:r>
        <w:rPr/>
        <w:t xml:space="preserve"> {{field-on:bible}} </w:t>
        <w:br/>
      </w:r>
      <w:r>
        <w:rPr>
          <w:smallCaps/>
          <w:color w:val="FF0000"/>
        </w:rPr>
        <w:t>JHWH</w:t>
      </w:r>
      <w:r>
        <w:rPr/>
        <w:t xml:space="preserve">, mein Gott, ich suche Schutz bei dir </w:t>
      </w:r>
      <w:r>
        <w:rPr>
          <w:color w:val="808080"/>
        </w:rPr>
        <w:t>(auf dich setze ich mein Vertrauen)</w:t>
      </w:r>
      <w:r>
        <w:rPr/>
        <w:t xml:space="preserve">: Hilf mir vor all meinen Verfolgern und rette mich, </w:t>
      </w:r>
      <w:r>
        <w:rPr>
          <w:position w:val="8"/>
          <w:sz w:val="19"/>
        </w:rPr>
        <w:t>[[ ℘ &gt;&gt; BibleTOBIBLE:Ps 31:2]]</w:t>
      </w:r>
      <w:r>
        <w:rPr/>
        <w:t xml:space="preserve"> </w:t>
        <w:br/>
        <w:t xml:space="preserve">{{field-off:bible}} </w:t>
        <w:br/>
        <w:t>[[@BibleTOBIBLE:Ps 7:3]]</w:t>
      </w:r>
      <w:r>
        <w:rPr>
          <w:b/>
        </w:rPr>
        <w:t>3</w:t>
      </w:r>
      <w:r>
        <w:rPr/>
        <w:t xml:space="preserve"> {{field-on:bible}} </w:t>
        <w:br/>
        <w:t>Damit er</w:t>
      </w:r>
      <w:r>
        <w:rPr>
          <w:rStyle w:val="Funotenanker"/>
        </w:rPr>
        <w:footnoteReference w:customMarkFollows="1" w:id="542"/>
        <w:t>c</w:t>
      </w:r>
      <w:r>
        <w:rPr/>
        <w:t xml:space="preserve"> nicht meine Seele </w:t>
      </w:r>
      <w:r>
        <w:rPr>
          <w:color w:val="808080"/>
        </w:rPr>
        <w:t>(mich)</w:t>
      </w:r>
      <w:r>
        <w:rPr/>
        <w:t xml:space="preserve"> </w:t>
      </w:r>
      <w:r>
        <w:rPr>
          <w:rStyle w:val="Funotenanker"/>
        </w:rPr>
        <w:footnoteReference w:customMarkFollows="1" w:id="543"/>
        <w:t>d</w:t>
      </w:r>
      <w:r>
        <w:rPr/>
        <w:t xml:space="preserve"> zerreißt wie ein Löwe,</w:t>
      </w:r>
      <w:r>
        <w:rPr>
          <w:b/>
          <w:color w:val="808080"/>
        </w:rPr>
        <w:t>[</w:t>
      </w:r>
      <w:r>
        <w:rPr/>
        <w:t xml:space="preserve">Sie </w:t>
      </w:r>
      <w:r>
        <w:rPr>
          <w:color w:val="808080"/>
        </w:rPr>
        <w:t>(mich)</w:t>
      </w:r>
      <w:r>
        <w:rPr>
          <w:b/>
          <w:color w:val="808080"/>
        </w:rPr>
        <w:t>]</w:t>
      </w:r>
      <w:r>
        <w:rPr/>
        <w:t xml:space="preserve"> zerfleischt, ohne dass jemand </w:t>
      </w:r>
      <w:r>
        <w:rPr>
          <w:b/>
          <w:color w:val="808080"/>
        </w:rPr>
        <w:t>[</w:t>
      </w:r>
      <w:r>
        <w:rPr/>
        <w:t xml:space="preserve">sie </w:t>
      </w:r>
      <w:r>
        <w:rPr>
          <w:color w:val="808080"/>
        </w:rPr>
        <w:t>(mich)</w:t>
      </w:r>
      <w:r>
        <w:rPr>
          <w:b/>
          <w:color w:val="808080"/>
        </w:rPr>
        <w:t>]</w:t>
      </w:r>
      <w:r>
        <w:rPr/>
        <w:t xml:space="preserve"> rettet!</w:t>
      </w:r>
      <w:r>
        <w:rPr>
          <w:rStyle w:val="Funotenanker"/>
        </w:rPr>
        <w:footnoteReference w:customMarkFollows="1" w:id="544"/>
        <w:t>e</w:t>
      </w:r>
      <w:r>
        <w:rPr/>
        <w:t xml:space="preserve"> </w:t>
      </w:r>
      <w:r>
        <w:rPr>
          <w:position w:val="8"/>
          <w:sz w:val="19"/>
        </w:rPr>
        <w:t>[[ ℘ &gt;&gt; BibleTOBIBLE:Ps 10:9]][[ ℘ &gt;&gt; BibleTOBIBLE:Ps 17:12]][[ ℘ &gt;&gt; BibleTOBIBLE:Ps 22:13]]</w:t>
      </w:r>
      <w:r>
        <w:rPr/>
        <w:t xml:space="preserve"> </w:t>
        <w:br/>
        <w:br/>
        <w:t xml:space="preserve">{{field-off:bible}} </w:t>
        <w:br/>
        <w:t>[[@BibleTOBIBLE:Ps 7:4]]</w:t>
      </w:r>
      <w:r>
        <w:rPr>
          <w:b/>
        </w:rPr>
        <w:t>4</w:t>
      </w:r>
      <w:r>
        <w:rPr/>
        <w:t xml:space="preserve"> {{field-on:bible}} </w:t>
        <w:br/>
      </w:r>
      <w:r>
        <w:rPr>
          <w:smallCaps/>
          <w:color w:val="FF0000"/>
        </w:rPr>
        <w:t>JHWH</w:t>
      </w:r>
      <w:r>
        <w:rPr/>
        <w:t>, mein Gott, wenn ich dies getan habe,</w:t>
      </w:r>
      <w:r>
        <w:rPr>
          <w:rStyle w:val="Funotenanker"/>
        </w:rPr>
        <w:footnoteReference w:customMarkFollows="1" w:id="545"/>
        <w:t>f</w:t>
      </w:r>
      <w:r>
        <w:rPr/>
        <w:t xml:space="preserve"> wenn Unrecht an meinen Händen </w:t>
      </w:r>
      <w:r>
        <w:rPr>
          <w:b/>
          <w:color w:val="808080"/>
        </w:rPr>
        <w:t>[</w:t>
      </w:r>
      <w:r>
        <w:rPr/>
        <w:t>ist</w:t>
      </w:r>
      <w:r>
        <w:rPr>
          <w:b/>
          <w:color w:val="808080"/>
        </w:rPr>
        <w:t>]</w:t>
      </w:r>
      <w:r>
        <w:rPr/>
        <w:t xml:space="preserve"> </w:t>
      </w:r>
      <w:r>
        <w:rPr>
          <w:rStyle w:val="Funotenanker"/>
        </w:rPr>
        <w:footnoteReference w:customMarkFollows="1" w:id="546"/>
        <w:t>g</w:t>
      </w:r>
      <w:r>
        <w:rPr/>
        <w:t xml:space="preserve"> </w:t>
      </w:r>
      <w:r>
        <w:rPr>
          <w:position w:val="8"/>
          <w:sz w:val="19"/>
        </w:rPr>
        <w:t>[[ ℘ &gt;&gt; BibleTOBIBLE:Job 31:7]][[ ℘ &gt;&gt; BibleTOBIBLE:Ps 26:10]]</w:t>
      </w:r>
      <w:r>
        <w:rPr/>
        <w:t xml:space="preserve"> </w:t>
        <w:br/>
        <w:t xml:space="preserve">{{field-off:bible}} </w:t>
        <w:br/>
        <w:t>[[@BibleTOBIBLE:Ps 7:5]]</w:t>
      </w:r>
      <w:r>
        <w:rPr>
          <w:b/>
        </w:rPr>
        <w:t>5</w:t>
      </w:r>
      <w:r>
        <w:rPr/>
        <w:t xml:space="preserve"> {{field-on:bible}} </w:t>
        <w:br/>
        <w:t>Wenn ich Böses tat dem, der</w:t>
      </w:r>
      <w:r>
        <w:rPr>
          <w:rStyle w:val="Funotenanker"/>
        </w:rPr>
        <w:footnoteReference w:customMarkFollows="1" w:id="547"/>
        <w:t>h</w:t>
      </w:r>
      <w:r>
        <w:rPr/>
        <w:t xml:space="preserve"> es mir </w:t>
      </w:r>
      <w:r>
        <w:rPr>
          <w:b/>
          <w:color w:val="808080"/>
        </w:rPr>
        <w:t>[</w:t>
      </w:r>
      <w:r>
        <w:rPr/>
        <w:t>nun</w:t>
      </w:r>
      <w:r>
        <w:rPr>
          <w:b/>
          <w:color w:val="808080"/>
        </w:rPr>
        <w:t>]</w:t>
      </w:r>
      <w:r>
        <w:rPr/>
        <w:t xml:space="preserve"> vergilt </w:t>
      </w:r>
      <w:r>
        <w:rPr>
          <w:color w:val="808080"/>
        </w:rPr>
        <w:t>(meinem Verbündeten?)</w:t>
      </w:r>
      <w:r>
        <w:rPr/>
        <w:t xml:space="preserve">,und </w:t>
      </w:r>
      <w:r>
        <w:rPr>
          <w:b/>
          <w:color w:val="808080"/>
        </w:rPr>
        <w:t>[</w:t>
      </w:r>
      <w:r>
        <w:rPr/>
        <w:t>wenn</w:t>
      </w:r>
      <w:r>
        <w:rPr>
          <w:b/>
          <w:color w:val="808080"/>
        </w:rPr>
        <w:t>]</w:t>
      </w:r>
      <w:r>
        <w:rPr/>
        <w:t xml:space="preserve"> ich grundlos meine Gegner </w:t>
      </w:r>
      <w:r>
        <w:rPr>
          <w:color w:val="808080"/>
        </w:rPr>
        <w:t xml:space="preserve">(die, die grundlos meine Gegner </w:t>
      </w:r>
      <w:r>
        <w:rPr>
          <w:b/>
          <w:color w:val="808080"/>
        </w:rPr>
        <w:t>[</w:t>
      </w:r>
      <w:r>
        <w:rPr>
          <w:color w:val="808080"/>
        </w:rPr>
        <w:t>sind</w:t>
      </w:r>
      <w:r>
        <w:rPr>
          <w:b/>
          <w:color w:val="808080"/>
        </w:rPr>
        <w:t>]</w:t>
      </w:r>
      <w:r>
        <w:rPr>
          <w:color w:val="808080"/>
        </w:rPr>
        <w:t>)</w:t>
      </w:r>
      <w:r>
        <w:rPr/>
        <w:t xml:space="preserve"> bedrängte </w:t>
      </w:r>
      <w:r>
        <w:rPr>
          <w:color w:val="808080"/>
        </w:rPr>
        <w:t>(rettete?)</w:t>
      </w:r>
      <w:r>
        <w:rPr/>
        <w:t>,</w:t>
      </w:r>
      <w:r>
        <w:rPr>
          <w:rStyle w:val="Funotenanker"/>
        </w:rPr>
        <w:footnoteReference w:customMarkFollows="1" w:id="548"/>
        <w:t>i</w:t>
      </w:r>
      <w:r>
        <w:rPr/>
        <w:t xml:space="preserve"> </w:t>
        <w:br/>
        <w:t xml:space="preserve">{{field-off:bible}} </w:t>
        <w:br/>
        <w:t>[[@BibleTOBIBLE:Ps 7:6]]</w:t>
      </w:r>
      <w:r>
        <w:rPr>
          <w:b/>
        </w:rPr>
        <w:t>6</w:t>
      </w:r>
      <w:r>
        <w:rPr/>
        <w:t xml:space="preserve"> {{field-on:bible}} </w:t>
        <w:br/>
        <w:t xml:space="preserve">dann verfolge </w:t>
      </w:r>
      <w:r>
        <w:rPr>
          <w:b/>
          <w:color w:val="808080"/>
        </w:rPr>
        <w:t>[</w:t>
      </w:r>
      <w:r>
        <w:rPr/>
        <w:t>mein</w:t>
      </w:r>
      <w:r>
        <w:rPr>
          <w:b/>
          <w:color w:val="808080"/>
        </w:rPr>
        <w:t>]</w:t>
      </w:r>
      <w:r>
        <w:rPr/>
        <w:t xml:space="preserve"> Feind meine Seele </w:t>
      </w:r>
      <w:r>
        <w:rPr>
          <w:color w:val="808080"/>
        </w:rPr>
        <w:t>(mich)</w:t>
      </w:r>
      <w:r>
        <w:rPr/>
        <w:t xml:space="preserve"> </w:t>
      </w:r>
      <w:r>
        <w:rPr>
          <w:rStyle w:val="Funotenanker"/>
        </w:rPr>
        <w:footnoteReference w:customMarkFollows="1" w:id="549"/>
        <w:t>j</w:t>
      </w:r>
      <w:r>
        <w:rPr/>
        <w:t xml:space="preserve"> und erreiche </w:t>
      </w:r>
      <w:r>
        <w:rPr>
          <w:b/>
          <w:color w:val="808080"/>
        </w:rPr>
        <w:t>[</w:t>
      </w:r>
      <w:r>
        <w:rPr/>
        <w:t>sie</w:t>
      </w:r>
      <w:r>
        <w:rPr>
          <w:b/>
          <w:color w:val="808080"/>
        </w:rPr>
        <w:t>]</w:t>
      </w:r>
      <w:r>
        <w:rPr/>
        <w:t xml:space="preserve">und trete meine Seele </w:t>
      </w:r>
      <w:r>
        <w:rPr>
          <w:color w:val="808080"/>
        </w:rPr>
        <w:t>(mich)</w:t>
      </w:r>
      <w:r>
        <w:rPr/>
        <w:t xml:space="preserve"> zu Boden </w:t>
      </w:r>
      <w:r>
        <w:rPr>
          <w:position w:val="8"/>
          <w:sz w:val="19"/>
        </w:rPr>
        <w:t>[[ ℘ &gt;&gt; BibleTOBIBLE:Ps 44:5]][[ ℘ &gt;&gt; BibleTOBIBLE:Ps 60:12]][[ ℘ &gt;&gt; BibleTOBIBLE:Is 63:3]]</w:t>
      </w:r>
      <w:r>
        <w:rPr/>
        <w:t xml:space="preserve">und lasse meine Ehre </w:t>
      </w:r>
      <w:r>
        <w:rPr>
          <w:color w:val="808080"/>
        </w:rPr>
        <w:t>(mich)</w:t>
      </w:r>
      <w:r>
        <w:rPr/>
        <w:t xml:space="preserve"> im Staub wohnen!</w:t>
      </w:r>
      <w:r>
        <w:rPr>
          <w:rStyle w:val="Funotenanker"/>
        </w:rPr>
        <w:footnoteReference w:customMarkFollows="1" w:id="550"/>
        <w:t>k</w:t>
      </w:r>
      <w:r>
        <w:rPr/>
        <w:t xml:space="preserve"> </w:t>
      </w:r>
      <w:r>
        <w:rPr>
          <w:strike/>
          <w:color w:val="808080"/>
        </w:rPr>
        <w:t>{Selah}</w:t>
      </w:r>
      <w:r>
        <w:rPr/>
        <w:t xml:space="preserve"> </w:t>
      </w:r>
      <w:r>
        <w:rPr>
          <w:rStyle w:val="Funotenanker"/>
        </w:rPr>
        <w:footnoteReference w:customMarkFollows="1" w:id="551"/>
        <w:t>l</w:t>
      </w:r>
      <w:r>
        <w:rPr/>
        <w:t xml:space="preserve"> </w:t>
      </w:r>
      <w:r>
        <w:rPr>
          <w:position w:val="8"/>
          <w:sz w:val="19"/>
        </w:rPr>
        <w:t>[[ ℘ &gt;&gt; BibleTOBIBLE:Job 31:5]][[ ℘ &gt;&gt; BibleTOBIBLE:Job 31:38]]</w:t>
      </w:r>
      <w:r>
        <w:rPr/>
        <w:t xml:space="preserve"> </w:t>
        <w:br/>
        <w:br/>
        <w:t xml:space="preserve">{{field-off:bible}} </w:t>
        <w:br/>
        <w:t>[[@BibleTOBIBLE:Ps 7:7]]</w:t>
      </w:r>
      <w:r>
        <w:rPr>
          <w:b/>
        </w:rPr>
        <w:t>7</w:t>
      </w:r>
      <w:r>
        <w:rPr/>
        <w:t xml:space="preserve"> {{field-on:bible}} </w:t>
        <w:br/>
        <w:t xml:space="preserve">Steh auf, </w:t>
      </w:r>
      <w:r>
        <w:rPr>
          <w:smallCaps/>
          <w:color w:val="FF0000"/>
        </w:rPr>
        <w:t>JHWH</w:t>
      </w:r>
      <w:r>
        <w:rPr/>
        <w:t xml:space="preserve">, in Deinem Zorn! </w:t>
      </w:r>
      <w:r>
        <w:rPr>
          <w:position w:val="8"/>
          <w:sz w:val="19"/>
        </w:rPr>
        <w:t>[[ ℘ &gt;&gt; BibleTOBIBLE:Ps 3:7]][[ ℘ &gt;&gt; BibleTOBIBLE:Ps 44:26]]</w:t>
      </w:r>
      <w:r>
        <w:rPr/>
        <w:t xml:space="preserve">Erhebe Dich gegen die Wut meiner Feinde </w:t>
      </w:r>
      <w:r>
        <w:rPr>
          <w:color w:val="808080"/>
        </w:rPr>
        <w:t xml:space="preserve">(in </w:t>
      </w:r>
      <w:r>
        <w:rPr>
          <w:b/>
          <w:color w:val="808080"/>
        </w:rPr>
        <w:t>[</w:t>
      </w:r>
      <w:r>
        <w:rPr>
          <w:color w:val="808080"/>
        </w:rPr>
        <w:t>Deiner</w:t>
      </w:r>
      <w:r>
        <w:rPr>
          <w:b/>
          <w:color w:val="808080"/>
        </w:rPr>
        <w:t>]</w:t>
      </w:r>
      <w:r>
        <w:rPr>
          <w:color w:val="808080"/>
        </w:rPr>
        <w:t xml:space="preserve"> Wut auf meine Feinde)</w:t>
      </w:r>
      <w:r>
        <w:rPr/>
        <w:t>Und erwache</w:t>
      </w:r>
      <w:r>
        <w:rPr>
          <w:rStyle w:val="Funotenanker"/>
        </w:rPr>
        <w:footnoteReference w:customMarkFollows="1" w:id="552"/>
        <w:t>m</w:t>
      </w:r>
      <w:r>
        <w:rPr/>
        <w:t xml:space="preserve">, mein Gott </w:t>
      </w:r>
      <w:r>
        <w:rPr>
          <w:color w:val="808080"/>
        </w:rPr>
        <w:t>(Und erwache zu mir hin?)</w:t>
      </w:r>
      <w:r>
        <w:rPr/>
        <w:t xml:space="preserve"> </w:t>
      </w:r>
      <w:r>
        <w:rPr>
          <w:rStyle w:val="Funotenanker"/>
        </w:rPr>
        <w:footnoteReference w:customMarkFollows="1" w:id="553"/>
        <w:t>n</w:t>
      </w:r>
      <w:r>
        <w:rPr/>
        <w:t xml:space="preserve">, </w:t>
      </w:r>
      <w:r>
        <w:rPr>
          <w:b/>
          <w:color w:val="808080"/>
        </w:rPr>
        <w:t>[</w:t>
      </w:r>
      <w:r>
        <w:rPr/>
        <w:t>der</w:t>
      </w:r>
      <w:r>
        <w:rPr>
          <w:b/>
          <w:color w:val="808080"/>
        </w:rPr>
        <w:t>]</w:t>
      </w:r>
      <w:r>
        <w:rPr/>
        <w:t xml:space="preserve"> du das Recht eingesetzt hast!</w:t>
      </w:r>
      <w:r>
        <w:rPr>
          <w:rStyle w:val="Funotenanker"/>
        </w:rPr>
        <w:footnoteReference w:customMarkFollows="1" w:id="554"/>
        <w:t>o</w:t>
      </w:r>
      <w:r>
        <w:rPr/>
        <w:t xml:space="preserve"> </w:t>
      </w:r>
      <w:r>
        <w:rPr>
          <w:position w:val="8"/>
          <w:sz w:val="19"/>
        </w:rPr>
        <w:t>[[ ℘ &gt;&gt; BibleTOBIBLE:Ps 35:23]][[ ℘ &gt;&gt; BibleTOBIBLE:Ps 44:23]][[ ℘ &gt;&gt; BibleTOBIBLE:Ps 73:20]][[ ℘ &gt;&gt; BibleTOBIBLE:Ps 76:9]][[ ℘ &gt;&gt; BibleTOBIBLE:Ps 78:65]][[ ℘ &gt;&gt; BibleTOBIBLE:Is 51:9]]</w:t>
      </w:r>
      <w:r>
        <w:rPr/>
        <w:t xml:space="preserve"> </w:t>
        <w:br/>
        <w:t xml:space="preserve">{{field-off:bible}} </w:t>
        <w:br/>
        <w:t>[[@BibleTOBIBLE:Ps 7:8]]</w:t>
      </w:r>
      <w:r>
        <w:rPr>
          <w:b/>
        </w:rPr>
        <w:t>8</w:t>
      </w:r>
      <w:r>
        <w:rPr/>
        <w:t xml:space="preserve"> {{field-on:bible}} </w:t>
        <w:br/>
      </w:r>
      <w:r>
        <w:rPr>
          <w:strike/>
          <w:color w:val="808080"/>
        </w:rPr>
        <w:t>{Und}</w:t>
      </w:r>
      <w:r>
        <w:rPr/>
        <w:t xml:space="preserve"> die Versammlung der Völker umgebe dichUnd über sie kehre zur Höhe zurück!</w:t>
      </w:r>
      <w:r>
        <w:rPr>
          <w:rStyle w:val="Funotenanker"/>
        </w:rPr>
        <w:footnoteReference w:customMarkFollows="1" w:id="555"/>
        <w:t>p</w:t>
      </w:r>
      <w:r>
        <w:rPr/>
        <w:t xml:space="preserve"> </w:t>
      </w:r>
      <w:r>
        <w:rPr>
          <w:position w:val="8"/>
          <w:sz w:val="19"/>
        </w:rPr>
        <w:t>[[ ℘ &gt;&gt; BibleTOBIBLE:Ps 2:4]][[ ℘ &gt;&gt; BibleTOBIBLE:Ps 9:4]][[ ℘ &gt;&gt; BibleTOBIBLE:Ps 11:4]][[ ℘ &gt;&gt; BibleTOBIBLE:Ps 33:14]][[ ℘ &gt;&gt; BibleTOBIBLE:Ps 96:10]][[ ℘ &gt;&gt; BibleTOBIBLE:Ps 98:9]][[ ℘ &gt;&gt; BibleTOBIBLE:Ps 103:19]][[ ℘ &gt;&gt; BibleTOBIBLE:Ps 113:5]][[ ℘ &gt;&gt; BibleTOBIBLE:Re 4:2]][[ ℘ &gt;&gt; BibleTOBIBLE:Re 20:12]]</w:t>
      </w:r>
      <w:r>
        <w:rPr/>
        <w:t xml:space="preserve"> </w:t>
        <w:br/>
        <w:t xml:space="preserve">{{field-off:bible}} </w:t>
        <w:br/>
        <w:t>[[@BibleTOBIBLE:Ps 7:9]]</w:t>
      </w:r>
      <w:r>
        <w:rPr>
          <w:b/>
        </w:rPr>
        <w:t>9</w:t>
      </w:r>
      <w:r>
        <w:rPr/>
        <w:t xml:space="preserve"> {{field-on:bible}} </w:t>
        <w:br/>
      </w:r>
      <w:r>
        <w:rPr>
          <w:smallCaps/>
          <w:color w:val="FF0000"/>
        </w:rPr>
        <w:t>JHWH</w:t>
      </w:r>
      <w:r>
        <w:rPr/>
        <w:t xml:space="preserve"> richte die Völker</w:t>
      </w:r>
      <w:r>
        <w:rPr>
          <w:rStyle w:val="Funotenanker"/>
        </w:rPr>
        <w:footnoteReference w:customMarkFollows="1" w:id="556"/>
        <w:t>q</w:t>
      </w:r>
      <w:r>
        <w:rPr/>
        <w:t xml:space="preserve"> </w:t>
      </w:r>
      <w:r>
        <w:rPr>
          <w:position w:val="8"/>
          <w:sz w:val="19"/>
        </w:rPr>
        <w:t>[[ ℘ &gt;&gt; BibleTOBIBLE:Ps 9:8]]</w:t>
      </w:r>
      <w:r>
        <w:rPr/>
        <w:t xml:space="preserve">Schaff </w:t>
      </w:r>
      <w:r>
        <w:rPr>
          <w:b/>
          <w:color w:val="808080"/>
        </w:rPr>
        <w:t>[</w:t>
      </w:r>
      <w:r>
        <w:rPr/>
        <w:t>auch</w:t>
      </w:r>
      <w:r>
        <w:rPr>
          <w:b/>
          <w:color w:val="808080"/>
        </w:rPr>
        <w:t>]</w:t>
      </w:r>
      <w:r>
        <w:rPr/>
        <w:t xml:space="preserve"> mir Recht</w:t>
      </w:r>
      <w:r>
        <w:rPr>
          <w:rStyle w:val="Funotenanker"/>
        </w:rPr>
        <w:footnoteReference w:customMarkFollows="1" w:id="557"/>
        <w:t>r</w:t>
      </w:r>
      <w:r>
        <w:rPr/>
        <w:t xml:space="preserve">, </w:t>
      </w:r>
      <w:r>
        <w:rPr>
          <w:smallCaps/>
          <w:color w:val="FF0000"/>
        </w:rPr>
        <w:t>JHWH</w:t>
      </w:r>
      <w:r>
        <w:rPr/>
        <w:t>, gemäß meiner Gerechtigkeit</w:t>
      </w:r>
      <w:r>
        <w:rPr>
          <w:rStyle w:val="Funotenanker"/>
        </w:rPr>
        <w:footnoteReference w:customMarkFollows="1" w:id="558"/>
        <w:t>s</w:t>
      </w:r>
      <w:r>
        <w:rPr/>
        <w:t xml:space="preserve">Und gemäß meiner Unschuld, </w:t>
      </w:r>
      <w:r>
        <w:rPr>
          <w:b/>
          <w:color w:val="808080"/>
        </w:rPr>
        <w:t>[</w:t>
      </w:r>
      <w:r>
        <w:rPr/>
        <w:t>die</w:t>
      </w:r>
      <w:r>
        <w:rPr>
          <w:b/>
          <w:color w:val="808080"/>
        </w:rPr>
        <w:t>]</w:t>
      </w:r>
      <w:r>
        <w:rPr/>
        <w:t xml:space="preserve"> auf mir </w:t>
      </w:r>
      <w:r>
        <w:rPr>
          <w:b/>
          <w:color w:val="808080"/>
        </w:rPr>
        <w:t>[</w:t>
      </w:r>
      <w:r>
        <w:rPr/>
        <w:t>ist</w:t>
      </w:r>
      <w:r>
        <w:rPr>
          <w:b/>
          <w:color w:val="808080"/>
        </w:rPr>
        <w:t>]</w:t>
      </w:r>
      <w:r>
        <w:rPr/>
        <w:t xml:space="preserve"> </w:t>
      </w:r>
      <w:r>
        <w:rPr>
          <w:rStyle w:val="Funotenanker"/>
        </w:rPr>
        <w:footnoteReference w:customMarkFollows="1" w:id="559"/>
        <w:t>t</w:t>
      </w:r>
      <w:r>
        <w:rPr/>
        <w:t xml:space="preserve">! </w:t>
      </w:r>
      <w:r>
        <w:rPr>
          <w:position w:val="8"/>
          <w:sz w:val="19"/>
        </w:rPr>
        <w:t>[[ ℘ &gt;&gt; BibleTOBIBLE:Ps 26:1]][[ ℘ &gt;&gt; BibleTOBIBLE:Ps 37:23]][[ ℘ &gt;&gt; BibleTOBIBLE:Ps 43:1]][[ ℘ &gt;&gt; BibleTOBIBLE:Ps 96:13]][[ ℘ &gt;&gt; BibleTOBIBLE:Ps 98:9]]</w:t>
      </w:r>
      <w:r>
        <w:rPr/>
        <w:t xml:space="preserve"> </w:t>
        <w:br/>
        <w:t xml:space="preserve">{{field-off:bible}} </w:t>
        <w:br/>
        <w:t>[[@BibleTOBIBLE:Ps 7:10]]</w:t>
      </w:r>
      <w:r>
        <w:rPr>
          <w:b/>
        </w:rPr>
        <w:t>10</w:t>
      </w:r>
      <w:r>
        <w:rPr/>
        <w:t xml:space="preserve"> {{field-on:bible}} </w:t>
        <w:br/>
        <w:t xml:space="preserve">Ach, es möge enden Böses von Frevlern </w:t>
      </w:r>
      <w:r>
        <w:rPr>
          <w:color w:val="808080"/>
        </w:rPr>
        <w:t>(böse Frevler, Bosheit von Frevler?)</w:t>
      </w:r>
      <w:r>
        <w:rPr/>
        <w:t xml:space="preserve"> </w:t>
      </w:r>
      <w:r>
        <w:rPr>
          <w:rStyle w:val="Funotenanker"/>
        </w:rPr>
        <w:footnoteReference w:customMarkFollows="1" w:id="560"/>
        <w:t>u</w:t>
      </w:r>
      <w:r>
        <w:rPr/>
        <w:t>,</w:t>
      </w:r>
      <w:r>
        <w:rPr>
          <w:b/>
          <w:color w:val="808080"/>
        </w:rPr>
        <w:t>[</w:t>
      </w:r>
      <w:r>
        <w:rPr/>
        <w:t>Aber</w:t>
      </w:r>
      <w:r>
        <w:rPr>
          <w:b/>
          <w:color w:val="808080"/>
        </w:rPr>
        <w:t>]</w:t>
      </w:r>
      <w:r>
        <w:rPr/>
        <w:t xml:space="preserve"> Gerechte mögest du sicher stehen lassen</w:t>
      </w:r>
      <w:r>
        <w:rPr>
          <w:rStyle w:val="Funotenanker"/>
        </w:rPr>
        <w:footnoteReference w:customMarkFollows="1" w:id="561"/>
        <w:t>v</w:t>
      </w:r>
      <w:r>
        <w:rPr/>
        <w:t>.</w:t>
        <w:br/>
        <w:br/>
        <w:t>Der gerechte Gott prüft Herz und Nieren</w:t>
      </w:r>
      <w:r>
        <w:rPr>
          <w:rStyle w:val="Funotenanker"/>
        </w:rPr>
        <w:footnoteReference w:customMarkFollows="1" w:id="562"/>
        <w:t>w</w:t>
      </w:r>
      <w:r>
        <w:rPr/>
        <w:t xml:space="preserve"> </w:t>
      </w:r>
      <w:r>
        <w:rPr>
          <w:rStyle w:val="Funotenanker"/>
        </w:rPr>
        <w:footnoteReference w:customMarkFollows="1" w:id="563"/>
        <w:t>x</w:t>
      </w:r>
      <w:r>
        <w:rPr/>
        <w:t xml:space="preserve">, </w:t>
      </w:r>
      <w:r>
        <w:rPr>
          <w:position w:val="8"/>
          <w:sz w:val="19"/>
        </w:rPr>
        <w:t>[[ ℘ &gt;&gt; BibleTOBIBLE:1Sa 16:7]][[ ℘ &gt;&gt; BibleTOBIBLE:1Ch 28:9]][[ ℘ &gt;&gt; BibleTOBIBLE:Ps 11:4]][[ ℘ &gt;&gt; BibleTOBIBLE:Ps 17:3]][[ ℘ &gt;&gt; BibleTOBIBLE:Ps 44:21]][[ ℘ &gt;&gt; BibleTOBIBLE:Ps 139:1]][[ ℘ &gt;&gt; BibleTOBIBLE:Je 11:20]][[ ℘ &gt;&gt; BibleTOBIBLE:Je 17:10]][[ ℘ &gt;&gt; BibleTOBIBLE:Je 20:12]][[ ℘ &gt;&gt; BibleTOBIBLE:1Co 4:5]][[ ℘ &gt;&gt; BibleTOBIBLE:Re 2:23]]</w:t>
      </w:r>
      <w:r>
        <w:rPr/>
        <w:t xml:space="preserve"> </w:t>
        <w:br/>
        <w:t xml:space="preserve">{{field-off:bible}} </w:t>
        <w:br/>
        <w:t>[[@BibleTOBIBLE:Ps 7:11]]</w:t>
      </w:r>
      <w:r>
        <w:rPr>
          <w:b/>
        </w:rPr>
        <w:t>11</w:t>
      </w:r>
      <w:r>
        <w:rPr/>
        <w:t xml:space="preserve"> {{field-on:bible}} </w:t>
        <w:br/>
      </w:r>
      <w:r>
        <w:rPr>
          <w:b/>
          <w:color w:val="808080"/>
        </w:rPr>
        <w:t>[</w:t>
      </w:r>
      <w:r>
        <w:rPr/>
        <w:t>Darum</w:t>
      </w:r>
      <w:r>
        <w:rPr>
          <w:b/>
          <w:color w:val="808080"/>
        </w:rPr>
        <w:t>]</w:t>
      </w:r>
      <w:r>
        <w:rPr/>
        <w:t xml:space="preserve"> </w:t>
      </w:r>
      <w:r>
        <w:rPr>
          <w:b/>
          <w:color w:val="808080"/>
        </w:rPr>
        <w:t>[</w:t>
      </w:r>
      <w:r>
        <w:rPr/>
        <w:t>Ist</w:t>
      </w:r>
      <w:r>
        <w:rPr>
          <w:b/>
          <w:color w:val="808080"/>
        </w:rPr>
        <w:t>]</w:t>
      </w:r>
      <w:r>
        <w:rPr/>
        <w:t xml:space="preserve"> mein Schild auf mir </w:t>
      </w:r>
      <w:r>
        <w:rPr>
          <w:color w:val="808080"/>
        </w:rPr>
        <w:t>(auf)</w:t>
      </w:r>
      <w:r>
        <w:rPr/>
        <w:t xml:space="preserve"> </w:t>
      </w:r>
      <w:r>
        <w:rPr>
          <w:rStyle w:val="Funotenanker"/>
        </w:rPr>
        <w:footnoteReference w:customMarkFollows="1" w:id="564"/>
        <w:t>y</w:t>
      </w:r>
      <w:r>
        <w:rPr/>
        <w:t xml:space="preserve"> Gott, </w:t>
      </w:r>
      <w:r>
        <w:rPr>
          <w:position w:val="8"/>
          <w:sz w:val="19"/>
        </w:rPr>
        <w:t>[[ ℘ &gt;&gt; BibleTOBIBLE:Ps 3:4]][[ ℘ &gt;&gt; BibleTOBIBLE:Ps 18:3]][[ ℘ &gt;&gt; BibleTOBIBLE:Ps 89:19]]</w:t>
      </w:r>
      <w:r>
        <w:rPr/>
        <w:t xml:space="preserve">der Retter </w:t>
      </w:r>
      <w:r>
        <w:rPr>
          <w:b/>
          <w:color w:val="808080"/>
        </w:rPr>
        <w:t>[</w:t>
      </w:r>
      <w:r>
        <w:rPr/>
        <w:t>derer, die</w:t>
      </w:r>
      <w:r>
        <w:rPr>
          <w:b/>
          <w:color w:val="808080"/>
        </w:rPr>
        <w:t>]</w:t>
      </w:r>
      <w:r>
        <w:rPr/>
        <w:t xml:space="preserve"> redlichen Herzens </w:t>
      </w:r>
      <w:r>
        <w:rPr>
          <w:b/>
          <w:color w:val="808080"/>
        </w:rPr>
        <w:t>[</w:t>
      </w:r>
      <w:r>
        <w:rPr/>
        <w:t>sind</w:t>
      </w:r>
      <w:r>
        <w:rPr>
          <w:b/>
          <w:color w:val="808080"/>
        </w:rPr>
        <w:t>]</w:t>
      </w:r>
      <w:r>
        <w:rPr/>
        <w:t xml:space="preserve">. </w:t>
      </w:r>
      <w:r>
        <w:rPr>
          <w:position w:val="8"/>
          <w:sz w:val="19"/>
        </w:rPr>
        <w:t>[[ ℘ &gt;&gt; BibleTOBIBLE:Job 18:6]][[ ℘ &gt;&gt; BibleTOBIBLE:Ps 18:20]][[ ℘ &gt;&gt; BibleTOBIBLE:Ps 112:2]][[ ℘ &gt;&gt; BibleTOBIBLE:Ps 125:4]][[ ℘ &gt;&gt; BibleTOBIBLE:Pr 2:21]]</w:t>
      </w:r>
      <w:r>
        <w:rPr/>
        <w:t xml:space="preserve"> </w:t>
        <w:br/>
        <w:t xml:space="preserve">{{field-off:bible}} </w:t>
        <w:br/>
        <w:t>[[@BibleTOBIBLE:Ps 7:12]]</w:t>
      </w:r>
      <w:r>
        <w:rPr>
          <w:b/>
        </w:rPr>
        <w:t>12</w:t>
      </w:r>
      <w:r>
        <w:rPr/>
        <w:t xml:space="preserve"> {{field-on:bible}} </w:t>
        <w:br/>
        <w:t xml:space="preserve">Gott </w:t>
      </w:r>
      <w:r>
        <w:rPr>
          <w:b/>
          <w:color w:val="808080"/>
        </w:rPr>
        <w:t>[</w:t>
      </w:r>
      <w:r>
        <w:rPr/>
        <w:t>ist</w:t>
      </w:r>
      <w:r>
        <w:rPr>
          <w:b/>
          <w:color w:val="808080"/>
        </w:rPr>
        <w:t>]</w:t>
      </w:r>
      <w:r>
        <w:rPr/>
        <w:t xml:space="preserve"> ein gerechter Richter,</w:t>
      </w:r>
      <w:r>
        <w:rPr>
          <w:b/>
          <w:color w:val="808080"/>
        </w:rPr>
        <w:t>[</w:t>
      </w:r>
      <w:r>
        <w:rPr/>
        <w:t>Darum</w:t>
      </w:r>
      <w:r>
        <w:rPr>
          <w:b/>
          <w:color w:val="808080"/>
        </w:rPr>
        <w:t>]</w:t>
      </w:r>
      <w:r>
        <w:rPr/>
        <w:t xml:space="preserve"> </w:t>
      </w:r>
      <w:r>
        <w:rPr>
          <w:b/>
          <w:color w:val="808080"/>
        </w:rPr>
        <w:t>[</w:t>
      </w:r>
      <w:r>
        <w:rPr/>
        <w:t>ist</w:t>
      </w:r>
      <w:r>
        <w:rPr>
          <w:b/>
          <w:color w:val="808080"/>
        </w:rPr>
        <w:t>]</w:t>
      </w:r>
      <w:r>
        <w:rPr/>
        <w:t xml:space="preserve"> er </w:t>
      </w:r>
      <w:r>
        <w:rPr>
          <w:b/>
          <w:color w:val="808080"/>
        </w:rPr>
        <w:t>[</w:t>
      </w:r>
      <w:r>
        <w:rPr/>
        <w:t>auch</w:t>
      </w:r>
      <w:r>
        <w:rPr>
          <w:b/>
          <w:color w:val="808080"/>
        </w:rPr>
        <w:t>]</w:t>
      </w:r>
      <w:r>
        <w:rPr/>
        <w:t xml:space="preserve"> ein Gott, </w:t>
      </w:r>
      <w:r>
        <w:rPr>
          <w:b/>
          <w:color w:val="808080"/>
        </w:rPr>
        <w:t>[</w:t>
      </w:r>
      <w:r>
        <w:rPr/>
        <w:t>der</w:t>
      </w:r>
      <w:r>
        <w:rPr>
          <w:b/>
          <w:color w:val="808080"/>
        </w:rPr>
        <w:t>]</w:t>
      </w:r>
      <w:r>
        <w:rPr/>
        <w:t xml:space="preserve"> jeden Tag zürnt:</w:t>
      </w:r>
      <w:r>
        <w:rPr>
          <w:rStyle w:val="Funotenanker"/>
        </w:rPr>
        <w:footnoteReference w:customMarkFollows="1" w:id="565"/>
        <w:t>z</w:t>
      </w:r>
      <w:r>
        <w:rPr/>
        <w:t xml:space="preserve"> </w:t>
      </w:r>
      <w:r>
        <w:rPr>
          <w:position w:val="8"/>
          <w:sz w:val="19"/>
        </w:rPr>
        <w:t>[[ ℘ &gt;&gt; BibleTOBIBLE:1Sa 2:10]][[ ℘ &gt;&gt; BibleTOBIBLE:Ps 10:15]][[ ℘ &gt;&gt; BibleTOBIBLE:Ps 35:24]][[ ℘ &gt;&gt; BibleTOBIBLE:Pr 11:20]][[ ℘ &gt;&gt; BibleTOBIBLE:Pr 28:18]]</w:t>
      </w:r>
      <w:r>
        <w:rPr/>
        <w:t xml:space="preserve"> </w:t>
        <w:br/>
        <w:t xml:space="preserve">{{field-off:bible}} </w:t>
        <w:br/>
        <w:t>[[@BibleTOBIBLE:Ps 7:13]]</w:t>
      </w:r>
      <w:r>
        <w:rPr>
          <w:b/>
        </w:rPr>
        <w:t>13</w:t>
      </w:r>
      <w:r>
        <w:rPr/>
        <w:t xml:space="preserve"> {{field-on:bible}} </w:t>
        <w:br/>
        <w:t xml:space="preserve">Wenn man sich nicht bekehrt, </w:t>
      </w:r>
      <w:r>
        <w:rPr>
          <w:b/>
          <w:color w:val="808080"/>
        </w:rPr>
        <w:t>[</w:t>
      </w:r>
      <w:r>
        <w:rPr/>
        <w:t>sondern</w:t>
      </w:r>
      <w:r>
        <w:rPr>
          <w:b/>
          <w:color w:val="808080"/>
        </w:rPr>
        <w:t>]</w:t>
      </w:r>
      <w:r>
        <w:rPr/>
        <w:t xml:space="preserve"> sein Schwert wetzt,</w:t>
      </w:r>
      <w:r>
        <w:rPr>
          <w:rStyle w:val="Funotenanker"/>
        </w:rPr>
        <w:footnoteReference w:customMarkFollows="1" w:id="566"/>
        <w:t>aa</w:t>
      </w:r>
      <w:r>
        <w:rPr/>
        <w:t>Seinen Bogen spannt und ihn aufrichtet</w:t>
      </w:r>
      <w:r>
        <w:rPr>
          <w:rStyle w:val="Funotenanker"/>
        </w:rPr>
        <w:footnoteReference w:customMarkFollows="1" w:id="567"/>
        <w:t>ab</w:t>
      </w:r>
      <w:r>
        <w:rPr/>
        <w:t xml:space="preserve"> - </w:t>
      </w:r>
      <w:r>
        <w:rPr>
          <w:position w:val="8"/>
          <w:sz w:val="19"/>
        </w:rPr>
        <w:t>[[ ℘ &gt;&gt; BibleTOBIBLE:Ps 11:2]][[ ℘ &gt;&gt; BibleTOBIBLE:Ps 64:4]][[ ℘ &gt;&gt; BibleTOBIBLE:Ps 64:8]][[ ℘ &gt;&gt; BibleTOBIBLE:La 3:12]]</w:t>
      </w:r>
      <w:r>
        <w:rPr/>
        <w:t xml:space="preserve"> </w:t>
        <w:br/>
        <w:t xml:space="preserve">{{field-off:bible}} </w:t>
        <w:br/>
        <w:t>[[@BibleTOBIBLE:Ps 7:14]]</w:t>
      </w:r>
      <w:r>
        <w:rPr>
          <w:b/>
        </w:rPr>
        <w:t>14</w:t>
      </w:r>
      <w:r>
        <w:rPr/>
        <w:t xml:space="preserve"> {{field-on:bible}} </w:t>
        <w:br/>
        <w:t xml:space="preserve">für sich </w:t>
      </w:r>
      <w:r>
        <w:rPr>
          <w:b/>
          <w:color w:val="808080"/>
        </w:rPr>
        <w:t>[</w:t>
      </w:r>
      <w:r>
        <w:rPr/>
        <w:t>selbst</w:t>
      </w:r>
      <w:r>
        <w:rPr>
          <w:b/>
          <w:color w:val="808080"/>
        </w:rPr>
        <w:t>]</w:t>
      </w:r>
      <w:r>
        <w:rPr/>
        <w:t xml:space="preserve"> richtet man </w:t>
      </w:r>
      <w:r>
        <w:rPr>
          <w:b/>
          <w:color w:val="808080"/>
        </w:rPr>
        <w:t>[</w:t>
      </w:r>
      <w:r>
        <w:rPr/>
        <w:t>dann</w:t>
      </w:r>
      <w:r>
        <w:rPr>
          <w:b/>
          <w:color w:val="808080"/>
        </w:rPr>
        <w:t>]</w:t>
      </w:r>
      <w:r>
        <w:rPr/>
        <w:t xml:space="preserve"> die tödlichen Waffen</w:t>
      </w:r>
      <w:r>
        <w:rPr>
          <w:b/>
          <w:color w:val="808080"/>
        </w:rPr>
        <w:t>[</w:t>
      </w:r>
      <w:r>
        <w:rPr/>
        <w:t>Und</w:t>
      </w:r>
      <w:r>
        <w:rPr>
          <w:b/>
          <w:color w:val="808080"/>
        </w:rPr>
        <w:t>]</w:t>
      </w:r>
      <w:r>
        <w:rPr/>
        <w:t xml:space="preserve"> macht seine Pfeile zu brennenden</w:t>
      </w:r>
      <w:r>
        <w:rPr>
          <w:rStyle w:val="Funotenanker"/>
        </w:rPr>
        <w:footnoteReference w:customMarkFollows="1" w:id="568"/>
        <w:t>ac</w:t>
      </w:r>
      <w:r>
        <w:rPr/>
        <w:t>.</w:t>
        <w:br/>
        <w:t xml:space="preserve">{{field-off:bible}} </w:t>
        <w:br/>
        <w:t>[[@BibleTOBIBLE:Ps 7:15]]</w:t>
      </w:r>
      <w:r>
        <w:rPr>
          <w:b/>
        </w:rPr>
        <w:t>15</w:t>
      </w:r>
      <w:r>
        <w:rPr/>
        <w:t xml:space="preserve"> {{field-on:bible}} </w:t>
        <w:br/>
        <w:t xml:space="preserve">Wenn </w:t>
      </w:r>
      <w:r>
        <w:rPr>
          <w:color w:val="808080"/>
        </w:rPr>
        <w:t>(siehe)</w:t>
      </w:r>
      <w:r>
        <w:rPr/>
        <w:t xml:space="preserve"> </w:t>
      </w:r>
      <w:r>
        <w:rPr>
          <w:rStyle w:val="Funotenanker"/>
        </w:rPr>
        <w:footnoteReference w:customMarkFollows="1" w:id="569"/>
        <w:t>ad</w:t>
      </w:r>
      <w:r>
        <w:rPr/>
        <w:t xml:space="preserve"> man Frevel empfängt,Geht man mit Bosheit schwanger und gebiert - Trug </w:t>
      </w:r>
      <w:r>
        <w:rPr>
          <w:color w:val="808080"/>
        </w:rPr>
        <w:t>(und gebiert Lügen)</w:t>
      </w:r>
      <w:r>
        <w:rPr/>
        <w:t>.</w:t>
      </w:r>
      <w:r>
        <w:rPr>
          <w:rStyle w:val="Funotenanker"/>
        </w:rPr>
        <w:footnoteReference w:customMarkFollows="1" w:id="570"/>
        <w:t>ae</w:t>
      </w:r>
      <w:r>
        <w:rPr/>
        <w:t xml:space="preserve"> </w:t>
      </w:r>
      <w:r>
        <w:rPr>
          <w:position w:val="8"/>
          <w:sz w:val="19"/>
        </w:rPr>
        <w:t>[[ ℘ &gt;&gt; BibleTOBIBLE:Job 15:35]][[ ℘ &gt;&gt; BibleTOBIBLE:Is 33:11]][[ ℘ &gt;&gt; BibleTOBIBLE:Jas 1:15]]</w:t>
      </w:r>
      <w:r>
        <w:rPr/>
        <w:t xml:space="preserve"> </w:t>
        <w:br/>
        <w:t xml:space="preserve">{{field-off:bible}} </w:t>
        <w:br/>
        <w:t>[[@BibleTOBIBLE:Ps 7:16]]</w:t>
      </w:r>
      <w:r>
        <w:rPr>
          <w:b/>
        </w:rPr>
        <w:t>16</w:t>
      </w:r>
      <w:r>
        <w:rPr/>
        <w:t xml:space="preserve"> {{field-on:bible}} </w:t>
        <w:br/>
        <w:t xml:space="preserve">Gräbt man ein Loch und hebt es aus -Fällt man </w:t>
      </w:r>
      <w:r>
        <w:rPr>
          <w:b/>
          <w:color w:val="808080"/>
        </w:rPr>
        <w:t>[</w:t>
      </w:r>
      <w:r>
        <w:rPr/>
        <w:t>selbst</w:t>
      </w:r>
      <w:r>
        <w:rPr>
          <w:b/>
          <w:color w:val="808080"/>
        </w:rPr>
        <w:t>]</w:t>
      </w:r>
      <w:r>
        <w:rPr/>
        <w:t xml:space="preserve"> in die Grube, </w:t>
      </w:r>
      <w:r>
        <w:rPr>
          <w:b/>
          <w:color w:val="808080"/>
        </w:rPr>
        <w:t>[</w:t>
      </w:r>
      <w:r>
        <w:rPr/>
        <w:t>die</w:t>
      </w:r>
      <w:r>
        <w:rPr>
          <w:b/>
          <w:color w:val="808080"/>
        </w:rPr>
        <w:t>]</w:t>
      </w:r>
      <w:r>
        <w:rPr/>
        <w:t xml:space="preserve"> man machen wollte. </w:t>
      </w:r>
      <w:r>
        <w:rPr>
          <w:position w:val="8"/>
          <w:sz w:val="19"/>
        </w:rPr>
        <w:t>[[ ℘ &gt;&gt; BibleTOBIBLE:Ps 9:16]][[ ℘ &gt;&gt; BibleTOBIBLE:Ps 35:7]][[ ℘ &gt;&gt; BibleTOBIBLE:Ps 57:7]][[ ℘ &gt;&gt; BibleTOBIBLE:Ps 141:10]][[ ℘ &gt;&gt; BibleTOBIBLE:Pr 5:22]][[ ℘ &gt;&gt; BibleTOBIBLE:Pr 26:27]][[ ℘ &gt;&gt; BibleTOBIBLE:Ec 10:8]][[ ℘ &gt;&gt; BibleTOBIBLE:Re 16:6]]</w:t>
      </w:r>
      <w:r>
        <w:rPr/>
        <w:t xml:space="preserve"> </w:t>
        <w:br/>
        <w:t xml:space="preserve">{{field-off:bible}} </w:t>
        <w:br/>
        <w:t>[[@BibleTOBIBLE:Ps 7:17]]</w:t>
      </w:r>
      <w:r>
        <w:rPr>
          <w:b/>
        </w:rPr>
        <w:t>17</w:t>
      </w:r>
      <w:r>
        <w:rPr/>
        <w:t xml:space="preserve"> {{field-on:bible}} </w:t>
        <w:br/>
        <w:t xml:space="preserve">Jemandes Bosheit kehrt auf seinen </w:t>
      </w:r>
      <w:r>
        <w:rPr>
          <w:b/>
          <w:color w:val="808080"/>
        </w:rPr>
        <w:t>[</w:t>
      </w:r>
      <w:r>
        <w:rPr/>
        <w:t>eigenen</w:t>
      </w:r>
      <w:r>
        <w:rPr>
          <w:b/>
          <w:color w:val="808080"/>
        </w:rPr>
        <w:t>]</w:t>
      </w:r>
      <w:r>
        <w:rPr/>
        <w:t xml:space="preserve"> Kopf zurückUnd auf seinen </w:t>
      </w:r>
      <w:r>
        <w:rPr>
          <w:b/>
          <w:color w:val="808080"/>
        </w:rPr>
        <w:t>[</w:t>
      </w:r>
      <w:r>
        <w:rPr/>
        <w:t>eigenen</w:t>
      </w:r>
      <w:r>
        <w:rPr>
          <w:b/>
          <w:color w:val="808080"/>
        </w:rPr>
        <w:t>]</w:t>
      </w:r>
      <w:r>
        <w:rPr/>
        <w:t xml:space="preserve"> Scheitel kommt jemandes Untat hinab. </w:t>
      </w:r>
      <w:r>
        <w:rPr>
          <w:position w:val="8"/>
          <w:sz w:val="19"/>
        </w:rPr>
        <w:t>[[ ℘ &gt;&gt; BibleTOBIBLE:1Ki 2:32]][[ ℘ &gt;&gt; BibleTOBIBLE:Job 4:8]][[ ℘ &gt;&gt; BibleTOBIBLE:Pr 26:27]][[ ℘ &gt;&gt; BibleTOBIBLE:Ec 10:9]][[ ℘ &gt;&gt; BibleTOBIBLE:Ob 1:15]][[ ℘ &gt;&gt; BibleTOBIBLE:Joe 4:4]][[ ℘ &gt;&gt; BibleTOBIBLE:Joe 4:7]]</w:t>
      </w:r>
      <w:r>
        <w:rPr/>
        <w:t xml:space="preserve"> </w:t>
        <w:br/>
        <w:br/>
        <w:t xml:space="preserve">{{field-off:bible}} </w:t>
        <w:br/>
        <w:t>[[@BibleTOBIBLE:Ps 7:18]]</w:t>
      </w:r>
      <w:r>
        <w:rPr>
          <w:b/>
        </w:rPr>
        <w:t>18</w:t>
      </w:r>
      <w:r>
        <w:rPr/>
        <w:t xml:space="preserve"> {{field-on:bible}} </w:t>
        <w:br/>
        <w:t xml:space="preserve">Ich will </w:t>
      </w:r>
      <w:r>
        <w:rPr>
          <w:smallCaps/>
          <w:color w:val="FF0000"/>
        </w:rPr>
        <w:t>JHWH</w:t>
      </w:r>
      <w:r>
        <w:rPr/>
        <w:t xml:space="preserve"> ob </w:t>
      </w:r>
      <w:r>
        <w:rPr>
          <w:color w:val="808080"/>
        </w:rPr>
        <w:t>(gemäß)</w:t>
      </w:r>
      <w:r>
        <w:rPr/>
        <w:t xml:space="preserve"> seiner Gerechtigkeit preisenUnd spielen dem Namen </w:t>
      </w:r>
      <w:r>
        <w:rPr>
          <w:smallCaps/>
          <w:color w:val="FF0000"/>
        </w:rPr>
        <w:t>JHWH</w:t>
      </w:r>
      <w:r>
        <w:rPr/>
        <w:t>s, des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71"/>
        <w:t>Status</w:t>
      </w:r>
      <w:r>
        <w:rPr/>
        <w:t xml:space="preserve"> Für den Chorleiter </w:t>
      </w:r>
      <w:r>
        <w:rPr>
          <w:color w:val="808080"/>
        </w:rPr>
        <w:t>(Dirigenten, Singenden, Musizierenden)</w:t>
      </w:r>
      <w:r>
        <w:rPr/>
        <w:t xml:space="preserve"> </w:t>
      </w:r>
      <w:r>
        <w:rPr>
          <w:rStyle w:val="Funotenanker"/>
        </w:rPr>
        <w:footnoteReference w:customMarkFollows="1" w:id="572"/>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573"/>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574"/>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575"/>
        <w:t>d</w:t>
      </w:r>
      <w:r>
        <w:rPr/>
        <w:t xml:space="preserve"> wird gepriesen</w:t>
      </w:r>
      <w:r>
        <w:rPr>
          <w:rStyle w:val="Funotenanker"/>
        </w:rPr>
        <w:footnoteReference w:customMarkFollows="1" w:id="576"/>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577"/>
        <w:t>f</w:t>
      </w:r>
      <w:r>
        <w:rPr/>
        <w:t xml:space="preserve"> Babies</w:t>
      </w:r>
      <w:r>
        <w:rPr>
          <w:rStyle w:val="Funotenanker"/>
        </w:rPr>
        <w:footnoteReference w:customMarkFollows="1" w:id="578"/>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579"/>
        <w:t>h</w:t>
      </w:r>
      <w:r>
        <w:rPr/>
        <w:t xml:space="preserve"> errichtet </w:t>
      </w:r>
      <w:r>
        <w:rPr>
          <w:color w:val="808080"/>
        </w:rPr>
        <w:t>(grundgelegt)</w:t>
      </w:r>
      <w:r>
        <w:rPr/>
        <w:t xml:space="preserve"> um deiner Gegner willen</w:t>
      </w:r>
      <w:r>
        <w:rPr>
          <w:rStyle w:val="Funotenanker"/>
        </w:rPr>
        <w:footnoteReference w:customMarkFollows="1" w:id="580"/>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581"/>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582"/>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583"/>
        <w:t>l</w:t>
      </w:r>
      <w:r>
        <w:rPr/>
        <w:t xml:space="preserve">, dass du dich seiner erinnerst </w:t>
      </w:r>
      <w:r>
        <w:rPr>
          <w:color w:val="808080"/>
        </w:rPr>
        <w:t>(dich um es kümmerst)</w:t>
      </w:r>
      <w:r>
        <w:rPr/>
        <w:t xml:space="preserve"> </w:t>
      </w:r>
      <w:r>
        <w:rPr>
          <w:rStyle w:val="Funotenanker"/>
        </w:rPr>
        <w:footnoteReference w:customMarkFollows="1" w:id="584"/>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585"/>
        <w:t>n</w:t>
      </w:r>
      <w:r>
        <w:rPr/>
        <w:t xml:space="preserve"> </w:t>
      </w:r>
      <w:r>
        <w:rPr>
          <w:color w:val="808080"/>
        </w:rPr>
        <w:t>(der Mensch, der Sohn des Menschen, das Kind des Menschen, der Menschensohn)</w:t>
      </w:r>
      <w:r>
        <w:rPr/>
        <w:t xml:space="preserve"> </w:t>
      </w:r>
      <w:r>
        <w:rPr>
          <w:rStyle w:val="Funotenanker"/>
        </w:rPr>
        <w:footnoteReference w:customMarkFollows="1" w:id="586"/>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587"/>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588"/>
        <w:t>q</w:t>
      </w:r>
      <w:r>
        <w:rPr/>
        <w:t xml:space="preserve"> um ihn mit Herrlichkeit </w:t>
      </w:r>
      <w:r>
        <w:rPr>
          <w:color w:val="808080"/>
        </w:rPr>
        <w:t>(Hoheit, Würde, Ehre)</w:t>
      </w:r>
      <w:r>
        <w:rPr/>
        <w:t xml:space="preserve"> und Pracht</w:t>
      </w:r>
      <w:r>
        <w:rPr>
          <w:rStyle w:val="Funotenanker"/>
        </w:rPr>
        <w:footnoteReference w:customMarkFollows="1" w:id="589"/>
        <w:t>r</w:t>
      </w:r>
      <w:r>
        <w:rPr/>
        <w:t xml:space="preserve"> zu krönen </w:t>
      </w:r>
      <w:r>
        <w:rPr>
          <w:color w:val="808080"/>
        </w:rPr>
        <w:t>(segnen, hast ihn mit Herrlichkeit und Pracht gekrönt)</w:t>
      </w:r>
      <w:r>
        <w:rPr/>
        <w:t>.</w:t>
      </w:r>
      <w:r>
        <w:rPr>
          <w:rStyle w:val="Funotenanker"/>
        </w:rPr>
        <w:footnoteReference w:customMarkFollows="1" w:id="590"/>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591"/>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592"/>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593"/>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594"/>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9]]Kapitel 9</w:t>
      </w:r>
    </w:p>
    <w:p>
      <w:pPr>
        <w:pStyle w:val="Textkrper"/>
        <w:rPr/>
      </w:pPr>
      <w:r>
        <w:rPr/>
        <w:t xml:space="preserve">Die Psalmen 9 und 10 gehören eigentlich zusammen; gemeinsam bilden sie das erste Akrostichon im Psalmenbuch: Jede zweite Doppelzeile soll mit dem nächsten Buchstaben des hebräischen Alphabets beginnen. Das besondere an Ps 9-10 ist aber, dass diese Form nur sehr „unsauber“ durchgehalten wird; v.a. im zweiten Teil - Psalm 10 - wird zwischendurch die alphabetische Ordnung fast völlig ausgesetzt. Diese formale Besonderheit stimmt zusammen mit der Aussage des Psalms (wir folgen hier der Deutung von Benun 2006): Ps 9-10 gehören zu den sog. „Feindklagen“: Ein Beter wird von Feinden bedrängt und beklagt sich darüber bei Gott, damit dieser ihm hilft. V. 1 nennt man die „Psalmenüberschrift“. Diese Psalmenüberschriften wurden nachträglich zu den Psalmen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Mit Vv. 2-13 beginnt der eigentliche Psalm, und zwar mit dem „Lobgelübde“: Der Beter hat eine Bitte, und für den Fall, dass Gott ihn erhört, gelobt er, ihn dann vor versammelter Kultgemeinde zu preisen. Das ist ungewöhnlich: Solche Lobgelübde finden sich häufiger in den Klagepsalmen (s, z.B. Ps 13,6; 22,24f.; 59,17f.), doch nie am Anfang eines Psalms und nie mit einer derart breit ausgeführten Kostprobe des später zu leistenden Lobes wie in Vv. 4-13. In Vv. 14 folgt dann erst die „Bitte“, die in Vv. 18-21 noch einmal breiter ausgeführt wird: </w:t>
      </w:r>
      <w:r>
        <w:rPr>
          <w:rStyle w:val="Funotenanker"/>
        </w:rPr>
        <w:footnoteReference w:customMarkFollows="1" w:id="595"/>
        <w:t>a</w:t>
      </w:r>
      <w:r>
        <w:rPr/>
        <w:t xml:space="preserve"> soll sich seiner erbarmen, da es ihm aufgrund seiner Hasser elend geht. In Vv. 15-17 folgt darauf ein weiteres Lobgelübde, hier eindeutig als Zweck formuliert: Die beiden Kostproben des künftigen Lobes sollen Gott motivieren, der Bitte des Psalmisten in V. 14 nachzukommen. Mit diesem Inhalt stimmt die Form des Akrostichons überein: Bis V. 17 sind trotz aktueller Bedrängnis (s. V. 14) Akrostichon und Welt noch in Ordnung, der Beter blickt im Zwiegespräch mit Gott auf seine Rettung voraus und breitet sozusagen in „akrostisch gefälliger Form“ sein Lobesversprechen vor ihm aus. Doch in V. 19 beginnt mit dem Vorwurf an </w:t>
      </w:r>
      <w:r>
        <w:rPr>
          <w:rStyle w:val="Funotenanker"/>
        </w:rPr>
        <w:footnoteReference w:customMarkFollows="1" w:id="596"/>
        <w:t>b</w:t>
      </w:r>
      <w:r>
        <w:rPr/>
        <w:t xml:space="preserve"> („Ach!, nicht auf immer werde vergessen der Arme!“) die schöne Ordnung sich auf einmal aufzulösen: Der Vorwurf bricht eine Doppelzeile zu früh aus dem Beter heraus, und zwei Doppelzeilen später findet sich der nächste erwartete Buchstabe nicht. Mit dem Einsatz von Vorwurf und Klage beginnt auch das Akrostichon zu zerfasern, was sich in Psalm 10 fortsetzen wird. </w:t>
        <w:br/>
        <w:br/>
        <w:t>[[@BibleTOBIBLE:Ps 9:1]]</w:t>
      </w:r>
      <w:r>
        <w:rPr>
          <w:b/>
        </w:rPr>
        <w:t>1</w:t>
      </w:r>
      <w:r>
        <w:rPr/>
        <w:t xml:space="preserve"> {{field-on:bible}} </w:t>
      </w:r>
      <w:r>
        <w:rPr>
          <w:rStyle w:val="Funotenanker"/>
        </w:rPr>
        <w:footnoteReference w:customMarkFollows="1" w:id="597"/>
        <w:t>Status</w:t>
      </w:r>
      <w:r>
        <w:rPr/>
        <w:t xml:space="preserve"> ''Für den Chorleiter </w:t>
      </w:r>
      <w:r>
        <w:rPr>
          <w:color w:val="808080"/>
        </w:rPr>
        <w:t>(Dirigenten, Singenden, Musizierenden)</w:t>
      </w:r>
      <w:r>
        <w:rPr/>
        <w:t>''.</w:t>
      </w:r>
      <w:r>
        <w:rPr>
          <w:rStyle w:val="Funotenanker"/>
        </w:rPr>
        <w:footnoteReference w:customMarkFollows="1" w:id="598"/>
        <w:t>c</w:t>
      </w:r>
      <w:r>
        <w:rPr/>
        <w:t xml:space="preserve"> `almut labben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„`almut labben“)</w:t>
      </w:r>
      <w:r>
        <w:rPr/>
        <w:t>''</w:t>
      </w:r>
      <w:r>
        <w:rPr>
          <w:rStyle w:val="Funotenanker"/>
        </w:rPr>
        <w:footnoteReference w:customMarkFollows="1" w:id="599"/>
        <w:t>d</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9:2]]</w:t>
      </w:r>
      <w:r>
        <w:rPr>
          <w:b/>
        </w:rPr>
        <w:t>2</w:t>
      </w:r>
      <w:r>
        <w:rPr/>
        <w:t xml:space="preserve"> {{field-on:bible}} </w:t>
        <w:br/>
      </w:r>
      <w:r>
        <w:rPr>
          <w:b/>
          <w:color w:val="808080"/>
        </w:rPr>
        <w:t>[</w:t>
      </w:r>
      <w:r>
        <w:rPr/>
        <w:t>'''A'''</w:t>
      </w:r>
      <w:r>
        <w:rPr>
          <w:b/>
          <w:color w:val="808080"/>
        </w:rPr>
        <w:t>]</w:t>
      </w:r>
      <w:r>
        <w:rPr/>
        <w:t xml:space="preserve"> </w:t>
      </w:r>
      <w:r>
        <w:rPr>
          <w:rStyle w:val="Funotenanker"/>
        </w:rPr>
        <w:footnoteReference w:customMarkFollows="1" w:id="600"/>
        <w:t>e</w:t>
      </w:r>
      <w:r>
        <w:rPr/>
        <w:t xml:space="preserve"> Ich will </w:t>
      </w:r>
      <w:r>
        <w:rPr>
          <w:color w:val="808080"/>
        </w:rPr>
        <w:t>(werde)</w:t>
      </w:r>
      <w:r>
        <w:rPr/>
        <w:t xml:space="preserve"> </w:t>
      </w:r>
      <w:r>
        <w:rPr>
          <w:smallCaps/>
          <w:color w:val="FF0000"/>
        </w:rPr>
        <w:t>JHWH</w:t>
      </w:r>
      <w:r>
        <w:rPr/>
        <w:t xml:space="preserve"> preisen </w:t>
      </w:r>
      <w:r>
        <w:rPr>
          <w:color w:val="808080"/>
        </w:rPr>
        <w:t>(danken, bekennen)</w:t>
      </w:r>
      <w:r>
        <w:rPr/>
        <w:t xml:space="preserve"> </w:t>
      </w:r>
      <w:r>
        <w:rPr>
          <w:rStyle w:val="Funotenanker"/>
        </w:rPr>
        <w:footnoteReference w:customMarkFollows="1" w:id="601"/>
        <w:t>f</w:t>
      </w:r>
      <w:r>
        <w:rPr/>
        <w:t xml:space="preserve"> mit meinem ganzen HerzenIch will erzählen all' deine Wundertaten.</w:t>
        <w:br/>
        <w:t xml:space="preserve">{{field-off:bible}} </w:t>
        <w:br/>
        <w:t>[[@BibleTOBIBLE:Ps 9:3]]</w:t>
      </w:r>
      <w:r>
        <w:rPr>
          <w:b/>
        </w:rPr>
        <w:t>3</w:t>
      </w:r>
      <w:r>
        <w:rPr/>
        <w:t xml:space="preserve"> {{field-on:bible}} </w:t>
        <w:br/>
        <w:t xml:space="preserve">Ich will mich freuen und jubeln über dich,Ich will deinen Namen </w:t>
      </w:r>
      <w:r>
        <w:rPr>
          <w:color w:val="808080"/>
        </w:rPr>
        <w:t>(dich)</w:t>
      </w:r>
      <w:r>
        <w:rPr/>
        <w:t xml:space="preserve"> </w:t>
      </w:r>
      <w:r>
        <w:rPr>
          <w:rStyle w:val="Funotenanker"/>
        </w:rPr>
        <w:footnoteReference w:customMarkFollows="1" w:id="602"/>
        <w:t>g</w:t>
      </w:r>
      <w:r>
        <w:rPr/>
        <w:t xml:space="preserve"> besingen </w:t>
      </w:r>
      <w:r>
        <w:rPr>
          <w:color w:val="808080"/>
        </w:rPr>
        <w:t>(bespielen)</w:t>
      </w:r>
      <w:r>
        <w:rPr/>
        <w:t>, Höchster</w:t>
      </w:r>
      <w:r>
        <w:rPr>
          <w:b/>
          <w:color w:val="808080"/>
        </w:rPr>
        <w:t>[</w:t>
      </w:r>
      <w:r>
        <w:rPr/>
        <w:t>, mit den Worten</w:t>
      </w:r>
      <w:r>
        <w:rPr>
          <w:b/>
          <w:color w:val="808080"/>
        </w:rPr>
        <w:t>]</w:t>
      </w:r>
      <w:r>
        <w:rPr/>
        <w:t>:</w:t>
      </w:r>
      <w:r>
        <w:rPr>
          <w:rStyle w:val="Funotenanker"/>
        </w:rPr>
        <w:footnoteReference w:customMarkFollows="1" w:id="603"/>
        <w:t>h</w:t>
      </w:r>
      <w:r>
        <w:rPr/>
        <w:t xml:space="preserve"> </w:t>
      </w:r>
      <w:r>
        <w:rPr>
          <w:rStyle w:val="Funotenanker"/>
        </w:rPr>
        <w:footnoteReference w:customMarkFollows="1" w:id="604"/>
        <w:t>i</w:t>
      </w:r>
      <w:r>
        <w:rPr/>
        <w:t xml:space="preserve"> </w:t>
        <w:br/>
        <w:br/>
        <w:t xml:space="preserve">{{field-off:bible}} </w:t>
        <w:br/>
        <w:t>[[@BibleTOBIBLE:Ps 9:4]]</w:t>
      </w:r>
      <w:r>
        <w:rPr>
          <w:b/>
        </w:rPr>
        <w:t>4</w:t>
      </w:r>
      <w:r>
        <w:rPr/>
        <w:t xml:space="preserve"> {{field-on:bible}} </w:t>
        <w:br/>
      </w:r>
      <w:r>
        <w:rPr>
          <w:b/>
          <w:color w:val="808080"/>
        </w:rPr>
        <w:t>[</w:t>
      </w:r>
      <w:r>
        <w:rPr/>
        <w:t>'''B'''</w:t>
      </w:r>
      <w:r>
        <w:rPr>
          <w:b/>
          <w:color w:val="808080"/>
        </w:rPr>
        <w:t>]</w:t>
      </w:r>
      <w:r>
        <w:rPr/>
        <w:t xml:space="preserve"> „Als meine Feinde zurückwichen,Mussten sie stolpern</w:t>
      </w:r>
      <w:r>
        <w:rPr>
          <w:rStyle w:val="Funotenanker"/>
        </w:rPr>
        <w:footnoteReference w:customMarkFollows="1" w:id="605"/>
        <w:t>j</w:t>
      </w:r>
      <w:r>
        <w:rPr/>
        <w:t xml:space="preserve"> und vor dir</w:t>
      </w:r>
      <w:r>
        <w:rPr>
          <w:rStyle w:val="Funotenanker"/>
        </w:rPr>
        <w:footnoteReference w:customMarkFollows="1" w:id="606"/>
        <w:t>k</w:t>
      </w:r>
      <w:r>
        <w:rPr/>
        <w:t xml:space="preserve"> zugrunde gehen,</w:t>
      </w:r>
      <w:r>
        <w:rPr>
          <w:rStyle w:val="Funotenanker"/>
        </w:rPr>
        <w:footnoteReference w:customMarkFollows="1" w:id="607"/>
        <w:t>l</w:t>
      </w:r>
      <w:r>
        <w:rPr/>
        <w:t xml:space="preserve"> </w:t>
        <w:br/>
        <w:t xml:space="preserve">{{field-off:bible}} </w:t>
        <w:br/>
        <w:t>[[@BibleTOBIBLE:Ps 9:5]]</w:t>
      </w:r>
      <w:r>
        <w:rPr>
          <w:b/>
        </w:rPr>
        <w:t>5</w:t>
      </w:r>
      <w:r>
        <w:rPr/>
        <w:t xml:space="preserve"> {{field-on:bible}} </w:t>
        <w:br/>
        <w:t xml:space="preserve">Denn du hast mir Recht und mir Gerechtigkeit geschafft,saßest </w:t>
      </w:r>
      <w:r>
        <w:rPr>
          <w:color w:val="808080"/>
        </w:rPr>
        <w:t>(hast dich gesetzt)</w:t>
      </w:r>
      <w:r>
        <w:rPr/>
        <w:t xml:space="preserve"> auf dem Thron als gerechter Richter</w:t>
      </w:r>
      <w:r>
        <w:rPr>
          <w:rStyle w:val="Funotenanker"/>
        </w:rPr>
        <w:footnoteReference w:customMarkFollows="1" w:id="608"/>
        <w:t>m</w:t>
      </w:r>
      <w:r>
        <w:rPr/>
        <w:t xml:space="preserve"> </w:t>
      </w:r>
      <w:r>
        <w:rPr>
          <w:color w:val="808080"/>
        </w:rPr>
        <w:t xml:space="preserve">(, </w:t>
      </w:r>
      <w:r>
        <w:rPr>
          <w:b/>
          <w:color w:val="808080"/>
        </w:rPr>
        <w:t>[</w:t>
      </w:r>
      <w:r>
        <w:rPr>
          <w:color w:val="808080"/>
        </w:rPr>
        <w:t>hast</w:t>
      </w:r>
      <w:r>
        <w:rPr>
          <w:b/>
          <w:color w:val="808080"/>
        </w:rPr>
        <w:t>]</w:t>
      </w:r>
      <w:r>
        <w:rPr>
          <w:color w:val="808080"/>
        </w:rPr>
        <w:t xml:space="preserve"> gerecht gerichtet)</w:t>
      </w:r>
      <w:r>
        <w:rPr/>
        <w:t>.</w:t>
        <w:br/>
        <w:t xml:space="preserve">{{field-off:bible}} </w:t>
        <w:br/>
        <w:t>[[@BibleTOBIBLE:Ps 9:6]]</w:t>
      </w:r>
      <w:r>
        <w:rPr>
          <w:b/>
        </w:rPr>
        <w:t>6</w:t>
      </w:r>
      <w:r>
        <w:rPr/>
        <w:t xml:space="preserve"> {{field-on:bible}} </w:t>
        <w:br/>
      </w:r>
      <w:r>
        <w:rPr>
          <w:b/>
          <w:color w:val="808080"/>
        </w:rPr>
        <w:t>[</w:t>
      </w:r>
      <w:r>
        <w:rPr/>
        <w:t>'''C'''</w:t>
      </w:r>
      <w:r>
        <w:rPr>
          <w:b/>
          <w:color w:val="808080"/>
        </w:rPr>
        <w:t>]</w:t>
      </w:r>
      <w:r>
        <w:rPr/>
        <w:t xml:space="preserve"> Du hast Nationen</w:t>
      </w:r>
      <w:r>
        <w:rPr>
          <w:rStyle w:val="Funotenanker"/>
        </w:rPr>
        <w:footnoteReference w:customMarkFollows="1" w:id="609"/>
        <w:t>n</w:t>
      </w:r>
      <w:r>
        <w:rPr/>
        <w:t xml:space="preserve"> niedergemacht </w:t>
      </w:r>
      <w:r>
        <w:rPr>
          <w:color w:val="808080"/>
        </w:rPr>
        <w:t>(gescholten)</w:t>
      </w:r>
      <w:r>
        <w:rPr/>
        <w:t>:</w:t>
      </w:r>
      <w:r>
        <w:rPr>
          <w:rStyle w:val="Funotenanker"/>
        </w:rPr>
        <w:footnoteReference w:customMarkFollows="1" w:id="610"/>
        <w:t>o</w:t>
      </w:r>
      <w:r>
        <w:rPr/>
        <w:t xml:space="preserve"> Einen Schlechten </w:t>
      </w:r>
      <w:r>
        <w:rPr>
          <w:color w:val="808080"/>
        </w:rPr>
        <w:t>(Schlechte)</w:t>
      </w:r>
      <w:r>
        <w:rPr/>
        <w:t xml:space="preserve"> </w:t>
      </w:r>
      <w:r>
        <w:rPr>
          <w:rStyle w:val="Funotenanker"/>
        </w:rPr>
        <w:footnoteReference w:customMarkFollows="1" w:id="611"/>
        <w:t>p</w:t>
      </w:r>
      <w:r>
        <w:rPr/>
        <w:t xml:space="preserve"> ließest du zugrunde gehen,Ihren Namen hast du ausgelöscht</w:t>
      </w:r>
      <w:r>
        <w:rPr>
          <w:rStyle w:val="Funotenanker"/>
        </w:rPr>
        <w:footnoteReference w:customMarkFollows="1" w:id="612"/>
        <w:t>q</w:t>
      </w:r>
      <w:r>
        <w:rPr/>
        <w:t xml:space="preserve"> auf immer und </w:t>
      </w:r>
      <w:r>
        <w:rPr>
          <w:b/>
          <w:color w:val="808080"/>
        </w:rPr>
        <w:t>[</w:t>
      </w:r>
      <w:r>
        <w:rPr/>
        <w:t>für alle</w:t>
      </w:r>
      <w:r>
        <w:rPr>
          <w:b/>
          <w:color w:val="808080"/>
        </w:rPr>
        <w:t>]</w:t>
      </w:r>
      <w:r>
        <w:rPr/>
        <w:t xml:space="preserve"> Zeit.</w:t>
        <w:br/>
        <w:t xml:space="preserve">{{field-off:bible}} </w:t>
        <w:br/>
        <w:t>[[@BibleTOBIBLE:Ps 9:7]]</w:t>
      </w:r>
      <w:r>
        <w:rPr>
          <w:b/>
        </w:rPr>
        <w:t>7</w:t>
      </w:r>
      <w:r>
        <w:rPr/>
        <w:t xml:space="preserve"> {{field-on:bible}} </w:t>
        <w:br/>
        <w:t xml:space="preserve">Der Feind - vernichtet sind </w:t>
      </w:r>
      <w:r>
        <w:rPr>
          <w:b/>
          <w:color w:val="808080"/>
        </w:rPr>
        <w:t>[</w:t>
      </w:r>
      <w:r>
        <w:rPr/>
        <w:t>seine</w:t>
      </w:r>
      <w:r>
        <w:rPr>
          <w:b/>
          <w:color w:val="808080"/>
        </w:rPr>
        <w:t>]</w:t>
      </w:r>
      <w:r>
        <w:rPr/>
        <w:t xml:space="preserve"> Ruinen </w:t>
      </w:r>
      <w:r>
        <w:rPr>
          <w:rStyle w:val="Funotenanker"/>
        </w:rPr>
        <w:footnoteReference w:customMarkFollows="1" w:id="613"/>
        <w:t>r</w:t>
      </w:r>
      <w:r>
        <w:rPr/>
        <w:t xml:space="preserve">auf ewig;Und Gegner </w:t>
      </w:r>
      <w:r>
        <w:rPr>
          <w:color w:val="808080"/>
        </w:rPr>
        <w:t>(Städte)</w:t>
      </w:r>
      <w:r>
        <w:rPr/>
        <w:t xml:space="preserve"> </w:t>
      </w:r>
      <w:r>
        <w:rPr>
          <w:rStyle w:val="Funotenanker"/>
        </w:rPr>
        <w:footnoteReference w:customMarkFollows="1" w:id="614"/>
        <w:t>s</w:t>
      </w:r>
      <w:r>
        <w:rPr/>
        <w:t xml:space="preserve"> hast du entwurzelt </w:t>
      </w:r>
      <w:r>
        <w:rPr>
          <w:color w:val="808080"/>
        </w:rPr>
        <w:t>(zerstört?)</w:t>
      </w:r>
      <w:r>
        <w:rPr/>
        <w:t xml:space="preserve">, was an sie erinnert, ist zugrunde gegangen. </w:t>
      </w:r>
      <w:r>
        <w:rPr>
          <w:strike/>
          <w:color w:val="808080"/>
        </w:rPr>
        <w:t>{Sie}</w:t>
      </w:r>
      <w:r>
        <w:rPr/>
        <w:t xml:space="preserve"> </w:t>
      </w:r>
      <w:r>
        <w:rPr>
          <w:rStyle w:val="Funotenanker"/>
        </w:rPr>
        <w:footnoteReference w:customMarkFollows="1" w:id="615"/>
        <w:t>t</w:t>
      </w:r>
      <w:r>
        <w:rPr/>
        <w:t xml:space="preserve"> </w:t>
        <w:br/>
        <w:t xml:space="preserve">{{field-off:bible}} </w:t>
        <w:br/>
        <w:t>[[@BibleTOBIBLE:Ps 9:8]]</w:t>
      </w:r>
      <w:r>
        <w:rPr>
          <w:b/>
        </w:rPr>
        <w:t>8</w:t>
      </w:r>
      <w:r>
        <w:rPr/>
        <w:t xml:space="preserve"> {{field-on:bible}} </w:t>
        <w:br/>
      </w:r>
      <w:r>
        <w:rPr>
          <w:b/>
          <w:color w:val="808080"/>
        </w:rPr>
        <w:t>[</w:t>
      </w:r>
      <w:r>
        <w:rPr/>
        <w:t xml:space="preserve">'''E''' </w:t>
      </w:r>
      <w:r>
        <w:rPr>
          <w:color w:val="808080"/>
        </w:rPr>
        <w:t>(?)</w:t>
      </w:r>
      <w:r>
        <w:rPr>
          <w:b/>
          <w:color w:val="808080"/>
        </w:rPr>
        <w:t>]</w:t>
      </w:r>
      <w:r>
        <w:rPr/>
        <w:t xml:space="preserve"> </w:t>
      </w:r>
      <w:r>
        <w:rPr>
          <w:b/>
          <w:color w:val="808080"/>
        </w:rPr>
        <w:t>[</w:t>
      </w:r>
      <w:r>
        <w:rPr/>
        <w:t>Sie!</w:t>
      </w:r>
      <w:r>
        <w:rPr>
          <w:b/>
          <w:color w:val="808080"/>
        </w:rPr>
        <w:t>]</w:t>
      </w:r>
      <w:r>
        <w:rPr/>
        <w:t xml:space="preserve"> Doch </w:t>
      </w:r>
      <w:r>
        <w:rPr>
          <w:smallCaps/>
          <w:color w:val="FF0000"/>
        </w:rPr>
        <w:t>JHWH</w:t>
      </w:r>
      <w:r>
        <w:rPr/>
        <w:t xml:space="preserve"> wird für immer thronen.Er hat aufgerichtet seinen Thron zum Gericht,</w:t>
        <w:br/>
        <w:t xml:space="preserve">{{field-off:bible}} </w:t>
        <w:br/>
        <w:t>[[@BibleTOBIBLE:Ps 9:9]]</w:t>
      </w:r>
      <w:r>
        <w:rPr>
          <w:b/>
        </w:rPr>
        <w:t>9</w:t>
      </w:r>
      <w:r>
        <w:rPr/>
        <w:t xml:space="preserve"> {{field-on:bible}} </w:t>
        <w:br/>
        <w:t xml:space="preserve">Um die Welt gerecht zu richten </w:t>
      </w:r>
      <w:r>
        <w:rPr>
          <w:color w:val="808080"/>
        </w:rPr>
        <w:t>(und er wird die Welt gerecht richten)</w:t>
      </w:r>
      <w:r>
        <w:rPr/>
        <w:t xml:space="preserve">,Gericht zu halten </w:t>
      </w:r>
      <w:r>
        <w:rPr>
          <w:color w:val="808080"/>
        </w:rPr>
        <w:t>(Gericht halten wird er)</w:t>
      </w:r>
      <w:r>
        <w:rPr/>
        <w:t xml:space="preserve"> über die Völker recht,</w:t>
        <w:br/>
        <w:t xml:space="preserve">{{field-off:bible}} </w:t>
        <w:br/>
        <w:t>[[@BibleTOBIBLE:Ps 9:10]]</w:t>
      </w:r>
      <w:r>
        <w:rPr>
          <w:b/>
        </w:rPr>
        <w:t>10</w:t>
      </w:r>
      <w:r>
        <w:rPr/>
        <w:t xml:space="preserve"> {{field-on:bible}} </w:t>
        <w:br/>
      </w:r>
      <w:r>
        <w:rPr>
          <w:b/>
          <w:color w:val="808080"/>
        </w:rPr>
        <w:t>[</w:t>
      </w:r>
      <w:r>
        <w:rPr/>
        <w:t>'''F'''</w:t>
      </w:r>
      <w:r>
        <w:rPr>
          <w:b/>
          <w:color w:val="808080"/>
        </w:rPr>
        <w:t>]</w:t>
      </w:r>
      <w:r>
        <w:rPr/>
        <w:t xml:space="preserve"> Damit </w:t>
      </w:r>
      <w:r>
        <w:rPr>
          <w:smallCaps/>
          <w:color w:val="FF0000"/>
        </w:rPr>
        <w:t>JHWH</w:t>
      </w:r>
      <w:r>
        <w:rPr/>
        <w:t xml:space="preserve"> sei </w:t>
      </w:r>
      <w:r>
        <w:rPr>
          <w:color w:val="808080"/>
        </w:rPr>
        <w:t xml:space="preserve">(und </w:t>
      </w:r>
      <w:r>
        <w:rPr>
          <w:smallCaps/>
          <w:color w:val="FF0000"/>
        </w:rPr>
        <w:t>JHWH</w:t>
      </w:r>
      <w:r>
        <w:rPr>
          <w:color w:val="808080"/>
        </w:rPr>
        <w:t xml:space="preserve"> soll sein)</w:t>
      </w:r>
      <w:r>
        <w:rPr/>
        <w:t xml:space="preserve"> eine Zuflucht für die Bedrückten,Eine Zuflucht für Zeiten der Bedrängnis,</w:t>
        <w:br/>
        <w:t xml:space="preserve">{{field-off:bible}} </w:t>
        <w:br/>
        <w:t>[[@BibleTOBIBLE:Ps 9:11]]</w:t>
      </w:r>
      <w:r>
        <w:rPr>
          <w:b/>
        </w:rPr>
        <w:t>11</w:t>
      </w:r>
      <w:r>
        <w:rPr/>
        <w:t xml:space="preserve"> {{field-on:bible}} </w:t>
        <w:br/>
        <w:t xml:space="preserve">Auf dass zu dir flüchten können </w:t>
      </w:r>
      <w:r>
        <w:rPr>
          <w:color w:val="808080"/>
        </w:rPr>
        <w:t>(und zu dir werden/können/dürfen flüchten)</w:t>
      </w:r>
      <w:r>
        <w:rPr/>
        <w:t xml:space="preserve"> </w:t>
      </w:r>
      <w:r>
        <w:rPr>
          <w:b/>
          <w:color w:val="808080"/>
        </w:rPr>
        <w:t>[</w:t>
      </w:r>
      <w:r>
        <w:rPr/>
        <w:t>jene</w:t>
      </w:r>
      <w:r>
        <w:rPr>
          <w:b/>
          <w:color w:val="808080"/>
        </w:rPr>
        <w:t>]</w:t>
      </w:r>
      <w:r>
        <w:rPr/>
        <w:t>, die deinen Namen kennen,</w:t>
      </w:r>
      <w:r>
        <w:rPr>
          <w:rStyle w:val="Funotenanker"/>
        </w:rPr>
        <w:footnoteReference w:customMarkFollows="1" w:id="616"/>
        <w:t>u</w:t>
      </w:r>
      <w:r>
        <w:rPr/>
        <w:t>Weil du nicht im Stich lässt, die dich suchen,</w:t>
      </w:r>
      <w:r>
        <w:rPr>
          <w:rStyle w:val="Funotenanker"/>
        </w:rPr>
        <w:footnoteReference w:customMarkFollows="1" w:id="617"/>
        <w:t>v</w:t>
      </w:r>
      <w:r>
        <w:rPr/>
        <w:t xml:space="preserve"> </w:t>
      </w:r>
      <w:r>
        <w:rPr>
          <w:smallCaps/>
          <w:color w:val="FF0000"/>
        </w:rPr>
        <w:t>JHWH</w:t>
      </w:r>
      <w:r>
        <w:rPr/>
        <w:t>.</w:t>
      </w:r>
      <w:r>
        <w:rPr>
          <w:rStyle w:val="Funotenanker"/>
        </w:rPr>
        <w:footnoteReference w:customMarkFollows="1" w:id="618"/>
        <w:t>w</w:t>
      </w:r>
      <w:r>
        <w:rPr/>
        <w:t xml:space="preserve"> </w:t>
        <w:br/>
        <w:t xml:space="preserve">{{field-off:bible}} </w:t>
        <w:br/>
        <w:t>[[@BibleTOBIBLE:Ps 9:12]]</w:t>
      </w:r>
      <w:r>
        <w:rPr>
          <w:b/>
        </w:rPr>
        <w:t>12</w:t>
      </w:r>
      <w:r>
        <w:rPr/>
        <w:t xml:space="preserve"> {{field-on:bible}} </w:t>
        <w:br/>
      </w:r>
      <w:r>
        <w:rPr>
          <w:b/>
          <w:color w:val="808080"/>
        </w:rPr>
        <w:t>[</w:t>
      </w:r>
      <w:r>
        <w:rPr/>
        <w:t>'''G'''</w:t>
      </w:r>
      <w:r>
        <w:rPr>
          <w:b/>
          <w:color w:val="808080"/>
        </w:rPr>
        <w:t>]</w:t>
      </w:r>
      <w:r>
        <w:rPr/>
        <w:t xml:space="preserve"> Singt </w:t>
      </w:r>
      <w:r>
        <w:rPr>
          <w:smallCaps/>
          <w:color w:val="FF0000"/>
        </w:rPr>
        <w:t>JHWH</w:t>
      </w:r>
      <w:r>
        <w:rPr/>
        <w:t>, der auf dem Zion thront,</w:t>
      </w:r>
      <w:r>
        <w:rPr>
          <w:rStyle w:val="Funotenanker"/>
        </w:rPr>
        <w:footnoteReference w:customMarkFollows="1" w:id="619"/>
        <w:t>x</w:t>
      </w:r>
      <w:r>
        <w:rPr/>
        <w:t>Verkündet den Völkern seine Taten!</w:t>
        <w:br/>
        <w:t xml:space="preserve">{{field-off:bible}} </w:t>
        <w:br/>
        <w:t>[[@BibleTOBIBLE:Ps 9:13]]</w:t>
      </w:r>
      <w:r>
        <w:rPr>
          <w:b/>
        </w:rPr>
        <w:t>13</w:t>
      </w:r>
      <w:r>
        <w:rPr/>
        <w:t xml:space="preserve"> {{field-on:bible}} </w:t>
        <w:br/>
        <w:t xml:space="preserve">Denn </w:t>
      </w:r>
      <w:r>
        <w:rPr>
          <w:b/>
          <w:color w:val="808080"/>
        </w:rPr>
        <w:t>[</w:t>
      </w:r>
      <w:r>
        <w:rPr/>
        <w:t xml:space="preserve">wie ein </w:t>
      </w:r>
      <w:r>
        <w:rPr>
          <w:color w:val="808080"/>
        </w:rPr>
        <w:t>(als)</w:t>
      </w:r>
      <w:r>
        <w:rPr>
          <w:b/>
          <w:color w:val="808080"/>
        </w:rPr>
        <w:t>]</w:t>
      </w:r>
      <w:r>
        <w:rPr/>
        <w:t xml:space="preserve"> Sucher von Blut</w:t>
      </w:r>
      <w:r>
        <w:rPr>
          <w:rStyle w:val="Funotenanker"/>
        </w:rPr>
        <w:footnoteReference w:customMarkFollows="1" w:id="620"/>
        <w:t>y</w:t>
      </w:r>
      <w:r>
        <w:rPr/>
        <w:t xml:space="preserve"> </w:t>
      </w:r>
      <w:r>
        <w:rPr>
          <w:color w:val="808080"/>
        </w:rPr>
        <w:t>(Denn er sucht Blut,)</w:t>
      </w:r>
      <w:r>
        <w:rPr/>
        <w:t xml:space="preserve"> denkt er an sie,</w:t>
      </w:r>
      <w:r>
        <w:rPr>
          <w:rStyle w:val="Funotenanker"/>
        </w:rPr>
        <w:footnoteReference w:customMarkFollows="1" w:id="621"/>
        <w:t>z</w:t>
      </w:r>
      <w:r>
        <w:rPr/>
        <w:t>Er vergisst nicht</w:t>
      </w:r>
      <w:r>
        <w:rPr>
          <w:rStyle w:val="Funotenanker"/>
        </w:rPr>
        <w:footnoteReference w:customMarkFollows="1" w:id="622"/>
        <w:t>aa</w:t>
      </w:r>
      <w:r>
        <w:rPr/>
        <w:t xml:space="preserve"> das Rufen der Elenden </w:t>
      </w:r>
      <w:r>
        <w:rPr>
          <w:color w:val="808080"/>
        </w:rPr>
        <w:t>(Armen)</w:t>
      </w:r>
      <w:r>
        <w:rPr/>
        <w:t>.“</w:t>
      </w:r>
      <w:r>
        <w:rPr>
          <w:rStyle w:val="Funotenanker"/>
        </w:rPr>
        <w:footnoteReference w:customMarkFollows="1" w:id="623"/>
        <w:t>ab</w:t>
      </w:r>
      <w:r>
        <w:rPr/>
        <w:t xml:space="preserve"> </w:t>
        <w:br/>
        <w:br/>
        <w:t xml:space="preserve">{{field-off:bible}} </w:t>
        <w:br/>
        <w:t>[[@BibleTOBIBLE:Ps 9:14]]</w:t>
      </w:r>
      <w:r>
        <w:rPr>
          <w:b/>
        </w:rPr>
        <w:t>14</w:t>
      </w:r>
      <w:r>
        <w:rPr/>
        <w:t xml:space="preserve"> {{field-on:bible}} </w:t>
        <w:br/>
      </w:r>
      <w:r>
        <w:rPr>
          <w:b/>
          <w:color w:val="808080"/>
        </w:rPr>
        <w:t>[</w:t>
      </w:r>
      <w:r>
        <w:rPr/>
        <w:t>'''H'''</w:t>
      </w:r>
      <w:r>
        <w:rPr>
          <w:b/>
          <w:color w:val="808080"/>
        </w:rPr>
        <w:t>]</w:t>
      </w:r>
      <w:r>
        <w:rPr/>
        <w:t xml:space="preserve"> Sei mir gnädig, </w:t>
      </w:r>
      <w:r>
        <w:rPr>
          <w:smallCaps/>
          <w:color w:val="FF0000"/>
        </w:rPr>
        <w:t>JHWH</w:t>
      </w:r>
      <w:r>
        <w:rPr/>
        <w:t>! Sieh auf mein Elend</w:t>
      </w:r>
      <w:r>
        <w:rPr>
          <w:rStyle w:val="Funotenanker"/>
        </w:rPr>
        <w:footnoteReference w:customMarkFollows="1" w:id="624"/>
        <w:t>ac</w:t>
      </w:r>
      <w:r>
        <w:rPr/>
        <w:t xml:space="preserve"> von meinen Hassern,Indem du mich emporhebst </w:t>
      </w:r>
      <w:r>
        <w:rPr>
          <w:color w:val="808080"/>
        </w:rPr>
        <w:t>(</w:t>
      </w:r>
      <w:r>
        <w:rPr>
          <w:b/>
          <w:color w:val="808080"/>
        </w:rPr>
        <w:t>[</w:t>
      </w:r>
      <w:r>
        <w:rPr>
          <w:color w:val="808080"/>
        </w:rPr>
        <w:t>du</w:t>
      </w:r>
      <w:r>
        <w:rPr>
          <w:b/>
          <w:color w:val="808080"/>
        </w:rPr>
        <w:t>]</w:t>
      </w:r>
      <w:r>
        <w:rPr>
          <w:color w:val="808080"/>
        </w:rPr>
        <w:t>, der du mich emporhebst/mich emporgehoben hast/</w:t>
      </w:r>
      <w:r>
        <w:rPr>
          <w:b/>
          <w:color w:val="808080"/>
        </w:rPr>
        <w:t>[</w:t>
      </w:r>
      <w:r>
        <w:rPr>
          <w:color w:val="808080"/>
        </w:rPr>
        <w:t>allein</w:t>
      </w:r>
      <w:r>
        <w:rPr>
          <w:b/>
          <w:color w:val="808080"/>
        </w:rPr>
        <w:t>]</w:t>
      </w:r>
      <w:r>
        <w:rPr>
          <w:color w:val="808080"/>
        </w:rPr>
        <w:t xml:space="preserve"> mich emporheben kann)</w:t>
      </w:r>
      <w:r>
        <w:rPr/>
        <w:t xml:space="preserve"> von den Toren des Todes,</w:t>
      </w:r>
      <w:r>
        <w:rPr>
          <w:rStyle w:val="Funotenanker"/>
        </w:rPr>
        <w:footnoteReference w:customMarkFollows="1" w:id="625"/>
        <w:t>ad</w:t>
      </w:r>
      <w:r>
        <w:rPr/>
        <w:t xml:space="preserve"> </w:t>
        <w:br/>
        <w:t xml:space="preserve">{{field-off:bible}} </w:t>
        <w:br/>
        <w:t>[[@BibleTOBIBLE:Ps 9:15]]</w:t>
      </w:r>
      <w:r>
        <w:rPr>
          <w:b/>
        </w:rPr>
        <w:t>15</w:t>
      </w:r>
      <w:r>
        <w:rPr/>
        <w:t xml:space="preserve"> {{field-on:bible}} </w:t>
        <w:br/>
        <w:t>Damit ich Lobpreisungen auf dich äußern kann in den Toren der Tochter Zion</w:t>
      </w:r>
      <w:r>
        <w:rPr>
          <w:rStyle w:val="Funotenanker"/>
        </w:rPr>
        <w:footnoteReference w:customMarkFollows="1" w:id="626"/>
        <w:t>ae</w:t>
      </w:r>
      <w:r>
        <w:rPr/>
        <w:t xml:space="preserve">und jubeln kann über </w:t>
      </w:r>
      <w:r>
        <w:rPr>
          <w:b/>
          <w:color w:val="808080"/>
        </w:rPr>
        <w:t>[</w:t>
      </w:r>
      <w:r>
        <w:rPr/>
        <w:t>meine</w:t>
      </w:r>
      <w:r>
        <w:rPr>
          <w:b/>
          <w:color w:val="808080"/>
        </w:rPr>
        <w:t>]</w:t>
      </w:r>
      <w:r>
        <w:rPr/>
        <w:t xml:space="preserve"> Rettung durch dich </w:t>
      </w:r>
      <w:r>
        <w:rPr>
          <w:b/>
          <w:color w:val="808080"/>
        </w:rPr>
        <w:t>[</w:t>
      </w:r>
      <w:r>
        <w:rPr/>
        <w:t>mit den Worten</w:t>
      </w:r>
      <w:r>
        <w:rPr>
          <w:b/>
          <w:color w:val="808080"/>
        </w:rPr>
        <w:t>]</w:t>
      </w:r>
      <w:r>
        <w:rPr/>
        <w:t>:</w:t>
        <w:br/>
        <w:br/>
        <w:t xml:space="preserve">{{field-off:bible}} </w:t>
        <w:br/>
        <w:t>[[@BibleTOBIBLE:Ps 9:16]]</w:t>
      </w:r>
      <w:r>
        <w:rPr>
          <w:b/>
        </w:rPr>
        <w:t>16</w:t>
      </w:r>
      <w:r>
        <w:rPr/>
        <w:t xml:space="preserve"> {{field-on:bible}} </w:t>
        <w:br/>
      </w:r>
      <w:r>
        <w:rPr>
          <w:b/>
          <w:color w:val="808080"/>
        </w:rPr>
        <w:t>[</w:t>
      </w:r>
      <w:r>
        <w:rPr/>
        <w:t>'''I'''</w:t>
      </w:r>
      <w:r>
        <w:rPr>
          <w:b/>
          <w:color w:val="808080"/>
        </w:rPr>
        <w:t>]</w:t>
      </w:r>
      <w:r>
        <w:rPr/>
        <w:t xml:space="preserve"> „Versunken sind die Nationen im Schacht, </w:t>
      </w:r>
      <w:r>
        <w:rPr>
          <w:b/>
          <w:color w:val="808080"/>
        </w:rPr>
        <w:t>[</w:t>
      </w:r>
      <w:r>
        <w:rPr/>
        <w:t>den</w:t>
      </w:r>
      <w:r>
        <w:rPr>
          <w:b/>
          <w:color w:val="808080"/>
        </w:rPr>
        <w:t>]</w:t>
      </w:r>
      <w:r>
        <w:rPr/>
        <w:t xml:space="preserve"> sie gemacht haben;Im Netz, das sie versteckt haben, hat sich ihr </w:t>
      </w:r>
      <w:r>
        <w:rPr>
          <w:b/>
          <w:color w:val="808080"/>
        </w:rPr>
        <w:t>[</w:t>
      </w:r>
      <w:r>
        <w:rPr/>
        <w:t>eigener</w:t>
      </w:r>
      <w:r>
        <w:rPr>
          <w:b/>
          <w:color w:val="808080"/>
        </w:rPr>
        <w:t>]</w:t>
      </w:r>
      <w:r>
        <w:rPr/>
        <w:t xml:space="preserve"> Fuß verfangen!</w:t>
        <w:br/>
        <w:t xml:space="preserve">{{field-off:bible}} </w:t>
        <w:br/>
        <w:t>[[@BibleTOBIBLE:Ps 9:17]]</w:t>
      </w:r>
      <w:r>
        <w:rPr>
          <w:b/>
        </w:rPr>
        <w:t>17</w:t>
      </w:r>
      <w:r>
        <w:rPr/>
        <w:t xml:space="preserve"> {{field-on:bible}} </w:t>
        <w:br/>
      </w:r>
      <w:r>
        <w:rPr>
          <w:smallCaps/>
          <w:color w:val="FF0000"/>
        </w:rPr>
        <w:t>JHWH</w:t>
      </w:r>
      <w:r>
        <w:rPr/>
        <w:t xml:space="preserve"> hat sich kundgetan, Gericht hat er geübt:Im Werk seiner </w:t>
      </w:r>
      <w:r>
        <w:rPr>
          <w:b/>
          <w:color w:val="808080"/>
        </w:rPr>
        <w:t>[</w:t>
      </w:r>
      <w:r>
        <w:rPr/>
        <w:t>eigenen</w:t>
      </w:r>
      <w:r>
        <w:rPr>
          <w:b/>
          <w:color w:val="808080"/>
        </w:rPr>
        <w:t>]</w:t>
      </w:r>
      <w:r>
        <w:rPr/>
        <w:t xml:space="preserve"> Hände hat er den Schlechten </w:t>
      </w:r>
      <w:r>
        <w:rPr>
          <w:color w:val="808080"/>
        </w:rPr>
        <w:t>(hat sich der Schlechte)</w:t>
      </w:r>
      <w:r>
        <w:rPr/>
        <w:t xml:space="preserve"> </w:t>
      </w:r>
      <w:r>
        <w:rPr>
          <w:rStyle w:val="Funotenanker"/>
        </w:rPr>
        <w:footnoteReference w:customMarkFollows="1" w:id="627"/>
        <w:t>af</w:t>
      </w:r>
      <w:r>
        <w:rPr/>
        <w:t xml:space="preserve"> verstrickt!“ </w:t>
      </w:r>
      <w:r>
        <w:rPr>
          <w:strike/>
          <w:color w:val="808080"/>
        </w:rPr>
        <w:t>{Higgaion Selah}</w:t>
      </w:r>
      <w:r>
        <w:rPr/>
        <w:t xml:space="preserve"> </w:t>
      </w:r>
      <w:r>
        <w:rPr>
          <w:rStyle w:val="Funotenanker"/>
        </w:rPr>
        <w:footnoteReference w:customMarkFollows="1" w:id="628"/>
        <w:t>ag</w:t>
      </w:r>
      <w:r>
        <w:rPr/>
        <w:t xml:space="preserve"> </w:t>
        <w:br/>
        <w:br/>
        <w:t xml:space="preserve">{{field-off:bible}} </w:t>
        <w:br/>
        <w:t>[[@BibleTOBIBLE:Ps 9:18]]</w:t>
      </w:r>
      <w:r>
        <w:rPr>
          <w:b/>
        </w:rPr>
        <w:t>18</w:t>
      </w:r>
      <w:r>
        <w:rPr/>
        <w:t xml:space="preserve"> {{field-on:bible}} </w:t>
        <w:br/>
      </w:r>
      <w:r>
        <w:rPr>
          <w:b/>
          <w:color w:val="808080"/>
        </w:rPr>
        <w:t>[</w:t>
      </w:r>
      <w:r>
        <w:rPr/>
        <w:t>'''J'''</w:t>
      </w:r>
      <w:r>
        <w:rPr>
          <w:b/>
          <w:color w:val="808080"/>
        </w:rPr>
        <w:t>]</w:t>
      </w:r>
      <w:r>
        <w:rPr/>
        <w:t xml:space="preserve"> Es mögen Schlechte zur </w:t>
      </w:r>
      <w:r>
        <w:rPr>
          <w:strike/>
          <w:color w:val="808080"/>
        </w:rPr>
        <w:t>{gen}</w:t>
      </w:r>
      <w:r>
        <w:rPr/>
        <w:t xml:space="preserve"> </w:t>
      </w:r>
      <w:r>
        <w:rPr>
          <w:rStyle w:val="Funotenanker"/>
        </w:rPr>
        <w:footnoteReference w:customMarkFollows="1" w:id="629"/>
        <w:t>ah</w:t>
      </w:r>
      <w:r>
        <w:rPr/>
        <w:t xml:space="preserve"> Scheol</w:t>
      </w:r>
      <w:r>
        <w:rPr>
          <w:rStyle w:val="Funotenanker"/>
        </w:rPr>
        <w:footnoteReference w:customMarkFollows="1" w:id="630"/>
        <w:t>ai</w:t>
      </w:r>
      <w:r>
        <w:rPr/>
        <w:t xml:space="preserve"> zurückkehren,</w:t>
      </w:r>
      <w:r>
        <w:rPr>
          <w:rStyle w:val="Funotenanker"/>
        </w:rPr>
        <w:footnoteReference w:customMarkFollows="1" w:id="631"/>
        <w:t>aj</w:t>
      </w:r>
      <w:r>
        <w:rPr/>
        <w:t xml:space="preserve">Alle Nationen, die Gott vergessen </w:t>
      </w:r>
      <w:r>
        <w:rPr>
          <w:b/>
          <w:color w:val="808080"/>
        </w:rPr>
        <w:t>[</w:t>
      </w:r>
      <w:r>
        <w:rPr/>
        <w:t>haben</w:t>
      </w:r>
      <w:r>
        <w:rPr>
          <w:b/>
          <w:color w:val="808080"/>
        </w:rPr>
        <w:t>]</w:t>
      </w:r>
      <w:r>
        <w:rPr/>
        <w:t>.</w:t>
      </w:r>
      <w:r>
        <w:rPr>
          <w:rStyle w:val="Funotenanker"/>
        </w:rPr>
        <w:footnoteReference w:customMarkFollows="1" w:id="632"/>
        <w:t>ak</w:t>
      </w:r>
      <w:r>
        <w:rPr/>
        <w:t xml:space="preserve"> </w:t>
        <w:br/>
        <w:t xml:space="preserve">{{field-off:bible}} </w:t>
        <w:br/>
        <w:t>[[@BibleTOBIBLE:Ps 9:19]]</w:t>
      </w:r>
      <w:r>
        <w:rPr>
          <w:b/>
        </w:rPr>
        <w:t>19</w:t>
      </w:r>
      <w:r>
        <w:rPr/>
        <w:t xml:space="preserve"> {{field-on:bible}} </w:t>
        <w:br/>
      </w:r>
      <w:r>
        <w:rPr>
          <w:b/>
          <w:color w:val="808080"/>
        </w:rPr>
        <w:t>[</w:t>
      </w:r>
      <w:r>
        <w:rPr/>
        <w:t>'''K'''</w:t>
      </w:r>
      <w:r>
        <w:rPr>
          <w:b/>
          <w:color w:val="808080"/>
        </w:rPr>
        <w:t>]</w:t>
      </w:r>
      <w:r>
        <w:rPr/>
        <w:t xml:space="preserve"> Ach!, </w:t>
      </w:r>
      <w:r>
        <w:rPr>
          <w:color w:val="808080"/>
        </w:rPr>
        <w:t>(Denn)</w:t>
      </w:r>
      <w:r>
        <w:rPr/>
        <w:t xml:space="preserve"> nicht auf immer werde vergessen </w:t>
      </w:r>
      <w:r>
        <w:rPr>
          <w:color w:val="808080"/>
        </w:rPr>
        <w:t>(wird vergessen werden)</w:t>
      </w:r>
      <w:r>
        <w:rPr/>
        <w:t xml:space="preserve"> der Arme,verderbe </w:t>
      </w:r>
      <w:r>
        <w:rPr>
          <w:color w:val="808080"/>
        </w:rPr>
        <w:t>(wird verderben)</w:t>
      </w:r>
      <w:r>
        <w:rPr/>
        <w:t xml:space="preserve"> die Hoffnung der Elenden für </w:t>
      </w:r>
      <w:r>
        <w:rPr>
          <w:b/>
          <w:color w:val="808080"/>
        </w:rPr>
        <w:t>[</w:t>
      </w:r>
      <w:r>
        <w:rPr/>
        <w:t>alle</w:t>
      </w:r>
      <w:r>
        <w:rPr>
          <w:b/>
          <w:color w:val="808080"/>
        </w:rPr>
        <w:t>]</w:t>
      </w:r>
      <w:r>
        <w:rPr/>
        <w:t xml:space="preserve"> Zeit!</w:t>
      </w:r>
      <w:r>
        <w:rPr>
          <w:rStyle w:val="Funotenanker"/>
        </w:rPr>
        <w:footnoteReference w:customMarkFollows="1" w:id="633"/>
        <w:t>al</w:t>
      </w:r>
      <w:r>
        <w:rPr/>
        <w:t xml:space="preserve"> </w:t>
        <w:br/>
        <w:t xml:space="preserve">{{field-off:bible}} </w:t>
        <w:br/>
        <w:t>[[@BibleTOBIBLE:Ps 9:20]]</w:t>
      </w:r>
      <w:r>
        <w:rPr>
          <w:b/>
        </w:rPr>
        <w:t>20</w:t>
      </w:r>
      <w:r>
        <w:rPr/>
        <w:t xml:space="preserve"> {{field-on:bible}} </w:t>
        <w:br/>
        <w:t xml:space="preserve">Erhebe dich, </w:t>
      </w:r>
      <w:r>
        <w:rPr>
          <w:smallCaps/>
          <w:color w:val="FF0000"/>
        </w:rPr>
        <w:t>JHWH</w:t>
      </w:r>
      <w:r>
        <w:rPr/>
        <w:t xml:space="preserve">! Menschlein </w:t>
      </w:r>
      <w:r>
        <w:rPr>
          <w:color w:val="808080"/>
        </w:rPr>
        <w:t>(Menschen)</w:t>
      </w:r>
      <w:r>
        <w:rPr/>
        <w:t xml:space="preserve"> </w:t>
      </w:r>
      <w:r>
        <w:rPr>
          <w:rStyle w:val="Funotenanker"/>
        </w:rPr>
        <w:footnoteReference w:customMarkFollows="1" w:id="634"/>
        <w:t>am</w:t>
      </w:r>
      <w:r>
        <w:rPr/>
        <w:t xml:space="preserve"> sollen nicht stark sein!</w:t>
      </w:r>
      <w:r>
        <w:rPr>
          <w:rStyle w:val="Funotenanker"/>
        </w:rPr>
        <w:footnoteReference w:customMarkFollows="1" w:id="635"/>
        <w:t>an</w:t>
      </w:r>
      <w:r>
        <w:rPr/>
        <w:t>Die Nationen sollen gerichtet werden vor dir!</w:t>
        <w:br/>
        <w:t xml:space="preserve">{{field-off:bible}} </w:t>
        <w:br/>
        <w:t>[[@BibleTOBIBLE:Ps 9:21]]</w:t>
      </w:r>
      <w:r>
        <w:rPr>
          <w:b/>
        </w:rPr>
        <w:t>21</w:t>
      </w:r>
      <w:r>
        <w:rPr/>
        <w:t xml:space="preserve"> {{field-on:bible}} </w:t>
        <w:br/>
        <w:t xml:space="preserve">Setze, </w:t>
      </w:r>
      <w:r>
        <w:rPr>
          <w:smallCaps/>
          <w:color w:val="FF0000"/>
        </w:rPr>
        <w:t>JHWH</w:t>
      </w:r>
      <w:r>
        <w:rPr/>
        <w:t xml:space="preserve">, Furcht in sie </w:t>
      </w:r>
      <w:r>
        <w:rPr>
          <w:color w:val="808080"/>
        </w:rPr>
        <w:t>(ihnen einen Lehrer vor, gib ihnen eine Lehre)</w:t>
      </w:r>
      <w:r>
        <w:rPr/>
        <w:t>!</w:t>
      </w:r>
      <w:r>
        <w:rPr>
          <w:rStyle w:val="Funotenanker"/>
        </w:rPr>
        <w:footnoteReference w:customMarkFollows="1" w:id="636"/>
        <w:t>ao</w:t>
      </w:r>
      <w:r>
        <w:rPr/>
        <w:t xml:space="preserve">Es sollen wissen Nationen, dass sie </w:t>
      </w:r>
      <w:r>
        <w:rPr>
          <w:b/>
          <w:color w:val="808080"/>
        </w:rPr>
        <w:t>[</w:t>
      </w:r>
      <w:r>
        <w:rPr/>
        <w:t>nur</w:t>
      </w:r>
      <w:r>
        <w:rPr>
          <w:b/>
          <w:color w:val="808080"/>
        </w:rPr>
        <w:t>]</w:t>
      </w:r>
      <w:r>
        <w:rPr/>
        <w:t xml:space="preserve"> Menschlein </w:t>
      </w:r>
      <w:r>
        <w:rPr>
          <w:color w:val="808080"/>
        </w:rPr>
        <w:t>(Menschen)</w:t>
      </w:r>
      <w:r>
        <w:rPr/>
        <w:t xml:space="preserve"> sind! </w:t>
      </w:r>
      <w:r>
        <w:rPr>
          <w:strike/>
          <w:color w:val="808080"/>
        </w:rPr>
        <w:t>{Selah}</w:t>
      </w:r>
      <w:r>
        <w:rPr/>
        <w:t xml:space="preserve"> </w:t>
        <w:br/>
        <w:t xml:space="preserve">{{field-off:bible}} </w:t>
      </w:r>
    </w:p>
    <w:p>
      <w:pPr>
        <w:pStyle w:val="Berschrift3"/>
        <w:rPr/>
      </w:pPr>
      <w:r>
        <w:rPr/>
        <w:t>[[@BibleTOBIBLE:Ps 10]]Kapitel 10</w:t>
      </w:r>
    </w:p>
    <w:p>
      <w:pPr>
        <w:pStyle w:val="Textkrper"/>
        <w:rPr/>
      </w:pPr>
      <w:r>
        <w:rPr/>
        <w:t xml:space="preserve">&lt;small&gt;Ps 10 ist kein eigenständiger Psalm, sondern der zweite Teil des einen Psalms Ps 9-10. Diese Anmerkungen sind daher die Fortsetzung der Anmerkungen zu Psalm 9.&lt;/small&gt; Die Zerfaserung des Akrostichons, die am Ende von Psalm 9 eingesetzt hat, setzt sich in Psalm 10 fort. In Vv. 1-11, dem „Klage“-Abschnitt, in dem Gott die ganze Verderbtheit der Gegner vor Augen geführt werden soll, um ihn zum Handeln zu motivieren, finden sich von den sieben erwarteten Anfangsbuchstaben nur noch zwei; auch besteht der Abschnitt aus vier Zeilen zu wenig. „Erwähnung und Diskussion der Bösen, die den Zusammenbruch der ordentlichen göttlichen Ordnung repräsentieren, finden sich exakt an dem Punkt, an dem auch das Akrostichon zusammenbricht.“ (Benun 2006, S. 6). In Vv. 14-21schließlich wendet sich der Beter wieder mit seiner „Bitte“ an </w:t>
      </w:r>
      <w:r>
        <w:rPr>
          <w:rStyle w:val="Funotenanker"/>
        </w:rPr>
        <w:footnoteReference w:customMarkFollows="1" w:id="637"/>
        <w:t>a</w:t>
      </w:r>
      <w:r>
        <w:rPr/>
        <w:t xml:space="preserve">, in der immer wieder Appell an einen Wesenszug Gottes und Bitte um Gottes Handeln sich abwechseln: Vv. 14a: Du siehst doch - V. 14b: Untersuche!; V. 14cd: Auf dich kann sich der Verfolge verlassen - V. 15: Räche ihn!; V. 17a: Du hörst doch - Lass dein Ohr horchen! Und von dem Moment an, da er sich von der Meditation seiner Not mit dem Ruf: „Steh auf, </w:t>
      </w:r>
      <w:r>
        <w:rPr>
          <w:rStyle w:val="Funotenanker"/>
        </w:rPr>
        <w:footnoteReference w:customMarkFollows="1" w:id="638"/>
        <w:t>b</w:t>
      </w:r>
      <w:r>
        <w:rPr/>
        <w:t xml:space="preserve">! ... Vergiss die Elenden doch nicht!“ wieder </w:t>
      </w:r>
      <w:r>
        <w:rPr>
          <w:rStyle w:val="Funotenanker"/>
        </w:rPr>
        <w:footnoteReference w:customMarkFollows="1" w:id="639"/>
        <w:t>c</w:t>
      </w:r>
      <w:r>
        <w:rPr/>
        <w:t xml:space="preserve"> zuwendet, setzt auch die akrostische Ordnung wieder ein. Der „ordnungslose“ Teil des Psalms fällt zusammen mit dem der Klage über die gottlosen Gegner (Vv. 3b-5b!), der „geordnete“ Teil des Psalms mit dessen Bittgebet an Gott. Es ist, als wolle der Psalm durch seine Form hindurch sagen: Auch, wenn die Welt nicht in Ordnung ist: Solange du nur betest, ist sie es doch, denn: „Auf Gott kann sich verlassen der Verfolgte, weil der der Helfer der Waise ist“ (V. 14). </w:t>
        <w:br/>
        <w:br/>
        <w:t>[[@BibleTOBIBLE:Ps 10:1]]</w:t>
      </w:r>
      <w:r>
        <w:rPr>
          <w:b/>
        </w:rPr>
        <w:t>1</w:t>
      </w:r>
      <w:r>
        <w:rPr/>
        <w:t xml:space="preserve"> {{field-on:bible}} </w:t>
      </w:r>
      <w:r>
        <w:rPr>
          <w:rStyle w:val="Funotenanker"/>
        </w:rPr>
        <w:footnoteReference w:customMarkFollows="1" w:id="640"/>
        <w:t>Status</w:t>
      </w:r>
      <w:r>
        <w:rPr/>
        <w:t xml:space="preserve"> </w:t>
      </w:r>
      <w:r>
        <w:rPr>
          <w:b/>
          <w:color w:val="808080"/>
        </w:rPr>
        <w:t>[</w:t>
      </w:r>
      <w:r>
        <w:rPr/>
        <w:t>'''L'''</w:t>
      </w:r>
      <w:r>
        <w:rPr>
          <w:b/>
          <w:color w:val="808080"/>
        </w:rPr>
        <w:t>]</w:t>
      </w:r>
      <w:r>
        <w:rPr/>
        <w:t xml:space="preserve"> </w:t>
      </w:r>
      <w:r>
        <w:rPr>
          <w:rStyle w:val="Funotenanker"/>
        </w:rPr>
        <w:footnoteReference w:customMarkFollows="1" w:id="641"/>
        <w:t>d</w:t>
      </w:r>
      <w:r>
        <w:rPr/>
        <w:t xml:space="preserve"> Warum, o </w:t>
      </w:r>
      <w:r>
        <w:rPr>
          <w:smallCaps/>
          <w:color w:val="FF0000"/>
        </w:rPr>
        <w:t>JHWH</w:t>
      </w:r>
      <w:r>
        <w:rPr/>
        <w:t>, willst du fern stehen,</w:t>
      </w:r>
      <w:r>
        <w:rPr>
          <w:rStyle w:val="Funotenanker"/>
        </w:rPr>
        <w:footnoteReference w:customMarkFollows="1" w:id="642"/>
        <w:t>e</w:t>
      </w:r>
      <w:r>
        <w:rPr/>
        <w:t xml:space="preserve">Willst du dich verbergen in Zeiten der Bedrängnis? - </w:t>
        <w:br/>
        <w:t xml:space="preserve">{{field-off:bible}} </w:t>
        <w:br/>
        <w:t>[[@BibleTOBIBLE:Ps 10:2]]</w:t>
      </w:r>
      <w:r>
        <w:rPr>
          <w:b/>
        </w:rPr>
        <w:t>2</w:t>
      </w:r>
      <w:r>
        <w:rPr/>
        <w:t xml:space="preserve"> {{field-on:bible}} </w:t>
        <w:br/>
        <w:t xml:space="preserve">In </w:t>
      </w:r>
      <w:r>
        <w:rPr>
          <w:b/>
          <w:color w:val="808080"/>
        </w:rPr>
        <w:t>[</w:t>
      </w:r>
      <w:r>
        <w:rPr/>
        <w:t>seinem</w:t>
      </w:r>
      <w:r>
        <w:rPr>
          <w:b/>
          <w:color w:val="808080"/>
        </w:rPr>
        <w:t>]</w:t>
      </w:r>
      <w:r>
        <w:rPr/>
        <w:t xml:space="preserve"> Hochmut </w:t>
      </w:r>
      <w:r>
        <w:rPr>
          <w:color w:val="808080"/>
        </w:rPr>
        <w:t>(Stolz)</w:t>
      </w:r>
      <w:r>
        <w:rPr/>
        <w:t xml:space="preserve"> verfolgt der Schlechte den Elenden </w:t>
      </w:r>
      <w:r>
        <w:rPr>
          <w:color w:val="808080"/>
        </w:rPr>
        <w:t>(Armen)</w:t>
      </w:r>
      <w:r>
        <w:rPr/>
        <w:t xml:space="preserve"> </w:t>
      </w:r>
      <w:r>
        <w:rPr>
          <w:rStyle w:val="Funotenanker"/>
        </w:rPr>
        <w:footnoteReference w:customMarkFollows="1" w:id="643"/>
        <w:t>f</w:t>
      </w:r>
      <w:r>
        <w:rPr/>
        <w:t xml:space="preserve"> </w:t>
      </w:r>
      <w:r>
        <w:rPr>
          <w:color w:val="808080"/>
        </w:rPr>
        <w:t>(im Hochmut des Schlechten verfolgt er den Elenden, durch den Stolz des Schlechten brennt der Elende)</w:t>
      </w:r>
      <w:r>
        <w:rPr/>
        <w:t xml:space="preserve"> </w:t>
      </w:r>
      <w:r>
        <w:rPr>
          <w:rStyle w:val="Funotenanker"/>
        </w:rPr>
        <w:footnoteReference w:customMarkFollows="1" w:id="644"/>
        <w:t>g</w:t>
      </w:r>
      <w:r>
        <w:rPr/>
        <w:t>Sie werden gefangen durch die Ränke, die sie erdacht haben.</w:t>
      </w:r>
      <w:r>
        <w:rPr>
          <w:rStyle w:val="Funotenanker"/>
        </w:rPr>
        <w:footnoteReference w:customMarkFollows="1" w:id="645"/>
        <w:t>h</w:t>
      </w:r>
      <w:r>
        <w:rPr/>
        <w:t xml:space="preserve"> </w:t>
        <w:br/>
        <w:t xml:space="preserve">{{field-off:bible}} </w:t>
        <w:br/>
        <w:t>[[@BibleTOBIBLE:Ps 10:3]]</w:t>
      </w:r>
      <w:r>
        <w:rPr>
          <w:b/>
        </w:rPr>
        <w:t>3</w:t>
      </w:r>
      <w:r>
        <w:rPr/>
        <w:t xml:space="preserve"> {{field-on:bible}} </w:t>
        <w:br/>
        <w:t xml:space="preserve">Ach!, </w:t>
      </w:r>
      <w:r>
        <w:rPr>
          <w:color w:val="808080"/>
        </w:rPr>
        <w:t>(Denn)</w:t>
      </w:r>
      <w:r>
        <w:rPr/>
        <w:t xml:space="preserve"> der Schlechte rühmt seine Seele für </w:t>
      </w:r>
      <w:r>
        <w:rPr>
          <w:b/>
          <w:color w:val="808080"/>
        </w:rPr>
        <w:t>[</w:t>
      </w:r>
      <w:r>
        <w:rPr/>
        <w:t>ihre</w:t>
      </w:r>
      <w:r>
        <w:rPr>
          <w:b/>
          <w:color w:val="808080"/>
        </w:rPr>
        <w:t>]</w:t>
      </w:r>
      <w:r>
        <w:rPr/>
        <w:t xml:space="preserve"> Lust,</w:t>
      </w:r>
      <w:r>
        <w:rPr>
          <w:rStyle w:val="Funotenanker"/>
        </w:rPr>
        <w:footnoteReference w:customMarkFollows="1" w:id="646"/>
        <w:t>i</w:t>
      </w:r>
      <w:r>
        <w:rPr/>
        <w:t>Und der Abschneider</w:t>
      </w:r>
      <w:r>
        <w:rPr>
          <w:rStyle w:val="Funotenanker"/>
        </w:rPr>
        <w:footnoteReference w:customMarkFollows="1" w:id="647"/>
        <w:t>j</w:t>
      </w:r>
      <w:r>
        <w:rPr/>
        <w:t xml:space="preserve"> flucht,</w:t>
      </w:r>
      <w:r>
        <w:rPr>
          <w:rStyle w:val="Funotenanker"/>
        </w:rPr>
        <w:footnoteReference w:customMarkFollows="1" w:id="648"/>
        <w:t>k</w:t>
      </w:r>
      <w:r>
        <w:rPr/>
        <w:t xml:space="preserve"> verachtet</w:t>
      </w:r>
      <w:r>
        <w:rPr>
          <w:rStyle w:val="Funotenanker"/>
        </w:rPr>
        <w:footnoteReference w:customMarkFollows="1" w:id="649"/>
        <w:t>l</w:t>
      </w:r>
      <w:r>
        <w:rPr/>
        <w:t xml:space="preserve"> </w:t>
      </w:r>
      <w:r>
        <w:rPr>
          <w:smallCaps/>
          <w:color w:val="FF0000"/>
        </w:rPr>
        <w:t>JHWH</w:t>
      </w:r>
      <w:r>
        <w:rPr/>
        <w:t>.</w:t>
        <w:br/>
        <w:t xml:space="preserve">{{field-off:bible}} </w:t>
        <w:br/>
        <w:t>[[@BibleTOBIBLE:Ps 10:4]]</w:t>
      </w:r>
      <w:r>
        <w:rPr>
          <w:b/>
        </w:rPr>
        <w:t>4</w:t>
      </w:r>
      <w:r>
        <w:rPr/>
        <w:t xml:space="preserve"> {{field-on:bible}} </w:t>
        <w:br/>
        <w:t xml:space="preserve">Der Schlechte, im Hochmut seiner Nase </w:t>
      </w:r>
      <w:r>
        <w:rPr>
          <w:color w:val="808080"/>
        </w:rPr>
        <w:t>(in seiner Hochnäsigkeit)</w:t>
      </w:r>
      <w:r>
        <w:rPr/>
        <w:t xml:space="preserve">, </w:t>
      </w:r>
      <w:r>
        <w:rPr>
          <w:b/>
          <w:color w:val="808080"/>
        </w:rPr>
        <w:t>[</w:t>
      </w:r>
      <w:r>
        <w:rPr/>
        <w:t>denkt:</w:t>
      </w:r>
      <w:r>
        <w:rPr>
          <w:b/>
          <w:color w:val="808080"/>
        </w:rPr>
        <w:t>]</w:t>
      </w:r>
      <w:r>
        <w:rPr/>
        <w:t xml:space="preserve"> </w:t>
      </w:r>
      <w:r>
        <w:rPr>
          <w:rStyle w:val="Funotenanker"/>
        </w:rPr>
        <w:footnoteReference w:customMarkFollows="1" w:id="650"/>
        <w:t>m</w:t>
      </w:r>
      <w:r>
        <w:rPr/>
        <w:t xml:space="preserve"> „Er sucht nicht!“</w:t>
      </w:r>
      <w:r>
        <w:rPr>
          <w:rStyle w:val="Funotenanker"/>
        </w:rPr>
        <w:footnoteReference w:customMarkFollows="1" w:id="651"/>
        <w:t>n</w:t>
      </w:r>
      <w:r>
        <w:rPr/>
        <w:t xml:space="preserve">„Es </w:t>
      </w:r>
      <w:r>
        <w:rPr>
          <w:b/>
          <w:color w:val="808080"/>
        </w:rPr>
        <w:t>[</w:t>
      </w:r>
      <w:r>
        <w:rPr/>
        <w:t>gibt</w:t>
      </w:r>
      <w:r>
        <w:rPr>
          <w:b/>
          <w:color w:val="808080"/>
        </w:rPr>
        <w:t>]</w:t>
      </w:r>
      <w:r>
        <w:rPr/>
        <w:t xml:space="preserve"> keinen Gott“</w:t>
      </w:r>
      <w:r>
        <w:rPr>
          <w:rStyle w:val="Funotenanker"/>
        </w:rPr>
        <w:footnoteReference w:customMarkFollows="1" w:id="652"/>
        <w:t>o</w:t>
      </w:r>
      <w:r>
        <w:rPr/>
        <w:t xml:space="preserve"> </w:t>
      </w:r>
      <w:r>
        <w:rPr>
          <w:b/>
          <w:color w:val="808080"/>
        </w:rPr>
        <w:t>[</w:t>
      </w:r>
      <w:r>
        <w:rPr/>
        <w:t>sind</w:t>
      </w:r>
      <w:r>
        <w:rPr>
          <w:b/>
          <w:color w:val="808080"/>
        </w:rPr>
        <w:t>]</w:t>
      </w:r>
      <w:r>
        <w:rPr/>
        <w:t xml:space="preserve"> all' seine Gedanken.</w:t>
        <w:br/>
        <w:t xml:space="preserve">{{field-off:bible}} </w:t>
        <w:br/>
        <w:t>[[@BibleTOBIBLE:Ps 10:5]]</w:t>
      </w:r>
      <w:r>
        <w:rPr>
          <w:b/>
        </w:rPr>
        <w:t>5</w:t>
      </w:r>
      <w:r>
        <w:rPr/>
        <w:t xml:space="preserve"> {{field-on:bible}} </w:t>
        <w:br/>
        <w:t xml:space="preserve">Profan </w:t>
      </w:r>
      <w:r>
        <w:rPr>
          <w:color w:val="808080"/>
        </w:rPr>
        <w:t>(stark?)</w:t>
      </w:r>
      <w:r>
        <w:rPr/>
        <w:t xml:space="preserve"> </w:t>
      </w:r>
      <w:r>
        <w:rPr>
          <w:rStyle w:val="Funotenanker"/>
        </w:rPr>
        <w:footnoteReference w:customMarkFollows="1" w:id="653"/>
        <w:t>p</w:t>
      </w:r>
      <w:r>
        <w:rPr/>
        <w:t xml:space="preserve"> sind seine Wege allezeit, Hoch </w:t>
      </w:r>
      <w:r>
        <w:rPr>
          <w:b/>
          <w:color w:val="808080"/>
        </w:rPr>
        <w:t>[</w:t>
      </w:r>
      <w:r>
        <w:rPr/>
        <w:t>sind</w:t>
      </w:r>
      <w:r>
        <w:rPr>
          <w:b/>
          <w:color w:val="808080"/>
        </w:rPr>
        <w:t>]</w:t>
      </w:r>
      <w:r>
        <w:rPr/>
        <w:t xml:space="preserve"> deine Gesetze </w:t>
      </w:r>
      <w:r>
        <w:rPr>
          <w:color w:val="808080"/>
        </w:rPr>
        <w:t>(Gerichte)</w:t>
      </w:r>
      <w:r>
        <w:rPr/>
        <w:t>, fern von ihm;</w:t>
      </w:r>
      <w:r>
        <w:rPr>
          <w:rStyle w:val="Funotenanker"/>
        </w:rPr>
        <w:footnoteReference w:customMarkFollows="1" w:id="654"/>
        <w:t>q</w:t>
      </w:r>
      <w:r>
        <w:rPr/>
        <w:t>All' seine Gegner, die schnaubt er an.</w:t>
      </w:r>
      <w:r>
        <w:rPr>
          <w:rStyle w:val="Funotenanker"/>
        </w:rPr>
        <w:footnoteReference w:customMarkFollows="1" w:id="655"/>
        <w:t>r</w:t>
      </w:r>
      <w:r>
        <w:rPr/>
        <w:t xml:space="preserve"> </w:t>
        <w:br/>
        <w:t xml:space="preserve">{{field-off:bible}} </w:t>
        <w:br/>
        <w:t>[[@BibleTOBIBLE:Ps 10:6]]</w:t>
      </w:r>
      <w:r>
        <w:rPr>
          <w:b/>
        </w:rPr>
        <w:t>6</w:t>
      </w:r>
      <w:r>
        <w:rPr/>
        <w:t xml:space="preserve"> {{field-on:bible}} </w:t>
        <w:br/>
        <w:t xml:space="preserve">Er sagt in seinem Herzen </w:t>
      </w:r>
      <w:r>
        <w:rPr>
          <w:color w:val="808080"/>
        </w:rPr>
        <w:t>(sagt sich)</w:t>
      </w:r>
      <w:r>
        <w:rPr/>
        <w:t>: „Ich werde nicht wanken</w:t>
      </w:r>
      <w:r>
        <w:rPr>
          <w:rStyle w:val="Funotenanker"/>
        </w:rPr>
        <w:footnoteReference w:customMarkFollows="1" w:id="656"/>
        <w:t>s</w:t>
      </w:r>
      <w:r>
        <w:rPr/>
        <w:t xml:space="preserve"> von Geschlecht zu Geschlecht,So dass </w:t>
      </w:r>
      <w:r>
        <w:rPr>
          <w:color w:val="808080"/>
        </w:rPr>
        <w:t xml:space="preserve">(weil; </w:t>
      </w:r>
      <w:r>
        <w:rPr>
          <w:b/>
          <w:color w:val="808080"/>
        </w:rPr>
        <w:t>[</w:t>
      </w:r>
      <w:r>
        <w:rPr>
          <w:color w:val="808080"/>
        </w:rPr>
        <w:t>ich</w:t>
      </w:r>
      <w:r>
        <w:rPr>
          <w:b/>
          <w:color w:val="808080"/>
        </w:rPr>
        <w:t>]</w:t>
      </w:r>
      <w:r>
        <w:rPr>
          <w:color w:val="808080"/>
        </w:rPr>
        <w:t>, der)</w:t>
      </w:r>
      <w:r>
        <w:rPr/>
        <w:t xml:space="preserve"> </w:t>
      </w:r>
      <w:r>
        <w:rPr>
          <w:b/>
          <w:color w:val="808080"/>
        </w:rPr>
        <w:t>[</w:t>
      </w:r>
      <w:r>
        <w:rPr/>
        <w:t>ich</w:t>
      </w:r>
      <w:r>
        <w:rPr>
          <w:b/>
          <w:color w:val="808080"/>
        </w:rPr>
        <w:t>]</w:t>
      </w:r>
      <w:r>
        <w:rPr/>
        <w:t xml:space="preserve"> nicht </w:t>
      </w:r>
      <w:r>
        <w:rPr>
          <w:color w:val="808080"/>
        </w:rPr>
        <w:t>(nie)</w:t>
      </w:r>
      <w:r>
        <w:rPr/>
        <w:t xml:space="preserve"> </w:t>
      </w:r>
      <w:r>
        <w:rPr>
          <w:b/>
          <w:color w:val="808080"/>
        </w:rPr>
        <w:t>[</w:t>
      </w:r>
      <w:r>
        <w:rPr/>
        <w:t>sein werde</w:t>
      </w:r>
      <w:r>
        <w:rPr>
          <w:b/>
          <w:color w:val="808080"/>
        </w:rPr>
        <w:t>]</w:t>
      </w:r>
      <w:r>
        <w:rPr/>
        <w:t xml:space="preserve"> im Unglück.“</w:t>
      </w:r>
      <w:r>
        <w:rPr>
          <w:rStyle w:val="Funotenanker"/>
        </w:rPr>
        <w:footnoteReference w:customMarkFollows="1" w:id="657"/>
        <w:t>t</w:t>
      </w:r>
      <w:r>
        <w:rPr/>
        <w:t xml:space="preserve"> </w:t>
        <w:br/>
        <w:t xml:space="preserve">{{field-off:bible}} </w:t>
        <w:br/>
        <w:t>[[@BibleTOBIBLE:Ps 10:7]]</w:t>
      </w:r>
      <w:r>
        <w:rPr>
          <w:b/>
        </w:rPr>
        <w:t>7</w:t>
      </w:r>
      <w:r>
        <w:rPr/>
        <w:t xml:space="preserve"> {{field-on:bible}} </w:t>
        <w:br/>
      </w:r>
      <w:r>
        <w:rPr>
          <w:b/>
          <w:color w:val="808080"/>
        </w:rPr>
        <w:t>[</w:t>
      </w:r>
      <w:r>
        <w:rPr/>
        <w:t>Von</w:t>
      </w:r>
      <w:r>
        <w:rPr>
          <w:b/>
          <w:color w:val="808080"/>
        </w:rPr>
        <w:t>]</w:t>
      </w:r>
      <w:r>
        <w:rPr/>
        <w:t xml:space="preserve"> Fluch ist sein Mund voll und </w:t>
      </w:r>
      <w:r>
        <w:rPr>
          <w:b/>
          <w:color w:val="808080"/>
        </w:rPr>
        <w:t>[</w:t>
      </w:r>
      <w:r>
        <w:rPr/>
        <w:t>von</w:t>
      </w:r>
      <w:r>
        <w:rPr>
          <w:b/>
          <w:color w:val="808080"/>
        </w:rPr>
        <w:t>]</w:t>
      </w:r>
      <w:r>
        <w:rPr/>
        <w:t xml:space="preserve"> List und Gewalttätigkeit,Unter seiner Zunge</w:t>
      </w:r>
      <w:r>
        <w:rPr>
          <w:rStyle w:val="Funotenanker"/>
        </w:rPr>
        <w:footnoteReference w:customMarkFollows="1" w:id="658"/>
        <w:t>u</w:t>
      </w:r>
      <w:r>
        <w:rPr/>
        <w:t xml:space="preserve"> </w:t>
      </w:r>
      <w:r>
        <w:rPr>
          <w:b/>
          <w:color w:val="808080"/>
        </w:rPr>
        <w:t>[</w:t>
      </w:r>
      <w:r>
        <w:rPr/>
        <w:t>ist</w:t>
      </w:r>
      <w:r>
        <w:rPr>
          <w:b/>
          <w:color w:val="808080"/>
        </w:rPr>
        <w:t>]</w:t>
      </w:r>
      <w:r>
        <w:rPr/>
        <w:t xml:space="preserve"> Mühsal und Unheil.</w:t>
        <w:br/>
        <w:t xml:space="preserve">{{field-off:bible}} </w:t>
        <w:br/>
        <w:t>[[@BibleTOBIBLE:Ps 10:8]]</w:t>
      </w:r>
      <w:r>
        <w:rPr>
          <w:b/>
        </w:rPr>
        <w:t>8</w:t>
      </w:r>
      <w:r>
        <w:rPr/>
        <w:t xml:space="preserve"> {{field-on:bible}} </w:t>
        <w:br/>
        <w:t>Er sitzt im Hinterhalt in Dörfern,</w:t>
      </w:r>
      <w:r>
        <w:rPr>
          <w:rStyle w:val="Funotenanker"/>
        </w:rPr>
        <w:footnoteReference w:customMarkFollows="1" w:id="659"/>
        <w:t>v</w:t>
      </w:r>
      <w:r>
        <w:rPr/>
        <w:t xml:space="preserve">Um insgeheim Unschuldige </w:t>
      </w:r>
      <w:r>
        <w:rPr>
          <w:color w:val="808080"/>
        </w:rPr>
        <w:t>(Wehrlose)</w:t>
      </w:r>
      <w:r>
        <w:rPr/>
        <w:t xml:space="preserve"> zu ermorden </w:t>
      </w:r>
      <w:r>
        <w:rPr>
          <w:color w:val="808080"/>
        </w:rPr>
        <w:t>(wird ... morden)</w:t>
      </w:r>
      <w:r>
        <w:rPr/>
        <w:t>.</w:t>
        <w:br/>
      </w:r>
      <w:r>
        <w:rPr>
          <w:b/>
          <w:color w:val="808080"/>
        </w:rPr>
        <w:t>[</w:t>
      </w:r>
      <w:r>
        <w:rPr/>
        <w:t>'''Q'''</w:t>
      </w:r>
      <w:r>
        <w:rPr>
          <w:b/>
          <w:color w:val="808080"/>
        </w:rPr>
        <w:t>]</w:t>
      </w:r>
      <w:r>
        <w:rPr/>
        <w:t xml:space="preserve"> Seine Augen spähen nach dem Verfolgten</w:t>
      </w:r>
      <w:r>
        <w:rPr>
          <w:rStyle w:val="Funotenanker"/>
        </w:rPr>
        <w:footnoteReference w:customMarkFollows="1" w:id="660"/>
        <w:t>w</w:t>
      </w:r>
      <w:r>
        <w:rPr/>
        <w:t xml:space="preserve"> </w:t>
        <w:br/>
        <w:t xml:space="preserve">{{field-off:bible}} </w:t>
        <w:br/>
        <w:t>[[@BibleTOBIBLE:Ps 10:9]]</w:t>
      </w:r>
      <w:r>
        <w:rPr>
          <w:b/>
        </w:rPr>
        <w:t>9</w:t>
      </w:r>
      <w:r>
        <w:rPr/>
        <w:t xml:space="preserve"> {{field-on:bible}} </w:t>
        <w:br/>
        <w:t xml:space="preserve">Er lauert in </w:t>
      </w:r>
      <w:r>
        <w:rPr>
          <w:b/>
          <w:color w:val="808080"/>
        </w:rPr>
        <w:t>[</w:t>
      </w:r>
      <w:r>
        <w:rPr/>
        <w:t>seinem</w:t>
      </w:r>
      <w:r>
        <w:rPr>
          <w:b/>
          <w:color w:val="808080"/>
        </w:rPr>
        <w:t>]</w:t>
      </w:r>
      <w:r>
        <w:rPr/>
        <w:t xml:space="preserve"> Versteck wie ein Löwe in einer Höhle - </w:t>
        <w:br/>
        <w:t xml:space="preserve">Er lauert, um den Elenden zu fassen,Fasst den Elenden, indem er ihn in sein </w:t>
      </w:r>
      <w:r>
        <w:rPr>
          <w:color w:val="808080"/>
        </w:rPr>
        <w:t>(mit seinem)</w:t>
      </w:r>
      <w:r>
        <w:rPr/>
        <w:t xml:space="preserve"> Netz zieht.</w:t>
      </w:r>
      <w:r>
        <w:rPr>
          <w:rStyle w:val="Funotenanker"/>
        </w:rPr>
        <w:footnoteReference w:customMarkFollows="1" w:id="661"/>
        <w:t>x</w:t>
      </w:r>
      <w:r>
        <w:rPr/>
        <w:t xml:space="preserve"> </w:t>
        <w:br/>
        <w:t xml:space="preserve">{{field-off:bible}} </w:t>
        <w:br/>
        <w:t>[[@BibleTOBIBLE:Ps 10:10]]</w:t>
      </w:r>
      <w:r>
        <w:rPr>
          <w:b/>
        </w:rPr>
        <w:t>10</w:t>
      </w:r>
      <w:r>
        <w:rPr/>
        <w:t xml:space="preserve"> {{field-on:bible}} </w:t>
        <w:br/>
        <w:t xml:space="preserve">Der bricht zusammen, sinkt niederUnd fällt in die Klauen </w:t>
      </w:r>
      <w:r>
        <w:rPr>
          <w:color w:val="808080"/>
        </w:rPr>
        <w:t>(durch die Macht)</w:t>
      </w:r>
      <w:r>
        <w:rPr/>
        <w:t xml:space="preserve"> </w:t>
      </w:r>
      <w:r>
        <w:rPr>
          <w:b/>
          <w:color w:val="808080"/>
        </w:rPr>
        <w:t>[</w:t>
      </w:r>
      <w:r>
        <w:rPr/>
        <w:t>der</w:t>
      </w:r>
      <w:r>
        <w:rPr>
          <w:b/>
          <w:color w:val="808080"/>
        </w:rPr>
        <w:t>]</w:t>
      </w:r>
      <w:r>
        <w:rPr/>
        <w:t xml:space="preserve"> Verfolger.</w:t>
      </w:r>
      <w:r>
        <w:rPr>
          <w:rStyle w:val="Funotenanker"/>
        </w:rPr>
        <w:footnoteReference w:customMarkFollows="1" w:id="662"/>
        <w:t>y</w:t>
      </w:r>
      <w:r>
        <w:rPr/>
        <w:t xml:space="preserve"> </w:t>
        <w:br/>
        <w:t xml:space="preserve">{{field-off:bible}} </w:t>
        <w:br/>
        <w:t>[[@BibleTOBIBLE:Ps 10:11]]</w:t>
      </w:r>
      <w:r>
        <w:rPr>
          <w:b/>
        </w:rPr>
        <w:t>11</w:t>
      </w:r>
      <w:r>
        <w:rPr/>
        <w:t xml:space="preserve"> {{field-on:bible}} </w:t>
        <w:br/>
        <w:t xml:space="preserve">Er spricht in seinem Herzen </w:t>
      </w:r>
      <w:r>
        <w:rPr>
          <w:color w:val="808080"/>
        </w:rPr>
        <w:t>(zu sich)</w:t>
      </w:r>
      <w:r>
        <w:rPr/>
        <w:t>: „Gott vergisst,</w:t>
      </w:r>
      <w:r>
        <w:rPr>
          <w:rStyle w:val="Funotenanker"/>
        </w:rPr>
        <w:footnoteReference w:customMarkFollows="1" w:id="663"/>
        <w:t>z</w:t>
      </w:r>
      <w:r>
        <w:rPr/>
        <w:t>Verbirgt sein Gesicht,</w:t>
      </w:r>
      <w:r>
        <w:rPr>
          <w:rStyle w:val="Funotenanker"/>
        </w:rPr>
        <w:footnoteReference w:customMarkFollows="1" w:id="664"/>
        <w:t>aa</w:t>
      </w:r>
      <w:r>
        <w:rPr/>
        <w:t xml:space="preserve"> Sieht nicht auf immer!“</w:t>
      </w:r>
      <w:r>
        <w:rPr>
          <w:rStyle w:val="Funotenanker"/>
        </w:rPr>
        <w:footnoteReference w:customMarkFollows="1" w:id="665"/>
        <w:t>ab</w:t>
      </w:r>
      <w:r>
        <w:rPr/>
        <w:t xml:space="preserve"> </w:t>
        <w:br/>
        <w:br/>
        <w:t xml:space="preserve">{{field-off:bible}} </w:t>
        <w:br/>
        <w:t>[[@BibleTOBIBLE:Ps 10:12]]</w:t>
      </w:r>
      <w:r>
        <w:rPr>
          <w:b/>
        </w:rPr>
        <w:t>12</w:t>
      </w:r>
      <w:r>
        <w:rPr/>
        <w:t xml:space="preserve"> {{field-on:bible}} </w:t>
        <w:br/>
      </w:r>
      <w:r>
        <w:rPr>
          <w:b/>
          <w:color w:val="808080"/>
        </w:rPr>
        <w:t>[</w:t>
      </w:r>
      <w:r>
        <w:rPr/>
        <w:t>'''S'''</w:t>
      </w:r>
      <w:r>
        <w:rPr>
          <w:b/>
          <w:color w:val="808080"/>
        </w:rPr>
        <w:t>]</w:t>
      </w:r>
      <w:r>
        <w:rPr/>
        <w:t xml:space="preserve"> Steh auf, </w:t>
      </w:r>
      <w:r>
        <w:rPr>
          <w:smallCaps/>
          <w:color w:val="FF0000"/>
        </w:rPr>
        <w:t>JHWH</w:t>
      </w:r>
      <w:r>
        <w:rPr/>
        <w:t xml:space="preserve">! Mein Gott </w:t>
      </w:r>
      <w:r>
        <w:rPr>
          <w:color w:val="808080"/>
        </w:rPr>
        <w:t>(Gott)</w:t>
      </w:r>
      <w:r>
        <w:rPr/>
        <w:t>,</w:t>
      </w:r>
      <w:r>
        <w:rPr>
          <w:rStyle w:val="Funotenanker"/>
        </w:rPr>
        <w:footnoteReference w:customMarkFollows="1" w:id="666"/>
        <w:t>ac</w:t>
      </w:r>
      <w:r>
        <w:rPr/>
        <w:t xml:space="preserve"> heb deine Hand!Vergiss die Elenden </w:t>
      </w:r>
      <w:r>
        <w:rPr>
          <w:b/>
          <w:color w:val="808080"/>
        </w:rPr>
        <w:t>[</w:t>
      </w:r>
      <w:r>
        <w:rPr/>
        <w:t>doch</w:t>
      </w:r>
      <w:r>
        <w:rPr>
          <w:b/>
          <w:color w:val="808080"/>
        </w:rPr>
        <w:t>]</w:t>
      </w:r>
      <w:r>
        <w:rPr/>
        <w:t xml:space="preserve"> nicht!</w:t>
        <w:br/>
        <w:t xml:space="preserve">{{field-off:bible}} </w:t>
        <w:br/>
        <w:t>[[@BibleTOBIBLE:Ps 10:13]]</w:t>
      </w:r>
      <w:r>
        <w:rPr>
          <w:b/>
        </w:rPr>
        <w:t>13</w:t>
      </w:r>
      <w:r>
        <w:rPr/>
        <w:t xml:space="preserve"> {{field-on:bible}} </w:t>
        <w:br/>
        <w:t xml:space="preserve">Warum verachtet der Schlechte Gott,sagt in seinem Herzen </w:t>
      </w:r>
      <w:r>
        <w:rPr>
          <w:color w:val="808080"/>
        </w:rPr>
        <w:t>(sagt sich)</w:t>
      </w:r>
      <w:r>
        <w:rPr/>
        <w:t>: „Er sucht nicht!“?</w:t>
        <w:br/>
        <w:t xml:space="preserve">{{field-off:bible}} </w:t>
        <w:br/>
        <w:t>[[@BibleTOBIBLE:Ps 10:14]]</w:t>
      </w:r>
      <w:r>
        <w:rPr>
          <w:b/>
        </w:rPr>
        <w:t>14</w:t>
      </w:r>
      <w:r>
        <w:rPr/>
        <w:t xml:space="preserve"> {{field-on:bible}} </w:t>
        <w:br/>
      </w:r>
      <w:r>
        <w:rPr>
          <w:b/>
          <w:color w:val="808080"/>
        </w:rPr>
        <w:t>[</w:t>
      </w:r>
      <w:r>
        <w:rPr/>
        <w:t>'''T'''</w:t>
      </w:r>
      <w:r>
        <w:rPr>
          <w:b/>
          <w:color w:val="808080"/>
        </w:rPr>
        <w:t>]</w:t>
      </w:r>
      <w:r>
        <w:rPr/>
        <w:t xml:space="preserve">Du siehst </w:t>
      </w:r>
      <w:r>
        <w:rPr>
          <w:b/>
          <w:color w:val="808080"/>
        </w:rPr>
        <w:t>[</w:t>
      </w:r>
      <w:r>
        <w:rPr/>
        <w:t>doch</w:t>
      </w:r>
      <w:r>
        <w:rPr>
          <w:b/>
          <w:color w:val="808080"/>
        </w:rPr>
        <w:t>]</w:t>
      </w:r>
      <w:r>
        <w:rPr/>
        <w:t xml:space="preserve">, ach!, du!, Mühsal und Leid.Untersuche </w:t>
      </w:r>
      <w:r>
        <w:rPr>
          <w:b/>
          <w:color w:val="808080"/>
        </w:rPr>
        <w:t>[</w:t>
      </w:r>
      <w:r>
        <w:rPr/>
        <w:t>es</w:t>
      </w:r>
      <w:r>
        <w:rPr>
          <w:b/>
          <w:color w:val="808080"/>
        </w:rPr>
        <w:t>]</w:t>
      </w:r>
      <w:r>
        <w:rPr/>
        <w:t xml:space="preserve">, um </w:t>
      </w:r>
      <w:r>
        <w:rPr>
          <w:color w:val="808080"/>
        </w:rPr>
        <w:t>(indem, so dass)</w:t>
      </w:r>
      <w:r>
        <w:rPr/>
        <w:t xml:space="preserve"> zu geben </w:t>
      </w:r>
      <w:r>
        <w:rPr>
          <w:color w:val="808080"/>
        </w:rPr>
        <w:t>(man gibt, gegeben wird)</w:t>
      </w:r>
      <w:r>
        <w:rPr/>
        <w:t xml:space="preserve"> </w:t>
      </w:r>
      <w:r>
        <w:rPr>
          <w:b/>
          <w:color w:val="808080"/>
        </w:rPr>
        <w:t>[</w:t>
      </w:r>
      <w:r>
        <w:rPr/>
        <w:t xml:space="preserve">es </w:t>
      </w:r>
      <w:r>
        <w:rPr>
          <w:color w:val="808080"/>
        </w:rPr>
        <w:t>(ihn)</w:t>
      </w:r>
      <w:r>
        <w:rPr>
          <w:b/>
          <w:color w:val="808080"/>
        </w:rPr>
        <w:t>]</w:t>
      </w:r>
      <w:r>
        <w:rPr/>
        <w:t xml:space="preserve"> in deine </w:t>
      </w:r>
      <w:r>
        <w:rPr>
          <w:color w:val="808080"/>
        </w:rPr>
        <w:t>(mit deiner, aus deiner)</w:t>
      </w:r>
      <w:r>
        <w:rPr/>
        <w:t xml:space="preserve"> Hand.</w:t>
      </w:r>
      <w:r>
        <w:rPr>
          <w:rStyle w:val="Funotenanker"/>
        </w:rPr>
        <w:footnoteReference w:customMarkFollows="1" w:id="667"/>
        <w:t>ad</w:t>
      </w:r>
      <w:r>
        <w:rPr/>
        <w:t xml:space="preserve"> </w:t>
        <w:br/>
        <w:t xml:space="preserve">Auf dich kann sich verlassen </w:t>
      </w:r>
      <w:r>
        <w:rPr>
          <w:color w:val="808080"/>
        </w:rPr>
        <w:t>(wird sich verlassen, wird sich/es dir überlassen)</w:t>
      </w:r>
      <w:r>
        <w:rPr/>
        <w:t xml:space="preserve"> der Verfolgte,</w:t>
      </w:r>
      <w:r>
        <w:rPr>
          <w:b/>
          <w:color w:val="808080"/>
        </w:rPr>
        <w:t>[</w:t>
      </w:r>
      <w:r>
        <w:rPr/>
        <w:t>Weil</w:t>
      </w:r>
      <w:r>
        <w:rPr>
          <w:b/>
          <w:color w:val="808080"/>
        </w:rPr>
        <w:t>]</w:t>
      </w:r>
      <w:r>
        <w:rPr/>
        <w:t xml:space="preserve"> der Helfer der Waise du bist.</w:t>
      </w:r>
      <w:r>
        <w:rPr>
          <w:rStyle w:val="Funotenanker"/>
        </w:rPr>
        <w:footnoteReference w:customMarkFollows="1" w:id="668"/>
        <w:t>ae</w:t>
      </w:r>
      <w:r>
        <w:rPr/>
        <w:t xml:space="preserve"> </w:t>
        <w:br/>
        <w:t xml:space="preserve">{{field-off:bible}} </w:t>
        <w:br/>
        <w:t>[[@BibleTOBIBLE:Ps 10:15]]</w:t>
      </w:r>
      <w:r>
        <w:rPr>
          <w:b/>
        </w:rPr>
        <w:t>15</w:t>
      </w:r>
      <w:r>
        <w:rPr/>
        <w:t xml:space="preserve"> {{field-on:bible}} </w:t>
        <w:br/>
      </w:r>
      <w:r>
        <w:rPr>
          <w:b/>
          <w:color w:val="808080"/>
        </w:rPr>
        <w:t>[</w:t>
      </w:r>
      <w:r>
        <w:rPr/>
        <w:t>'''U'''</w:t>
      </w:r>
      <w:r>
        <w:rPr>
          <w:b/>
          <w:color w:val="808080"/>
        </w:rPr>
        <w:t>]</w:t>
      </w:r>
      <w:r>
        <w:rPr/>
        <w:t xml:space="preserve"> Zerbrich den Arm des Schlechten und des Bösen!Suche</w:t>
      </w:r>
      <w:r>
        <w:rPr>
          <w:rStyle w:val="Funotenanker"/>
        </w:rPr>
        <w:footnoteReference w:customMarkFollows="1" w:id="669"/>
        <w:t>af</w:t>
      </w:r>
      <w:r>
        <w:rPr/>
        <w:t xml:space="preserve"> sein</w:t>
      </w:r>
      <w:r>
        <w:rPr>
          <w:rStyle w:val="Funotenanker"/>
        </w:rPr>
        <w:footnoteReference w:customMarkFollows="1" w:id="670"/>
        <w:t>ag</w:t>
      </w:r>
      <w:r>
        <w:rPr/>
        <w:t xml:space="preserve"> Böses </w:t>
      </w:r>
      <w:r>
        <w:rPr>
          <w:color w:val="808080"/>
        </w:rPr>
        <w:t>(Unrecht)</w:t>
      </w:r>
      <w:r>
        <w:rPr/>
        <w:t xml:space="preserve">, </w:t>
      </w:r>
      <w:r>
        <w:rPr>
          <w:b/>
          <w:color w:val="808080"/>
        </w:rPr>
        <w:t>[</w:t>
      </w:r>
      <w:r>
        <w:rPr/>
        <w:t xml:space="preserve">bis </w:t>
      </w:r>
      <w:r>
        <w:rPr>
          <w:color w:val="808080"/>
        </w:rPr>
        <w:t>(so dass)</w:t>
      </w:r>
      <w:r>
        <w:rPr>
          <w:b/>
          <w:color w:val="808080"/>
        </w:rPr>
        <w:t>]</w:t>
      </w:r>
      <w:r>
        <w:rPr/>
        <w:t xml:space="preserve"> du </w:t>
      </w:r>
      <w:r>
        <w:rPr>
          <w:b/>
          <w:color w:val="808080"/>
        </w:rPr>
        <w:t>[</w:t>
      </w:r>
      <w:r>
        <w:rPr/>
        <w:t xml:space="preserve">ihn </w:t>
      </w:r>
      <w:r>
        <w:rPr>
          <w:color w:val="808080"/>
        </w:rPr>
        <w:t>(es)</w:t>
      </w:r>
      <w:r>
        <w:rPr>
          <w:b/>
          <w:color w:val="808080"/>
        </w:rPr>
        <w:t>]</w:t>
      </w:r>
      <w:r>
        <w:rPr/>
        <w:t xml:space="preserve"> nicht mehr findest </w:t>
      </w:r>
      <w:r>
        <w:rPr>
          <w:color w:val="808080"/>
        </w:rPr>
        <w:t>(Sucht man sein Böses, sei es nicht mehr zu finden! Wenn er nach seinem Bösen greift, soll er es nicht finden)</w:t>
      </w:r>
      <w:r>
        <w:rPr/>
        <w:t>!</w:t>
      </w:r>
      <w:r>
        <w:rPr>
          <w:rStyle w:val="Funotenanker"/>
        </w:rPr>
        <w:footnoteReference w:customMarkFollows="1" w:id="671"/>
        <w:t>ah</w:t>
      </w:r>
      <w:r>
        <w:rPr/>
        <w:t xml:space="preserve"> </w:t>
        <w:br/>
        <w:t xml:space="preserve">{{field-off:bible}} </w:t>
        <w:br/>
        <w:t>[[@BibleTOBIBLE:Ps 10:16]]</w:t>
      </w:r>
      <w:r>
        <w:rPr>
          <w:b/>
        </w:rPr>
        <w:t>16</w:t>
      </w:r>
      <w:r>
        <w:rPr/>
        <w:t xml:space="preserve"> {{field-on:bible}} </w:t>
        <w:br/>
      </w:r>
      <w:r>
        <w:rPr>
          <w:b/>
          <w:color w:val="808080"/>
        </w:rPr>
        <w:t>[</w:t>
      </w:r>
      <w:r>
        <w:rPr/>
        <w:t>Weil</w:t>
      </w:r>
      <w:r>
        <w:rPr>
          <w:b/>
          <w:color w:val="808080"/>
        </w:rPr>
        <w:t>]</w:t>
      </w:r>
      <w:r>
        <w:rPr/>
        <w:t xml:space="preserve"> </w:t>
      </w:r>
      <w:r>
        <w:rPr>
          <w:smallCaps/>
          <w:color w:val="FF0000"/>
        </w:rPr>
        <w:t>JHWH</w:t>
      </w:r>
      <w:r>
        <w:rPr/>
        <w:t xml:space="preserve"> König auf immer und </w:t>
      </w:r>
      <w:r>
        <w:rPr>
          <w:b/>
          <w:color w:val="808080"/>
        </w:rPr>
        <w:t>[</w:t>
      </w:r>
      <w:r>
        <w:rPr/>
        <w:t>für alle</w:t>
      </w:r>
      <w:r>
        <w:rPr>
          <w:b/>
          <w:color w:val="808080"/>
        </w:rPr>
        <w:t>]</w:t>
      </w:r>
      <w:r>
        <w:rPr/>
        <w:t xml:space="preserve"> Zeit </w:t>
      </w:r>
      <w:r>
        <w:rPr>
          <w:b/>
          <w:color w:val="808080"/>
        </w:rPr>
        <w:t>[</w:t>
      </w:r>
      <w:r>
        <w:rPr/>
        <w:t>ist</w:t>
      </w:r>
      <w:r>
        <w:rPr>
          <w:b/>
          <w:color w:val="808080"/>
        </w:rPr>
        <w:t>]</w:t>
      </w:r>
      <w:r>
        <w:rPr/>
        <w:t>,Verderben Nationen</w:t>
      </w:r>
      <w:r>
        <w:rPr>
          <w:rStyle w:val="Funotenanker"/>
        </w:rPr>
        <w:footnoteReference w:customMarkFollows="1" w:id="672"/>
        <w:t>ai</w:t>
      </w:r>
      <w:r>
        <w:rPr/>
        <w:t xml:space="preserve"> aus seinem Land </w:t>
      </w:r>
      <w:r>
        <w:rPr>
          <w:color w:val="808080"/>
        </w:rPr>
        <w:t>(seiner Erde)</w:t>
      </w:r>
      <w:r>
        <w:rPr/>
        <w:t>.</w:t>
        <w:br/>
        <w:t xml:space="preserve">{{field-off:bible}} </w:t>
        <w:br/>
        <w:t>[[@BibleTOBIBLE:Ps 10:17]]</w:t>
      </w:r>
      <w:r>
        <w:rPr>
          <w:b/>
        </w:rPr>
        <w:t>17</w:t>
      </w:r>
      <w:r>
        <w:rPr/>
        <w:t xml:space="preserve"> {{field-on:bible}} </w:t>
        <w:br/>
      </w:r>
      <w:r>
        <w:rPr>
          <w:b/>
          <w:color w:val="808080"/>
        </w:rPr>
        <w:t>[</w:t>
      </w:r>
      <w:r>
        <w:rPr/>
        <w:t>'''V'''</w:t>
      </w:r>
      <w:r>
        <w:rPr>
          <w:b/>
          <w:color w:val="808080"/>
        </w:rPr>
        <w:t>]</w:t>
      </w:r>
      <w:r>
        <w:rPr/>
        <w:t xml:space="preserve"> Du hörst das Verlangen der Elenden, </w:t>
      </w:r>
      <w:r>
        <w:rPr>
          <w:smallCaps/>
          <w:color w:val="FF0000"/>
        </w:rPr>
        <w:t>JHWH</w:t>
      </w:r>
      <w:r>
        <w:rPr/>
        <w:t xml:space="preserve">.Auf die Ausrichtung ihres Herzens </w:t>
      </w:r>
      <w:r>
        <w:rPr>
          <w:color w:val="808080"/>
        </w:rPr>
        <w:t>(richte ihr Herz aus, richte ihr Herz auf?)</w:t>
      </w:r>
      <w:r>
        <w:rPr/>
        <w:t xml:space="preserve"> </w:t>
      </w:r>
      <w:r>
        <w:rPr>
          <w:rStyle w:val="Funotenanker"/>
        </w:rPr>
        <w:footnoteReference w:customMarkFollows="1" w:id="673"/>
        <w:t>aj</w:t>
      </w:r>
      <w:r>
        <w:rPr/>
        <w:t xml:space="preserve"> lass </w:t>
      </w:r>
      <w:r>
        <w:rPr>
          <w:color w:val="808080"/>
        </w:rPr>
        <w:t>(du wirst, es soll/wird)</w:t>
      </w:r>
      <w:r>
        <w:rPr/>
        <w:t xml:space="preserve"> horchen dein Ohr,</w:t>
        <w:br/>
        <w:t xml:space="preserve">{{field-off:bible}} </w:t>
        <w:br/>
        <w:t>[[@BibleTOBIBLE:Ps 10:18]]</w:t>
      </w:r>
      <w:r>
        <w:rPr>
          <w:b/>
        </w:rPr>
        <w:t>18</w:t>
      </w:r>
      <w:r>
        <w:rPr/>
        <w:t xml:space="preserve"> {{field-on:bible}} </w:t>
        <w:br/>
        <w:t xml:space="preserve">um Recht zu schaffen </w:t>
      </w:r>
      <w:r>
        <w:rPr>
          <w:color w:val="808080"/>
        </w:rPr>
        <w:t>(indem du Recht schaffst)</w:t>
      </w:r>
      <w:r>
        <w:rPr/>
        <w:t xml:space="preserve"> der Waise und dem Unterdrückten:Es soll nicht weiterhin so weitergehen, dass ein Menschlein aus Erde</w:t>
      </w:r>
      <w:r>
        <w:rPr>
          <w:rStyle w:val="Funotenanker"/>
        </w:rPr>
        <w:footnoteReference w:customMarkFollows="1" w:id="674"/>
        <w:t>ak</w:t>
      </w:r>
      <w:r>
        <w:rPr/>
        <w:t xml:space="preserve"> Schrecken verbreitet </w:t>
      </w:r>
      <w:r>
        <w:rPr>
          <w:color w:val="808080"/>
        </w:rPr>
        <w:t>(Menschlein aus dem Land herausgeschreckt werden)</w:t>
      </w:r>
      <w:r>
        <w:rPr/>
        <w:t>.</w:t>
        <w:br/>
        <w:t xml:space="preserve">{{field-off:bible}} </w:t>
      </w:r>
    </w:p>
    <w:p>
      <w:pPr>
        <w:pStyle w:val="Berschrift3"/>
        <w:rPr/>
      </w:pPr>
      <w:r>
        <w:rPr/>
        <w:t>[[@BibleTOBIBLE:Ps 11]]Kapitel 11</w:t>
      </w:r>
    </w:p>
    <w:p>
      <w:pPr>
        <w:pStyle w:val="Textkrper"/>
        <w:rPr/>
      </w:pPr>
      <w:r>
        <w:rPr/>
        <w:br/>
        <w:t>[[@BibleTOBIBLE:Ps 11:1]]</w:t>
      </w:r>
      <w:r>
        <w:rPr>
          <w:b/>
        </w:rPr>
        <w:t>1</w:t>
      </w:r>
      <w:r>
        <w:rPr/>
        <w:t xml:space="preserve"> {{field-on:bible}} </w:t>
      </w:r>
      <w:r>
        <w:rPr>
          <w:rStyle w:val="Funotenanker"/>
        </w:rPr>
        <w:footnoteReference w:customMarkFollows="1" w:id="675"/>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676"/>
        <w:t>a</w:t>
      </w:r>
      <w:r>
        <w:rPr/>
        <w:t xml:space="preserve"> ''Ein Psalm </w:t>
      </w:r>
      <w:r>
        <w:rPr>
          <w:color w:val="808080"/>
        </w:rPr>
        <w:t>(begleitetes Lied)</w:t>
      </w:r>
      <w:r>
        <w:rPr/>
        <w:t xml:space="preserve"> von </w:t>
      </w:r>
      <w:r>
        <w:rPr>
          <w:color w:val="808080"/>
        </w:rPr>
        <w:t>(für, über, nach Art von)</w:t>
      </w:r>
      <w:r>
        <w:rPr/>
        <w:t xml:space="preserve"> David.'' </w:t>
        <w:br/>
        <w:t xml:space="preserve">Auf </w:t>
      </w:r>
      <w:r>
        <w:rPr>
          <w:smallCaps/>
          <w:color w:val="FF0000"/>
        </w:rPr>
        <w:t>JHWH</w:t>
      </w:r>
      <w:r>
        <w:rPr/>
        <w:t xml:space="preserve"> vertraue ich </w:t>
      </w:r>
      <w:r>
        <w:rPr>
          <w:color w:val="808080"/>
        </w:rPr>
        <w:t xml:space="preserve">(zu </w:t>
      </w:r>
      <w:r>
        <w:rPr>
          <w:smallCaps/>
          <w:color w:val="FF0000"/>
        </w:rPr>
        <w:t>JHWH</w:t>
      </w:r>
      <w:r>
        <w:rPr>
          <w:color w:val="808080"/>
        </w:rPr>
        <w:t xml:space="preserve"> fliehe ich/bin ich geflohen)</w:t>
      </w:r>
      <w:r>
        <w:rPr/>
        <w:t>.</w:t>
        <w:br/>
        <w:t xml:space="preserve">Wie </w:t>
      </w:r>
      <w:r>
        <w:rPr>
          <w:b/>
          <w:color w:val="808080"/>
        </w:rPr>
        <w:t>[</w:t>
      </w:r>
      <w:r>
        <w:rPr/>
        <w:t>könnt</w:t>
      </w:r>
      <w:r>
        <w:rPr>
          <w:b/>
          <w:color w:val="808080"/>
        </w:rPr>
        <w:t>]</w:t>
      </w:r>
      <w:r>
        <w:rPr/>
        <w:t xml:space="preserve"> ihr</w:t>
      </w:r>
      <w:r>
        <w:rPr>
          <w:rStyle w:val="Funotenanker"/>
        </w:rPr>
        <w:footnoteReference w:customMarkFollows="1" w:id="677"/>
        <w:t>b</w:t>
      </w:r>
      <w:r>
        <w:rPr/>
        <w:t xml:space="preserve"> </w:t>
      </w:r>
      <w:r>
        <w:rPr>
          <w:b/>
          <w:color w:val="808080"/>
        </w:rPr>
        <w:t>[</w:t>
      </w:r>
      <w:r>
        <w:rPr/>
        <w:t>da</w:t>
      </w:r>
      <w:r>
        <w:rPr>
          <w:b/>
          <w:color w:val="808080"/>
        </w:rPr>
        <w:t>]</w:t>
      </w:r>
      <w:r>
        <w:rPr/>
        <w:t xml:space="preserve"> zu mir </w:t>
      </w:r>
      <w:r>
        <w:rPr>
          <w:color w:val="808080"/>
        </w:rPr>
        <w:t>(zu meiner Seele)</w:t>
      </w:r>
      <w:r>
        <w:rPr/>
        <w:t xml:space="preserve"> </w:t>
      </w:r>
      <w:r>
        <w:rPr>
          <w:rStyle w:val="Funotenanker"/>
        </w:rPr>
        <w:footnoteReference w:customMarkFollows="1" w:id="678"/>
        <w:t>c</w:t>
      </w:r>
      <w:r>
        <w:rPr/>
        <w:t xml:space="preserve"> sagen:</w:t>
      </w:r>
      <w:r>
        <w:rPr>
          <w:rStyle w:val="Funotenanker"/>
        </w:rPr>
        <w:footnoteReference w:customMarkFollows="1" w:id="679"/>
        <w:t>d</w:t>
      </w:r>
      <w:r>
        <w:rPr/>
        <w:t>„Flieht auf euren Berg</w:t>
      </w:r>
      <w:r>
        <w:rPr>
          <w:rStyle w:val="Funotenanker"/>
        </w:rPr>
        <w:footnoteReference w:customMarkFollows="1" w:id="680"/>
        <w:t>e</w:t>
      </w:r>
      <w:r>
        <w:rPr/>
        <w:t xml:space="preserve"> </w:t>
      </w:r>
      <w:r>
        <w:rPr>
          <w:b/>
          <w:color w:val="808080"/>
        </w:rPr>
        <w:t>[</w:t>
      </w:r>
      <w:r>
        <w:rPr/>
        <w:t>wie</w:t>
      </w:r>
      <w:r>
        <w:rPr>
          <w:b/>
          <w:color w:val="808080"/>
        </w:rPr>
        <w:t>]</w:t>
      </w:r>
      <w:r>
        <w:rPr/>
        <w:t xml:space="preserve"> ein Vogel!</w:t>
      </w:r>
      <w:r>
        <w:rPr>
          <w:rStyle w:val="Funotenanker"/>
        </w:rPr>
        <w:footnoteReference w:customMarkFollows="1" w:id="681"/>
        <w:t>f</w:t>
      </w:r>
      <w:r>
        <w:rPr/>
        <w:t xml:space="preserve"> </w:t>
      </w:r>
      <w:r>
        <w:rPr>
          <w:color w:val="808080"/>
        </w:rPr>
        <w:t>(</w:t>
      </w:r>
      <w:r>
        <w:rPr>
          <w:b/>
          <w:color w:val="808080"/>
        </w:rPr>
        <w:t>[</w:t>
      </w:r>
      <w:r>
        <w:rPr>
          <w:color w:val="808080"/>
        </w:rPr>
        <w:t>wie</w:t>
      </w:r>
      <w:r>
        <w:rPr>
          <w:b/>
          <w:color w:val="808080"/>
        </w:rPr>
        <w:t>]</w:t>
      </w:r>
      <w:r>
        <w:rPr>
          <w:color w:val="808080"/>
        </w:rPr>
        <w:t xml:space="preserve"> Vögel; flieh auf euren Berg, Vogel!, flieh/flieht ins Gebirge wie ein Vogel/wie Vögel!)</w:t>
      </w:r>
      <w:r>
        <w:rPr/>
        <w:t xml:space="preserve"> </w:t>
      </w:r>
      <w:r>
        <w:rPr>
          <w:rStyle w:val="Funotenanker"/>
        </w:rPr>
        <w:footnoteReference w:customMarkFollows="1" w:id="682"/>
        <w:t>g</w:t>
      </w:r>
      <w:r>
        <w:rPr/>
        <w:t xml:space="preserve"> </w:t>
        <w:br/>
        <w:t xml:space="preserve">{{field-off:bible}} </w:t>
        <w:br/>
        <w:t>[[@BibleTOBIBLE:Ps 11:2]]</w:t>
      </w:r>
      <w:r>
        <w:rPr>
          <w:b/>
        </w:rPr>
        <w:t>2</w:t>
      </w:r>
      <w:r>
        <w:rPr/>
        <w:t xml:space="preserve"> {{field-on:bible}} </w:t>
        <w:br/>
        <w:t>Denn siehe,</w:t>
      </w:r>
      <w:r>
        <w:rPr>
          <w:rStyle w:val="Funotenanker"/>
        </w:rPr>
        <w:footnoteReference w:customMarkFollows="1" w:id="683"/>
        <w:t>h</w:t>
      </w:r>
      <w:r>
        <w:rPr/>
        <w:t xml:space="preserve"> die Bösen wollen den Bogen spannen,Sie wollen den Pfeil auf die Sehne legen</w:t>
      </w:r>
      <w:r>
        <w:rPr>
          <w:rStyle w:val="Funotenanker"/>
        </w:rPr>
        <w:footnoteReference w:customMarkFollows="1" w:id="684"/>
        <w:t>i</w:t>
      </w:r>
      <w:r>
        <w:rPr/>
        <w:t>Um im Dunkel</w:t>
      </w:r>
      <w:r>
        <w:rPr>
          <w:rStyle w:val="Funotenanker"/>
        </w:rPr>
        <w:footnoteReference w:customMarkFollows="1" w:id="685"/>
        <w:t>j</w:t>
      </w:r>
      <w:r>
        <w:rPr/>
        <w:t xml:space="preserve"> auf die zu schießen, die aufrechten Herzens sind.</w:t>
        <w:br/>
        <w:t xml:space="preserve">{{field-off:bible}} </w:t>
        <w:br/>
        <w:t>[[@BibleTOBIBLE:Ps 11:3]]</w:t>
      </w:r>
      <w:r>
        <w:rPr>
          <w:b/>
        </w:rPr>
        <w:t>3</w:t>
      </w:r>
      <w:r>
        <w:rPr/>
        <w:t xml:space="preserve"> {{field-on:bible}} </w:t>
        <w:br/>
        <w:t xml:space="preserve">Ja, </w:t>
      </w:r>
      <w:r>
        <w:rPr>
          <w:color w:val="808080"/>
        </w:rPr>
        <w:t>(denn)</w:t>
      </w:r>
      <w:r>
        <w:rPr/>
        <w:t xml:space="preserve"> </w:t>
      </w:r>
      <w:r>
        <w:rPr>
          <w:b/>
          <w:color w:val="808080"/>
        </w:rPr>
        <w:t>[</w:t>
      </w:r>
      <w:r>
        <w:rPr/>
        <w:t>selbst</w:t>
      </w:r>
      <w:r>
        <w:rPr>
          <w:b/>
          <w:color w:val="808080"/>
        </w:rPr>
        <w:t>]</w:t>
      </w:r>
      <w:r>
        <w:rPr/>
        <w:t xml:space="preserve"> die Fundamente</w:t>
      </w:r>
      <w:r>
        <w:rPr>
          <w:rStyle w:val="Funotenanker"/>
        </w:rPr>
        <w:footnoteReference w:customMarkFollows="1" w:id="686"/>
        <w:t>k</w:t>
      </w:r>
      <w:r>
        <w:rPr/>
        <w:t xml:space="preserve"> sollen </w:t>
      </w:r>
      <w:r>
        <w:rPr>
          <w:color w:val="808080"/>
        </w:rPr>
        <w:t>(werden)</w:t>
      </w:r>
      <w:r>
        <w:rPr/>
        <w:t xml:space="preserve"> eingerissen werden - Was </w:t>
      </w:r>
      <w:r>
        <w:rPr>
          <w:b/>
          <w:color w:val="808080"/>
        </w:rPr>
        <w:t>[</w:t>
      </w:r>
      <w:r>
        <w:rPr/>
        <w:t>also</w:t>
      </w:r>
      <w:r>
        <w:rPr>
          <w:b/>
          <w:color w:val="808080"/>
        </w:rPr>
        <w:t>]</w:t>
      </w:r>
      <w:r>
        <w:rPr/>
        <w:t xml:space="preserve"> tut der Gerechte?“</w:t>
      </w:r>
      <w:r>
        <w:rPr>
          <w:rStyle w:val="Funotenanker"/>
        </w:rPr>
        <w:footnoteReference w:customMarkFollows="1" w:id="687"/>
        <w:t>l</w:t>
      </w:r>
      <w:r>
        <w:rPr/>
        <w:t xml:space="preserve"> </w:t>
        <w:br/>
        <w:br/>
        <w:t xml:space="preserve">{{field-off:bible}} </w:t>
        <w:br/>
        <w:t>[[@BibleTOBIBLE:Ps 11:4]]</w:t>
      </w:r>
      <w:r>
        <w:rPr>
          <w:b/>
        </w:rPr>
        <w:t>4</w:t>
      </w:r>
      <w:r>
        <w:rPr/>
        <w:t xml:space="preserve"> {{field-on:bible}} </w:t>
        <w:br/>
      </w:r>
      <w:r>
        <w:rPr>
          <w:smallCaps/>
          <w:color w:val="FF0000"/>
        </w:rPr>
        <w:t>JHWH</w:t>
      </w:r>
      <w:r>
        <w:rPr/>
        <w:t xml:space="preserve">, </w:t>
      </w:r>
      <w:r>
        <w:rPr>
          <w:b/>
          <w:color w:val="808080"/>
        </w:rPr>
        <w:t>[</w:t>
      </w:r>
      <w:r>
        <w:rPr/>
        <w:t>der</w:t>
      </w:r>
      <w:r>
        <w:rPr>
          <w:b/>
          <w:color w:val="808080"/>
        </w:rPr>
        <w:t>]</w:t>
      </w:r>
      <w:r>
        <w:rPr/>
        <w:t xml:space="preserve"> in seinem heiligen Tempel </w:t>
      </w:r>
      <w:r>
        <w:rPr>
          <w:color w:val="808080"/>
        </w:rPr>
        <w:t>(Palast)</w:t>
      </w:r>
      <w:r>
        <w:rPr/>
        <w:t xml:space="preserve"> </w:t>
      </w:r>
      <w:r>
        <w:rPr>
          <w:b/>
          <w:color w:val="808080"/>
        </w:rPr>
        <w:t>[</w:t>
      </w:r>
      <w:r>
        <w:rPr/>
        <w:t>ist</w:t>
      </w:r>
      <w:r>
        <w:rPr>
          <w:b/>
          <w:color w:val="808080"/>
        </w:rPr>
        <w:t>]</w:t>
      </w:r>
      <w:r>
        <w:rPr/>
        <w:t xml:space="preserve">, </w:t>
      </w:r>
      <w:r>
        <w:rPr>
          <w:color w:val="808080"/>
        </w:rPr>
        <w:t>(</w:t>
      </w:r>
      <w:r>
        <w:rPr>
          <w:smallCaps/>
          <w:color w:val="FF0000"/>
        </w:rPr>
        <w:t>JHWH</w:t>
      </w:r>
      <w:r>
        <w:rPr>
          <w:color w:val="808080"/>
        </w:rPr>
        <w:t xml:space="preserve"> ist in seinem heiligen Tempel; ist JHWH in seinem heiligen Tempel?)</w:t>
      </w:r>
      <w:r>
        <w:rPr/>
        <w:t xml:space="preserve"> </w:t>
      </w:r>
      <w:r>
        <w:rPr>
          <w:smallCaps/>
          <w:color w:val="FF0000"/>
        </w:rPr>
        <w:t>JHWH</w:t>
      </w:r>
      <w:r>
        <w:rPr/>
        <w:t xml:space="preserve">, </w:t>
      </w:r>
      <w:r>
        <w:rPr>
          <w:b/>
          <w:color w:val="808080"/>
        </w:rPr>
        <w:t>[</w:t>
      </w:r>
      <w:r>
        <w:rPr/>
        <w:t>der</w:t>
      </w:r>
      <w:r>
        <w:rPr>
          <w:b/>
          <w:color w:val="808080"/>
        </w:rPr>
        <w:t>]</w:t>
      </w:r>
      <w:r>
        <w:rPr/>
        <w:t xml:space="preserve"> im Himmel seinen Thron </w:t>
      </w:r>
      <w:r>
        <w:rPr>
          <w:b/>
          <w:color w:val="808080"/>
        </w:rPr>
        <w:t>[</w:t>
      </w:r>
      <w:r>
        <w:rPr/>
        <w:t>hat</w:t>
      </w:r>
      <w:r>
        <w:rPr>
          <w:b/>
          <w:color w:val="808080"/>
        </w:rPr>
        <w:t>]</w:t>
      </w:r>
      <w:r>
        <w:rPr/>
        <w:t xml:space="preserve"> </w:t>
      </w:r>
      <w:r>
        <w:rPr>
          <w:color w:val="808080"/>
        </w:rPr>
        <w:t>(</w:t>
      </w:r>
      <w:r>
        <w:rPr>
          <w:smallCaps/>
          <w:color w:val="FF0000"/>
        </w:rPr>
        <w:t>JHWH</w:t>
      </w:r>
      <w:r>
        <w:rPr>
          <w:color w:val="808080"/>
        </w:rPr>
        <w:t>s Thron ist im Himmel; ist JHWHs Thron im Himmel?)</w:t>
      </w:r>
      <w:r>
        <w:rPr/>
        <w:t xml:space="preserve"> -</w:t>
      </w:r>
      <w:r>
        <w:rPr>
          <w:rStyle w:val="Funotenanker"/>
        </w:rPr>
        <w:footnoteReference w:customMarkFollows="1" w:id="688"/>
        <w:t>m</w:t>
      </w:r>
      <w:r>
        <w:rPr/>
        <w:t xml:space="preserve"> </w:t>
        <w:br/>
        <w:t>Seine Augen blicken,</w:t>
      </w:r>
      <w:r>
        <w:rPr>
          <w:rStyle w:val="Funotenanker"/>
        </w:rPr>
        <w:footnoteReference w:customMarkFollows="1" w:id="689"/>
        <w:t>n</w:t>
      </w:r>
      <w:r>
        <w:rPr/>
        <w:t>Seine Augen</w:t>
      </w:r>
      <w:r>
        <w:rPr>
          <w:rStyle w:val="Funotenanker"/>
        </w:rPr>
        <w:footnoteReference w:customMarkFollows="1" w:id="690"/>
        <w:t>o</w:t>
      </w:r>
      <w:r>
        <w:rPr/>
        <w:t xml:space="preserve"> prüfen die Menschensöhne.</w:t>
      </w:r>
      <w:r>
        <w:rPr>
          <w:rStyle w:val="Funotenanker"/>
        </w:rPr>
        <w:footnoteReference w:customMarkFollows="1" w:id="691"/>
        <w:t>p</w:t>
      </w:r>
      <w:r>
        <w:rPr/>
        <w:t xml:space="preserve"> </w:t>
        <w:br/>
        <w:t xml:space="preserve">{{field-off:bible}} </w:t>
        <w:br/>
        <w:t>[[@BibleTOBIBLE:Ps 11:5]]</w:t>
      </w:r>
      <w:r>
        <w:rPr>
          <w:b/>
        </w:rPr>
        <w:t>5</w:t>
      </w:r>
      <w:r>
        <w:rPr/>
        <w:t xml:space="preserve"> {{field-on:bible}} </w:t>
        <w:br/>
      </w:r>
      <w:r>
        <w:rPr>
          <w:smallCaps/>
          <w:color w:val="FF0000"/>
        </w:rPr>
        <w:t>JHWH</w:t>
      </w:r>
      <w:r>
        <w:rPr/>
        <w:t xml:space="preserve">, der Gerechte, prüft. </w:t>
      </w:r>
      <w:r>
        <w:rPr>
          <w:color w:val="808080"/>
        </w:rPr>
        <w:t xml:space="preserve">(JHWH </w:t>
      </w:r>
      <w:r>
        <w:rPr>
          <w:b/>
          <w:color w:val="808080"/>
        </w:rPr>
        <w:t>[</w:t>
      </w:r>
      <w:r>
        <w:rPr>
          <w:color w:val="808080"/>
        </w:rPr>
        <w:t>ist</w:t>
      </w:r>
      <w:r>
        <w:rPr>
          <w:b/>
          <w:color w:val="808080"/>
        </w:rPr>
        <w:t>]</w:t>
      </w:r>
      <w:r>
        <w:rPr>
          <w:color w:val="808080"/>
        </w:rPr>
        <w:t xml:space="preserve"> gerecht. Er prüft.)</w:t>
      </w:r>
      <w:r>
        <w:rPr/>
        <w:t xml:space="preserve"> - Und den Bösen und den Gewalt Liebenden hasst er </w:t>
      </w:r>
      <w:r>
        <w:rPr>
          <w:color w:val="808080"/>
        </w:rPr>
        <w:t>(hasst seine Seele)</w:t>
      </w:r>
      <w:r>
        <w:rPr/>
        <w:t>.</w:t>
      </w:r>
      <w:r>
        <w:rPr>
          <w:rStyle w:val="Funotenanker"/>
        </w:rPr>
        <w:footnoteReference w:customMarkFollows="1" w:id="692"/>
        <w:t>q</w:t>
      </w:r>
      <w:r>
        <w:rPr/>
        <w:t xml:space="preserve"> </w:t>
        <w:br/>
        <w:t xml:space="preserve">{{field-off:bible}} </w:t>
        <w:br/>
        <w:t>[[@BibleTOBIBLE:Ps 11:6]]</w:t>
      </w:r>
      <w:r>
        <w:rPr>
          <w:b/>
        </w:rPr>
        <w:t>6</w:t>
      </w:r>
      <w:r>
        <w:rPr/>
        <w:t xml:space="preserve"> {{field-on:bible}} </w:t>
        <w:br/>
        <w:t xml:space="preserve">Er wird </w:t>
      </w:r>
      <w:r>
        <w:rPr>
          <w:color w:val="808080"/>
        </w:rPr>
        <w:t>(soll)</w:t>
      </w:r>
      <w:r>
        <w:rPr/>
        <w:t xml:space="preserve"> </w:t>
      </w:r>
      <w:r>
        <w:rPr>
          <w:rStyle w:val="Funotenanker"/>
        </w:rPr>
        <w:footnoteReference w:customMarkFollows="1" w:id="693"/>
        <w:t>r</w:t>
      </w:r>
      <w:r>
        <w:rPr/>
        <w:t xml:space="preserve"> regnen lassen auf </w:t>
      </w:r>
      <w:r>
        <w:rPr>
          <w:b/>
          <w:color w:val="808080"/>
        </w:rPr>
        <w:t>[</w:t>
      </w:r>
      <w:r>
        <w:rPr/>
        <w:t>die</w:t>
      </w:r>
      <w:r>
        <w:rPr>
          <w:b/>
          <w:color w:val="808080"/>
        </w:rPr>
        <w:t>]</w:t>
      </w:r>
      <w:r>
        <w:rPr/>
        <w:t xml:space="preserve"> Bösen Schlingen </w:t>
      </w:r>
      <w:r>
        <w:rPr>
          <w:color w:val="808080"/>
        </w:rPr>
        <w:t>(Kohle?)</w:t>
      </w:r>
      <w:r>
        <w:rPr/>
        <w:t>:</w:t>
      </w:r>
      <w:r>
        <w:rPr>
          <w:rStyle w:val="Funotenanker"/>
        </w:rPr>
        <w:footnoteReference w:customMarkFollows="1" w:id="694"/>
        <w:t>s</w:t>
      </w:r>
      <w:r>
        <w:rPr/>
        <w:t>Feuer, Schwefel</w:t>
      </w:r>
      <w:r>
        <w:rPr>
          <w:rStyle w:val="Funotenanker"/>
        </w:rPr>
        <w:footnoteReference w:customMarkFollows="1" w:id="695"/>
        <w:t>t</w:t>
      </w:r>
      <w:r>
        <w:rPr/>
        <w:t xml:space="preserve"> und gewaltiger </w:t>
      </w:r>
      <w:r>
        <w:rPr>
          <w:color w:val="808080"/>
        </w:rPr>
        <w:t>(glühender)</w:t>
      </w:r>
      <w:r>
        <w:rPr/>
        <w:t xml:space="preserve"> Wind </w:t>
      </w:r>
      <w:r>
        <w:rPr>
          <w:b/>
          <w:color w:val="808080"/>
        </w:rPr>
        <w:t>[</w:t>
      </w:r>
      <w:r>
        <w:rPr/>
        <w:t>ist</w:t>
      </w:r>
      <w:r>
        <w:rPr>
          <w:b/>
          <w:color w:val="808080"/>
        </w:rPr>
        <w:t>]</w:t>
      </w:r>
      <w:r>
        <w:rPr/>
        <w:t xml:space="preserve"> der Anteil ihres Bechers.</w:t>
      </w:r>
      <w:r>
        <w:rPr>
          <w:rStyle w:val="Funotenanker"/>
        </w:rPr>
        <w:footnoteReference w:customMarkFollows="1" w:id="696"/>
        <w:t>u</w:t>
      </w:r>
      <w:r>
        <w:rPr/>
        <w:t xml:space="preserve"> </w:t>
        <w:br/>
        <w:t xml:space="preserve">{{field-off:bible}} </w:t>
        <w:br/>
        <w:t>[[@BibleTOBIBLE:Ps 11:7]]</w:t>
      </w:r>
      <w:r>
        <w:rPr>
          <w:b/>
        </w:rPr>
        <w:t>7</w:t>
      </w:r>
      <w:r>
        <w:rPr/>
        <w:t xml:space="preserve"> {{field-on:bible}} </w:t>
        <w:br/>
        <w:t xml:space="preserve">Weil </w:t>
      </w:r>
      <w:r>
        <w:rPr>
          <w:smallCaps/>
          <w:color w:val="FF0000"/>
        </w:rPr>
        <w:t>JHWH</w:t>
      </w:r>
      <w:r>
        <w:rPr/>
        <w:t xml:space="preserve"> gerecht </w:t>
      </w:r>
      <w:r>
        <w:rPr>
          <w:color w:val="808080"/>
        </w:rPr>
        <w:t>(der Gerechte)</w:t>
      </w:r>
      <w:r>
        <w:rPr/>
        <w:t xml:space="preserve"> ist </w:t>
      </w:r>
      <w:r>
        <w:rPr>
          <w:color w:val="808080"/>
        </w:rPr>
        <w:t xml:space="preserve">(denn </w:t>
      </w:r>
      <w:r>
        <w:rPr>
          <w:smallCaps/>
          <w:color w:val="FF0000"/>
        </w:rPr>
        <w:t>JHWH</w:t>
      </w:r>
      <w:r>
        <w:rPr>
          <w:color w:val="808080"/>
        </w:rPr>
        <w:t xml:space="preserve"> ist gerecht.)</w:t>
      </w:r>
      <w:r>
        <w:rPr/>
        <w:t xml:space="preserve">, Gerechtigkeit liebt </w:t>
      </w:r>
      <w:r>
        <w:rPr>
          <w:color w:val="808080"/>
        </w:rPr>
        <w:t>(liebt er Gerechtigkeit.)</w:t>
      </w:r>
      <w:r>
        <w:rPr/>
        <w:t>,Wird</w:t>
      </w:r>
      <w:r>
        <w:rPr>
          <w:rStyle w:val="Funotenanker"/>
        </w:rPr>
        <w:footnoteReference w:customMarkFollows="1" w:id="697"/>
        <w:t>v</w:t>
      </w:r>
      <w:r>
        <w:rPr/>
        <w:t xml:space="preserve"> ein Aufrechter sein Gesicht sehen </w:t>
      </w:r>
      <w:r>
        <w:rPr>
          <w:color w:val="808080"/>
        </w:rPr>
        <w:t>(wird sein Gesicht auf einen Aufrechten sehen?)</w:t>
      </w:r>
      <w:r>
        <w:rPr/>
        <w:t>.</w:t>
      </w:r>
      <w:r>
        <w:rPr>
          <w:rStyle w:val="Funotenanker"/>
        </w:rPr>
        <w:footnoteReference w:customMarkFollows="1" w:id="698"/>
        <w:t>w</w:t>
      </w:r>
      <w:r>
        <w:rPr/>
        <w:t xml:space="preserve"> </w:t>
        <w:br/>
        <w:t xml:space="preserve">{{field-off:bible}} </w:t>
      </w:r>
    </w:p>
    <w:p>
      <w:pPr>
        <w:pStyle w:val="Berschrift3"/>
        <w:rPr/>
      </w:pPr>
      <w:r>
        <w:rPr/>
        <w:t>[[@BibleTOBIBLE:Ps 12]]Kapitel 12</w:t>
      </w:r>
    </w:p>
    <w:p>
      <w:pPr>
        <w:pStyle w:val="Textkrper"/>
        <w:rPr/>
      </w:pPr>
      <w:r>
        <w:rPr/>
        <w:br/>
        <w:t>[[@BibleTOBIBLE:Ps 12:1]]</w:t>
      </w:r>
      <w:r>
        <w:rPr>
          <w:b/>
        </w:rPr>
        <w:t>1</w:t>
      </w:r>
      <w:r>
        <w:rPr/>
        <w:t xml:space="preserve"> {{field-on:bible}} </w:t>
      </w:r>
      <w:r>
        <w:rPr>
          <w:rStyle w:val="Funotenanker"/>
        </w:rPr>
        <w:footnoteReference w:customMarkFollows="1" w:id="699"/>
        <w:t>Status</w:t>
      </w:r>
      <w:r>
        <w:rPr/>
        <w:t xml:space="preserve"> ''Für den Chorleiter </w:t>
      </w:r>
      <w:r>
        <w:rPr>
          <w:color w:val="808080"/>
        </w:rPr>
        <w:t>(Dirigenten, Singenden, Musizierenden)</w:t>
      </w:r>
      <w:r>
        <w:rPr/>
        <w:t>''.</w:t>
      </w:r>
      <w:r>
        <w:rPr>
          <w:rStyle w:val="Funotenanker"/>
        </w:rPr>
        <w:footnoteReference w:customMarkFollows="1" w:id="700"/>
        <w:t>a</w:t>
      </w:r>
      <w:r>
        <w:rPr/>
        <w:t xml:space="preserve"> `al-hascheminit ''</w:t>
      </w:r>
      <w:r>
        <w:rPr>
          <w:color w:val="808080"/>
        </w:rPr>
        <w:t>(</w:t>
      </w:r>
      <w:r>
        <w:rPr>
          <w:b/>
          <w:color w:val="808080"/>
        </w:rPr>
        <w:t>[</w:t>
      </w:r>
      <w:r>
        <w:rPr>
          <w:color w:val="808080"/>
        </w:rPr>
        <w:t>Vorzutragen</w:t>
      </w:r>
      <w:r>
        <w:rPr>
          <w:b/>
          <w:color w:val="808080"/>
        </w:rPr>
        <w:t>]</w:t>
      </w:r>
      <w:r>
        <w:rPr>
          <w:color w:val="808080"/>
        </w:rPr>
        <w:t xml:space="preserve"> von Basstimmen; </w:t>
      </w:r>
      <w:r>
        <w:rPr>
          <w:b/>
          <w:color w:val="808080"/>
        </w:rPr>
        <w:t>[</w:t>
      </w:r>
      <w:r>
        <w:rPr>
          <w:color w:val="808080"/>
        </w:rPr>
        <w:t>Vorzutragen vom</w:t>
      </w:r>
      <w:r>
        <w:rPr>
          <w:b/>
          <w:color w:val="808080"/>
        </w:rPr>
        <w:t>]</w:t>
      </w:r>
      <w:r>
        <w:rPr>
          <w:color w:val="808080"/>
        </w:rPr>
        <w:t xml:space="preserve"> Vorsteher über </w:t>
      </w:r>
      <w:r>
        <w:rPr>
          <w:b/>
          <w:color w:val="808080"/>
        </w:rPr>
        <w:t>[</w:t>
      </w:r>
      <w:r>
        <w:rPr>
          <w:color w:val="808080"/>
        </w:rPr>
        <w:t>das Ritual</w:t>
      </w:r>
      <w:r>
        <w:rPr>
          <w:b/>
          <w:color w:val="808080"/>
        </w:rPr>
        <w:t>]</w:t>
      </w:r>
      <w:r>
        <w:rPr>
          <w:color w:val="808080"/>
        </w:rPr>
        <w:t xml:space="preserve"> „hascheminit“)</w:t>
      </w:r>
      <w:r>
        <w:rPr/>
        <w:t>''.</w:t>
      </w:r>
      <w:r>
        <w:rPr>
          <w:rStyle w:val="Funotenanker"/>
        </w:rPr>
        <w:footnoteReference w:customMarkFollows="1" w:id="701"/>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12:2]]</w:t>
      </w:r>
      <w:r>
        <w:rPr>
          <w:b/>
        </w:rPr>
        <w:t>2</w:t>
      </w:r>
      <w:r>
        <w:rPr/>
        <w:t xml:space="preserve"> {{field-on:bible}} </w:t>
        <w:br/>
        <w:t xml:space="preserve">Hilf </w:t>
      </w:r>
      <w:r>
        <w:rPr>
          <w:color w:val="808080"/>
        </w:rPr>
        <w:t>(Rette)</w:t>
      </w:r>
      <w:r>
        <w:rPr/>
        <w:t>,</w:t>
      </w:r>
      <w:r>
        <w:rPr>
          <w:rStyle w:val="Funotenanker"/>
        </w:rPr>
        <w:footnoteReference w:customMarkFollows="1" w:id="702"/>
        <w:t>c</w:t>
      </w:r>
      <w:r>
        <w:rPr/>
        <w:t xml:space="preserve"> </w:t>
      </w:r>
      <w:r>
        <w:rPr>
          <w:smallCaps/>
          <w:color w:val="FF0000"/>
        </w:rPr>
        <w:t>JHWH</w:t>
      </w:r>
      <w:r>
        <w:rPr/>
        <w:t xml:space="preserve">, denn </w:t>
      </w:r>
      <w:r>
        <w:rPr>
          <w:b/>
          <w:color w:val="808080"/>
        </w:rPr>
        <w:t>[</w:t>
      </w:r>
      <w:r>
        <w:rPr/>
        <w:t>der</w:t>
      </w:r>
      <w:r>
        <w:rPr>
          <w:b/>
          <w:color w:val="808080"/>
        </w:rPr>
        <w:t>]</w:t>
      </w:r>
      <w:r>
        <w:rPr/>
        <w:t xml:space="preserve"> Fromme </w:t>
      </w:r>
      <w:r>
        <w:rPr>
          <w:color w:val="808080"/>
        </w:rPr>
        <w:t>(Frömmigkeit)</w:t>
      </w:r>
      <w:r>
        <w:rPr/>
        <w:t xml:space="preserve"> endet </w:t>
      </w:r>
      <w:r>
        <w:rPr>
          <w:color w:val="808080"/>
        </w:rPr>
        <w:t>(ist geendet)</w:t>
      </w:r>
      <w:r>
        <w:rPr/>
        <w:t xml:space="preserve">,Denn </w:t>
      </w:r>
      <w:r>
        <w:rPr>
          <w:b/>
          <w:color w:val="808080"/>
        </w:rPr>
        <w:t>[</w:t>
      </w:r>
      <w:r>
        <w:rPr/>
        <w:t>die</w:t>
      </w:r>
      <w:r>
        <w:rPr>
          <w:b/>
          <w:color w:val="808080"/>
        </w:rPr>
        <w:t>]</w:t>
      </w:r>
      <w:r>
        <w:rPr/>
        <w:t xml:space="preserve"> Treuen </w:t>
      </w:r>
      <w:r>
        <w:rPr>
          <w:color w:val="808080"/>
        </w:rPr>
        <w:t>(Treue)</w:t>
      </w:r>
      <w:r>
        <w:rPr/>
        <w:t xml:space="preserve"> gehen zugrunde </w:t>
      </w:r>
      <w:r>
        <w:rPr>
          <w:color w:val="808080"/>
        </w:rPr>
        <w:t>(sind zugrunde gegangen)</w:t>
      </w:r>
      <w:r>
        <w:rPr/>
        <w:t xml:space="preserve"> </w:t>
      </w:r>
      <w:r>
        <w:rPr>
          <w:rStyle w:val="Funotenanker"/>
        </w:rPr>
        <w:footnoteReference w:customMarkFollows="1" w:id="703"/>
        <w:t>d</w:t>
      </w:r>
      <w:r>
        <w:rPr/>
        <w:t xml:space="preserve"> unter den Menschenkindern!</w:t>
        <w:br/>
        <w:t xml:space="preserve">{{field-off:bible}} </w:t>
        <w:br/>
        <w:t>[[@BibleTOBIBLE:Ps 12:3]]</w:t>
      </w:r>
      <w:r>
        <w:rPr>
          <w:b/>
        </w:rPr>
        <w:t>3</w:t>
      </w:r>
      <w:r>
        <w:rPr/>
        <w:t xml:space="preserve"> {{field-on:bible}} </w:t>
        <w:br/>
        <w:t>Erlogenes sagt jeder seinem Nächsten;</w:t>
      </w:r>
      <w:r>
        <w:rPr>
          <w:rStyle w:val="Funotenanker"/>
        </w:rPr>
        <w:footnoteReference w:customMarkFollows="1" w:id="704"/>
        <w:t>e</w:t>
      </w:r>
      <w:r>
        <w:rPr/>
        <w:t xml:space="preserve"> </w:t>
      </w:r>
      <w:r>
        <w:rPr>
          <w:b/>
          <w:color w:val="808080"/>
        </w:rPr>
        <w:t>[</w:t>
      </w:r>
      <w:r>
        <w:rPr/>
        <w:t>Mit</w:t>
      </w:r>
      <w:r>
        <w:rPr>
          <w:b/>
          <w:color w:val="808080"/>
        </w:rPr>
        <w:t>]</w:t>
      </w:r>
      <w:r>
        <w:rPr/>
        <w:t xml:space="preserve"> glatter Lippe,</w:t>
      </w:r>
      <w:r>
        <w:rPr>
          <w:rStyle w:val="Funotenanker"/>
        </w:rPr>
        <w:footnoteReference w:customMarkFollows="1" w:id="705"/>
        <w:t>f</w:t>
      </w:r>
      <w:r>
        <w:rPr/>
        <w:t xml:space="preserve"> mit Herz und Herz</w:t>
      </w:r>
      <w:r>
        <w:rPr>
          <w:rStyle w:val="Funotenanker"/>
        </w:rPr>
        <w:footnoteReference w:customMarkFollows="1" w:id="706"/>
        <w:t>g</w:t>
      </w:r>
      <w:r>
        <w:rPr/>
        <w:t xml:space="preserve"> sprechen sie!</w:t>
        <w:br/>
        <w:br/>
        <w:t xml:space="preserve">{{field-off:bible}} </w:t>
        <w:br/>
        <w:t>[[@BibleTOBIBLE:Ps 12:4]]</w:t>
      </w:r>
      <w:r>
        <w:rPr>
          <w:b/>
        </w:rPr>
        <w:t>4</w:t>
      </w:r>
      <w:r>
        <w:rPr/>
        <w:t xml:space="preserve"> {{field-on:bible}} </w:t>
        <w:br/>
      </w:r>
      <w:r>
        <w:rPr>
          <w:smallCaps/>
          <w:color w:val="FF0000"/>
        </w:rPr>
        <w:t>JHWH</w:t>
      </w:r>
      <w:r>
        <w:rPr/>
        <w:t xml:space="preserve"> möge vernichten </w:t>
      </w:r>
      <w:r>
        <w:rPr>
          <w:color w:val="808080"/>
        </w:rPr>
        <w:t>(abschneiden)</w:t>
      </w:r>
      <w:r>
        <w:rPr/>
        <w:t xml:space="preserve"> alle glatten Lippen,</w:t>
      </w:r>
      <w:r>
        <w:rPr>
          <w:b/>
          <w:color w:val="808080"/>
        </w:rPr>
        <w:t>[</w:t>
      </w:r>
      <w:r>
        <w:rPr/>
        <w:t>Die</w:t>
      </w:r>
      <w:r>
        <w:rPr>
          <w:b/>
          <w:color w:val="808080"/>
        </w:rPr>
        <w:t>]</w:t>
      </w:r>
      <w:r>
        <w:rPr/>
        <w:t xml:space="preserve"> Zunge, die Großes </w:t>
      </w:r>
      <w:r>
        <w:rPr>
          <w:color w:val="808080"/>
        </w:rPr>
        <w:t>(Vermessenes)</w:t>
      </w:r>
      <w:r>
        <w:rPr/>
        <w:t xml:space="preserve"> spricht,</w:t>
        <w:br/>
        <w:t xml:space="preserve">{{field-off:bible}} </w:t>
        <w:br/>
        <w:t>[[@BibleTOBIBLE:Ps 12:5]]</w:t>
      </w:r>
      <w:r>
        <w:rPr>
          <w:b/>
        </w:rPr>
        <w:t>5</w:t>
      </w:r>
      <w:r>
        <w:rPr/>
        <w:t xml:space="preserve"> {{field-on:bible}} </w:t>
        <w:br/>
      </w:r>
      <w:r>
        <w:rPr>
          <w:b/>
          <w:color w:val="808080"/>
        </w:rPr>
        <w:t>[</w:t>
      </w:r>
      <w:r>
        <w:rPr/>
        <w:t>Sie</w:t>
      </w:r>
      <w:r>
        <w:rPr>
          <w:b/>
          <w:color w:val="808080"/>
        </w:rPr>
        <w:t>]</w:t>
      </w:r>
      <w:r>
        <w:rPr/>
        <w:t xml:space="preserve">, sie </w:t>
      </w:r>
      <w:r>
        <w:rPr>
          <w:b/>
          <w:color w:val="808080"/>
        </w:rPr>
        <w:t>[</w:t>
      </w:r>
      <w:r>
        <w:rPr/>
        <w:t>vorher</w:t>
      </w:r>
      <w:r>
        <w:rPr>
          <w:b/>
          <w:color w:val="808080"/>
        </w:rPr>
        <w:t>]</w:t>
      </w:r>
      <w:r>
        <w:rPr/>
        <w:t xml:space="preserve"> gesagt haben: „Mit unserer Zunge sind wir stark </w:t>
      </w:r>
      <w:r>
        <w:rPr>
          <w:color w:val="808080"/>
        </w:rPr>
        <w:t>(unserer Zunge verschaffen wir Stärke?, über unsere Zunge herrschen wir?)</w:t>
      </w:r>
      <w:r>
        <w:rPr/>
        <w:t xml:space="preserve">Unsere Lippen </w:t>
      </w:r>
      <w:r>
        <w:rPr>
          <w:b/>
          <w:color w:val="808080"/>
        </w:rPr>
        <w:t>[</w:t>
      </w:r>
      <w:r>
        <w:rPr/>
        <w:t>sind</w:t>
      </w:r>
      <w:r>
        <w:rPr>
          <w:b/>
          <w:color w:val="808080"/>
        </w:rPr>
        <w:t>]</w:t>
      </w:r>
      <w:r>
        <w:rPr/>
        <w:t xml:space="preserve"> mit uns </w:t>
      </w:r>
      <w:r>
        <w:rPr>
          <w:color w:val="808080"/>
        </w:rPr>
        <w:t>(gehören uns)</w:t>
      </w:r>
      <w:r>
        <w:rPr/>
        <w:t xml:space="preserve"> - wer </w:t>
      </w:r>
      <w:r>
        <w:rPr>
          <w:b/>
          <w:color w:val="808080"/>
        </w:rPr>
        <w:t>[</w:t>
      </w:r>
      <w:r>
        <w:rPr/>
        <w:t>also</w:t>
      </w:r>
      <w:r>
        <w:rPr>
          <w:b/>
          <w:color w:val="808080"/>
        </w:rPr>
        <w:t>]</w:t>
      </w:r>
      <w:r>
        <w:rPr/>
        <w:t xml:space="preserve"> </w:t>
      </w:r>
      <w:r>
        <w:rPr>
          <w:b/>
          <w:color w:val="808080"/>
        </w:rPr>
        <w:t>[</w:t>
      </w:r>
      <w:r>
        <w:rPr/>
        <w:t>will da</w:t>
      </w:r>
      <w:r>
        <w:rPr>
          <w:b/>
          <w:color w:val="808080"/>
        </w:rPr>
        <w:t>]</w:t>
      </w:r>
      <w:r>
        <w:rPr/>
        <w:t xml:space="preserve"> Herr über uns </w:t>
      </w:r>
      <w:r>
        <w:rPr>
          <w:b/>
          <w:color w:val="808080"/>
        </w:rPr>
        <w:t>[</w:t>
      </w:r>
      <w:r>
        <w:rPr/>
        <w:t>sein</w:t>
      </w:r>
      <w:r>
        <w:rPr>
          <w:b/>
          <w:color w:val="808080"/>
        </w:rPr>
        <w:t>]</w:t>
      </w:r>
      <w:r>
        <w:rPr/>
        <w:t>?“</w:t>
        <w:br/>
        <w:br/>
        <w:t xml:space="preserve">{{field-off:bible}} </w:t>
        <w:br/>
        <w:t>[[@BibleTOBIBLE:Ps 12:6]]</w:t>
      </w:r>
      <w:r>
        <w:rPr>
          <w:b/>
        </w:rPr>
        <w:t>6</w:t>
      </w:r>
      <w:r>
        <w:rPr/>
        <w:t xml:space="preserve"> {{field-on:bible}} </w:t>
        <w:br/>
        <w:t xml:space="preserve">„Wegen der Gewalt gegen </w:t>
      </w:r>
      <w:r>
        <w:rPr>
          <w:b/>
          <w:color w:val="808080"/>
        </w:rPr>
        <w:t>[</w:t>
      </w:r>
      <w:r>
        <w:rPr/>
        <w:t>die</w:t>
      </w:r>
      <w:r>
        <w:rPr>
          <w:b/>
          <w:color w:val="808080"/>
        </w:rPr>
        <w:t>]</w:t>
      </w:r>
      <w:r>
        <w:rPr/>
        <w:t xml:space="preserve"> Elenden, wegen dem Ächzen </w:t>
      </w:r>
      <w:r>
        <w:rPr>
          <w:b/>
          <w:color w:val="808080"/>
        </w:rPr>
        <w:t>[</w:t>
      </w:r>
      <w:r>
        <w:rPr/>
        <w:t>der</w:t>
      </w:r>
      <w:r>
        <w:rPr>
          <w:b/>
          <w:color w:val="808080"/>
        </w:rPr>
        <w:t>]</w:t>
      </w:r>
      <w:r>
        <w:rPr/>
        <w:t xml:space="preserve"> Armen - Jetzt werde </w:t>
      </w:r>
      <w:r>
        <w:rPr>
          <w:color w:val="808080"/>
        </w:rPr>
        <w:t>(will)</w:t>
      </w:r>
      <w:r>
        <w:rPr/>
        <w:t xml:space="preserve"> ich mich erheben“,</w:t>
      </w:r>
      <w:r>
        <w:rPr>
          <w:rStyle w:val="Funotenanker"/>
        </w:rPr>
        <w:footnoteReference w:customMarkFollows="1" w:id="707"/>
        <w:t>h</w:t>
      </w:r>
      <w:r>
        <w:rPr/>
        <w:t xml:space="preserve"> möge </w:t>
      </w:r>
      <w:r>
        <w:rPr>
          <w:color w:val="808080"/>
        </w:rPr>
        <w:t>(wird)</w:t>
      </w:r>
      <w:r>
        <w:rPr/>
        <w:t xml:space="preserve"> </w:t>
      </w:r>
      <w:r>
        <w:rPr>
          <w:smallCaps/>
          <w:color w:val="FF0000"/>
        </w:rPr>
        <w:t>JHWH</w:t>
      </w:r>
      <w:r>
        <w:rPr/>
        <w:t xml:space="preserve"> sprechen </w:t>
      </w:r>
      <w:r>
        <w:rPr>
          <w:color w:val="808080"/>
        </w:rPr>
        <w:t xml:space="preserve">(spricht </w:t>
      </w:r>
      <w:r>
        <w:rPr>
          <w:smallCaps/>
          <w:color w:val="FF0000"/>
        </w:rPr>
        <w:t>JHWH</w:t>
      </w:r>
      <w:r>
        <w:rPr>
          <w:color w:val="808080"/>
        </w:rPr>
        <w:t>?)</w:t>
      </w:r>
      <w:r>
        <w:rPr/>
        <w:t>;</w:t>
      </w:r>
      <w:r>
        <w:rPr>
          <w:rStyle w:val="Funotenanker"/>
        </w:rPr>
        <w:footnoteReference w:customMarkFollows="1" w:id="708"/>
        <w:t>i</w:t>
      </w:r>
      <w:r>
        <w:rPr/>
        <w:t xml:space="preserve">„Ich werde </w:t>
      </w:r>
      <w:r>
        <w:rPr>
          <w:color w:val="808080"/>
        </w:rPr>
        <w:t>(will)</w:t>
      </w:r>
      <w:r>
        <w:rPr/>
        <w:t xml:space="preserve"> in Sicherheit bringen </w:t>
      </w:r>
      <w:r>
        <w:rPr>
          <w:color w:val="808080"/>
        </w:rPr>
        <w:t>(ins Heil versetzen)</w:t>
      </w:r>
      <w:r>
        <w:rPr/>
        <w:t xml:space="preserve"> </w:t>
      </w:r>
      <w:r>
        <w:rPr>
          <w:b/>
          <w:color w:val="808080"/>
        </w:rPr>
        <w:t>[</w:t>
      </w:r>
      <w:r>
        <w:rPr/>
        <w:t>den, der</w:t>
      </w:r>
      <w:r>
        <w:rPr>
          <w:b/>
          <w:color w:val="808080"/>
        </w:rPr>
        <w:t>]</w:t>
      </w:r>
      <w:r>
        <w:rPr/>
        <w:t xml:space="preserve"> danach seufzt </w:t>
      </w:r>
      <w:r>
        <w:rPr>
          <w:color w:val="808080"/>
        </w:rPr>
        <w:t>(gegen den man schnaubt, will seinen Zeugen in Sicherheit bringen, will ihm zum Heil einen Zeugen stellen)</w:t>
      </w:r>
      <w:r>
        <w:rPr/>
        <w:t>.“</w:t>
      </w:r>
      <w:r>
        <w:rPr>
          <w:rStyle w:val="Funotenanker"/>
        </w:rPr>
        <w:footnoteReference w:customMarkFollows="1" w:id="709"/>
        <w:t>j</w:t>
      </w:r>
      <w:r>
        <w:rPr/>
        <w:t xml:space="preserve"> </w:t>
        <w:br/>
        <w:t xml:space="preserve">{{field-off:bible}} </w:t>
        <w:br/>
        <w:t>[[@BibleTOBIBLE:Ps 12:7]]</w:t>
      </w:r>
      <w:r>
        <w:rPr>
          <w:b/>
        </w:rPr>
        <w:t>7</w:t>
      </w:r>
      <w:r>
        <w:rPr/>
        <w:t xml:space="preserve"> {{field-on:bible}} </w:t>
        <w:br/>
      </w:r>
      <w:r>
        <w:rPr>
          <w:b/>
          <w:color w:val="808080"/>
        </w:rPr>
        <w:t>[</w:t>
      </w:r>
      <w:r>
        <w:rPr/>
        <w:t>Und diese</w:t>
      </w:r>
      <w:r>
        <w:rPr>
          <w:b/>
          <w:color w:val="808080"/>
        </w:rPr>
        <w:t>]</w:t>
      </w:r>
      <w:r>
        <w:rPr/>
        <w:t xml:space="preserve"> Aussagen von </w:t>
      </w:r>
      <w:r>
        <w:rPr>
          <w:smallCaps/>
          <w:color w:val="FF0000"/>
        </w:rPr>
        <w:t>JHWH</w:t>
      </w:r>
      <w:r>
        <w:rPr/>
        <w:t xml:space="preserve"> </w:t>
      </w:r>
      <w:r>
        <w:rPr>
          <w:b/>
          <w:color w:val="808080"/>
        </w:rPr>
        <w:t>[</w:t>
      </w:r>
      <w:r>
        <w:rPr/>
        <w:t xml:space="preserve">mögen sein </w:t>
      </w:r>
      <w:r>
        <w:rPr>
          <w:color w:val="808080"/>
        </w:rPr>
        <w:t>(sind)</w:t>
      </w:r>
      <w:r>
        <w:rPr>
          <w:b/>
          <w:color w:val="808080"/>
        </w:rPr>
        <w:t>]</w:t>
      </w:r>
      <w:r>
        <w:rPr/>
        <w:t xml:space="preserve"> reine Aussagen,Silber, </w:t>
      </w:r>
      <w:r>
        <w:rPr>
          <w:b/>
          <w:color w:val="808080"/>
        </w:rPr>
        <w:t>[</w:t>
      </w:r>
      <w:r>
        <w:rPr/>
        <w:t>das</w:t>
      </w:r>
      <w:r>
        <w:rPr>
          <w:b/>
          <w:color w:val="808080"/>
        </w:rPr>
        <w:t>]</w:t>
      </w:r>
      <w:r>
        <w:rPr/>
        <w:t xml:space="preserve"> geläutert </w:t>
      </w:r>
      <w:r>
        <w:rPr>
          <w:b/>
          <w:color w:val="808080"/>
        </w:rPr>
        <w:t>[</w:t>
      </w:r>
      <w:r>
        <w:rPr/>
        <w:t>wurde</w:t>
      </w:r>
      <w:r>
        <w:rPr>
          <w:b/>
          <w:color w:val="808080"/>
        </w:rPr>
        <w:t>]</w:t>
      </w:r>
      <w:r>
        <w:rPr/>
        <w:t xml:space="preserve"> ???,</w:t>
      </w:r>
      <w:r>
        <w:rPr>
          <w:rStyle w:val="Funotenanker"/>
        </w:rPr>
        <w:footnoteReference w:customMarkFollows="1" w:id="710"/>
        <w:t>k</w:t>
      </w:r>
      <w:r>
        <w:rPr/>
        <w:t xml:space="preserve"> </w:t>
      </w:r>
      <w:r>
        <w:rPr>
          <w:b/>
          <w:color w:val="808080"/>
        </w:rPr>
        <w:t>[</w:t>
      </w:r>
      <w:r>
        <w:rPr/>
        <w:t>Das</w:t>
      </w:r>
      <w:r>
        <w:rPr>
          <w:b/>
          <w:color w:val="808080"/>
        </w:rPr>
        <w:t>]</w:t>
      </w:r>
      <w:r>
        <w:rPr/>
        <w:t xml:space="preserve"> siebenfach in die Erde veredelt </w:t>
      </w:r>
      <w:r>
        <w:rPr>
          <w:b/>
          <w:color w:val="808080"/>
        </w:rPr>
        <w:t>[</w:t>
      </w:r>
      <w:r>
        <w:rPr/>
        <w:t>wurde</w:t>
      </w:r>
      <w:r>
        <w:rPr>
          <w:b/>
          <w:color w:val="808080"/>
        </w:rPr>
        <w:t>]</w:t>
      </w:r>
      <w:r>
        <w:rPr/>
        <w:t>.</w:t>
        <w:br/>
        <w:br/>
        <w:t xml:space="preserve">{{field-off:bible}} </w:t>
        <w:br/>
        <w:t>[[@BibleTOBIBLE:Ps 12:8]]</w:t>
      </w:r>
      <w:r>
        <w:rPr>
          <w:b/>
        </w:rPr>
        <w:t>8</w:t>
      </w:r>
      <w:r>
        <w:rPr/>
        <w:t xml:space="preserve"> {{field-on:bible}} </w:t>
        <w:br/>
        <w:t xml:space="preserve">Du, </w:t>
      </w:r>
      <w:r>
        <w:rPr>
          <w:smallCaps/>
          <w:color w:val="FF0000"/>
        </w:rPr>
        <w:t>JHWH</w:t>
      </w:r>
      <w:r>
        <w:rPr/>
        <w:t>,</w:t>
      </w:r>
      <w:r>
        <w:rPr>
          <w:rStyle w:val="Funotenanker"/>
        </w:rPr>
        <w:footnoteReference w:customMarkFollows="1" w:id="711"/>
        <w:t>l</w:t>
      </w:r>
      <w:r>
        <w:rPr/>
        <w:t xml:space="preserve"> mögest </w:t>
      </w:r>
      <w:r>
        <w:rPr>
          <w:color w:val="808080"/>
        </w:rPr>
        <w:t>(wirst)</w:t>
      </w:r>
      <w:r>
        <w:rPr/>
        <w:t xml:space="preserve"> sie</w:t>
      </w:r>
      <w:r>
        <w:rPr>
          <w:rStyle w:val="Funotenanker"/>
        </w:rPr>
        <w:footnoteReference w:customMarkFollows="1" w:id="712"/>
        <w:t>m</w:t>
      </w:r>
      <w:r>
        <w:rPr/>
        <w:t xml:space="preserve"> behüten </w:t>
      </w:r>
      <w:r>
        <w:rPr>
          <w:color w:val="808080"/>
        </w:rPr>
        <w:t>(sie (=die Worte) halten?)</w:t>
      </w:r>
      <w:r>
        <w:rPr/>
        <w:t xml:space="preserve">,Mögest </w:t>
      </w:r>
      <w:r>
        <w:rPr>
          <w:color w:val="808080"/>
        </w:rPr>
        <w:t>(wirst)</w:t>
      </w:r>
      <w:r>
        <w:rPr/>
        <w:t xml:space="preserve"> ihn schützen vor diesem </w:t>
      </w:r>
      <w:r>
        <w:rPr>
          <w:color w:val="808080"/>
        </w:rPr>
        <w:t>(dem)</w:t>
      </w:r>
      <w:r>
        <w:rPr/>
        <w:t xml:space="preserve"> Geschlecht auf ewig </w:t>
      </w:r>
      <w:r>
        <w:rPr>
          <w:color w:val="808080"/>
        </w:rPr>
        <w:t xml:space="preserve">(diesem Geschlecht, das ewig </w:t>
      </w:r>
      <w:r>
        <w:rPr>
          <w:b/>
          <w:color w:val="808080"/>
        </w:rPr>
        <w:t>[</w:t>
      </w:r>
      <w:r>
        <w:rPr>
          <w:color w:val="808080"/>
        </w:rPr>
        <w:t>währt</w:t>
      </w:r>
      <w:r>
        <w:rPr>
          <w:b/>
          <w:color w:val="808080"/>
        </w:rPr>
        <w:t>]</w:t>
      </w:r>
      <w:r>
        <w:rPr>
          <w:color w:val="808080"/>
        </w:rPr>
        <w:t>)</w:t>
      </w:r>
      <w:r>
        <w:rPr/>
        <w:t>!</w:t>
        <w:br/>
        <w:t xml:space="preserve">{{field-off:bible}} </w:t>
        <w:br/>
        <w:t>[[@BibleTOBIBLE:Ps 12:9]]</w:t>
      </w:r>
      <w:r>
        <w:rPr>
          <w:b/>
        </w:rPr>
        <w:t>9</w:t>
      </w:r>
      <w:r>
        <w:rPr/>
        <w:t xml:space="preserve"> {{field-on:bible}} </w:t>
        <w:br/>
        <w:t xml:space="preserve">Rings </w:t>
      </w:r>
      <w:r>
        <w:rPr>
          <w:color w:val="808080"/>
        </w:rPr>
        <w:t>(im Kreis)</w:t>
      </w:r>
      <w:r>
        <w:rPr/>
        <w:t xml:space="preserve"> gehen Böse einher,Da Verachtenswertes hoch ist </w:t>
      </w:r>
      <w:r>
        <w:rPr>
          <w:color w:val="808080"/>
        </w:rPr>
        <w:t>(wird)</w:t>
      </w:r>
      <w:r>
        <w:rPr/>
        <w:t xml:space="preserve"> </w:t>
      </w:r>
      <w:r>
        <w:rPr>
          <w:rStyle w:val="Funotenanker"/>
        </w:rPr>
        <w:footnoteReference w:customMarkFollows="1" w:id="713"/>
        <w:t>n</w:t>
      </w:r>
      <w:r>
        <w:rPr/>
        <w:t xml:space="preserve"> bei den Menschenkindern.</w:t>
      </w:r>
      <w:r>
        <w:rPr>
          <w:rStyle w:val="Funotenanker"/>
        </w:rPr>
        <w:footnoteReference w:customMarkFollows="1" w:id="714"/>
        <w:t>o</w:t>
      </w:r>
      <w:r>
        <w:rPr/>
        <w:t xml:space="preserve"> </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715"/>
        <w:t>Status</w:t>
      </w:r>
      <w:r>
        <w:rPr/>
        <w:t xml:space="preserve"> Für den den Chorleiter </w:t>
      </w:r>
      <w:r>
        <w:rPr>
          <w:color w:val="808080"/>
        </w:rPr>
        <w:t>(Dirigenten, Singenden, Musizierenden)</w:t>
      </w:r>
      <w:r>
        <w:rPr/>
        <w:t>.</w:t>
      </w:r>
      <w:r>
        <w:rPr>
          <w:rStyle w:val="Funotenanker"/>
        </w:rPr>
        <w:footnoteReference w:customMarkFollows="1" w:id="716"/>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717"/>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718"/>
        <w:t>c</w:t>
      </w:r>
      <w:r>
        <w:rPr/>
        <w:t xml:space="preserve"> vergessen</w:t>
      </w:r>
      <w:r>
        <w:rPr>
          <w:rStyle w:val="Funotenanker"/>
        </w:rPr>
        <w:footnoteReference w:customMarkFollows="1" w:id="719"/>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720"/>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721"/>
        <w:t>f</w:t>
      </w:r>
      <w:r>
        <w:rPr/>
        <w:t xml:space="preserve"> in meine Seele</w:t>
      </w:r>
      <w:r>
        <w:rPr>
          <w:rStyle w:val="Funotenanker"/>
        </w:rPr>
        <w:footnoteReference w:customMarkFollows="1" w:id="722"/>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723"/>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724"/>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725"/>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726"/>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727"/>
        <w:t>l</w:t>
      </w:r>
      <w:r>
        <w:rPr/>
        <w:t xml:space="preserve">, antworte mir, </w:t>
      </w:r>
      <w:r>
        <w:rPr>
          <w:smallCaps/>
          <w:color w:val="FF0000"/>
        </w:rPr>
        <w:t>JHWH</w:t>
      </w:r>
      <w:r>
        <w:rPr/>
        <w:t>!</w:t>
      </w:r>
      <w:r>
        <w:rPr>
          <w:rStyle w:val="Funotenanker"/>
        </w:rPr>
        <w:footnoteReference w:customMarkFollows="1" w:id="728"/>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729"/>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730"/>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731"/>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732"/>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733"/>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734"/>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14]]Kapitel 14</w:t>
      </w:r>
    </w:p>
    <w:p>
      <w:pPr>
        <w:pStyle w:val="Textkrper"/>
        <w:rPr/>
      </w:pPr>
      <w:r>
        <w:rPr/>
        <w:br/>
        <w:t>[[@BibleTOBIBLE:Ps 14:1]]</w:t>
      </w:r>
      <w:r>
        <w:rPr>
          <w:b/>
        </w:rPr>
        <w:t>1</w:t>
      </w:r>
      <w:r>
        <w:rPr/>
        <w:t xml:space="preserve"> {{field-on:bible}} </w:t>
      </w:r>
      <w:r>
        <w:rPr>
          <w:rStyle w:val="Funotenanker"/>
        </w:rPr>
        <w:footnoteReference w:customMarkFollows="1" w:id="735"/>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736"/>
        <w:t>a</w:t>
      </w:r>
      <w:r>
        <w:rPr/>
        <w:t xml:space="preserve"> ''Von </w:t>
      </w:r>
      <w:r>
        <w:rPr>
          <w:color w:val="808080"/>
        </w:rPr>
        <w:t>(für, über, nach Art von)</w:t>
      </w:r>
      <w:r>
        <w:rPr/>
        <w:t xml:space="preserve"> David.'' </w:t>
        <w:br/>
        <w:t xml:space="preserve">Es sagt </w:t>
      </w:r>
      <w:r>
        <w:rPr>
          <w:color w:val="808080"/>
        </w:rPr>
        <w:t>(sagte)</w:t>
      </w:r>
      <w:r>
        <w:rPr/>
        <w:t xml:space="preserve"> </w:t>
      </w:r>
      <w:r>
        <w:rPr>
          <w:b/>
          <w:color w:val="808080"/>
        </w:rPr>
        <w:t>[</w:t>
      </w:r>
      <w:r>
        <w:rPr/>
        <w:t>der</w:t>
      </w:r>
      <w:r>
        <w:rPr>
          <w:b/>
          <w:color w:val="808080"/>
        </w:rPr>
        <w:t>]</w:t>
      </w:r>
      <w:r>
        <w:rPr/>
        <w:t xml:space="preserve"> Narr in seinem Herzen </w:t>
      </w:r>
      <w:r>
        <w:rPr>
          <w:color w:val="808080"/>
        </w:rPr>
        <w:t>(es sagte sich der Narr)</w:t>
      </w:r>
      <w:r>
        <w:rPr/>
        <w:t>:„Es gibt keinen Gott!“</w:t>
      </w:r>
      <w:r>
        <w:rPr>
          <w:rStyle w:val="Funotenanker"/>
        </w:rPr>
        <w:footnoteReference w:customMarkFollows="1" w:id="737"/>
        <w:t>b</w:t>
      </w:r>
      <w:r>
        <w:rPr/>
        <w:t xml:space="preserve"> </w:t>
        <w:br/>
        <w:t xml:space="preserve">Sie begehen, verbrechen </w:t>
      </w:r>
      <w:r>
        <w:rPr>
          <w:color w:val="808080"/>
        </w:rPr>
        <w:t>(begingen, verbrachen)</w:t>
      </w:r>
      <w:r>
        <w:rPr/>
        <w:t xml:space="preserve"> Übeltat</w:t>
      </w:r>
      <w:r>
        <w:rPr>
          <w:rStyle w:val="Funotenanker"/>
        </w:rPr>
        <w:footnoteReference w:customMarkFollows="1" w:id="738"/>
        <w:t>c</w:t>
      </w:r>
      <w:r>
        <w:rPr/>
        <w:t xml:space="preserve"> </w:t>
      </w:r>
      <w:r>
        <w:rPr>
          <w:b/>
          <w:color w:val="808080"/>
        </w:rPr>
        <w:t>[</w:t>
      </w:r>
      <w:r>
        <w:rPr/>
        <w:t xml:space="preserve">Es gibt </w:t>
      </w:r>
      <w:r>
        <w:rPr>
          <w:color w:val="808080"/>
        </w:rPr>
        <w:t>(gab)</w:t>
      </w:r>
      <w:r>
        <w:rPr>
          <w:b/>
          <w:color w:val="808080"/>
        </w:rPr>
        <w:t>]</w:t>
      </w:r>
      <w:r>
        <w:rPr/>
        <w:t xml:space="preserve"> keinen, </w:t>
      </w:r>
      <w:r>
        <w:rPr>
          <w:b/>
          <w:color w:val="808080"/>
        </w:rPr>
        <w:t>[</w:t>
      </w:r>
      <w:r>
        <w:rPr/>
        <w:t>der</w:t>
      </w:r>
      <w:r>
        <w:rPr>
          <w:b/>
          <w:color w:val="808080"/>
        </w:rPr>
        <w:t>]</w:t>
      </w:r>
      <w:r>
        <w:rPr/>
        <w:t xml:space="preserve"> Gutes tut.</w:t>
        <w:br/>
        <w:br/>
        <w:t xml:space="preserve">{{field-off:bible}} </w:t>
        <w:br/>
        <w:t>[[@BibleTOBIBLE:Ps 14:2]]</w:t>
      </w:r>
      <w:r>
        <w:rPr>
          <w:b/>
        </w:rPr>
        <w:t>2</w:t>
      </w:r>
      <w:r>
        <w:rPr/>
        <w:t xml:space="preserve"> {{field-on:bible}} </w:t>
        <w:br/>
      </w:r>
      <w:r>
        <w:rPr>
          <w:smallCaps/>
          <w:color w:val="FF0000"/>
        </w:rPr>
        <w:t>JHWH</w:t>
      </w:r>
      <w:r>
        <w:rPr/>
        <w:t xml:space="preserve"> beugte </w:t>
      </w:r>
      <w:r>
        <w:rPr>
          <w:color w:val="808080"/>
        </w:rPr>
        <w:t>(beugt)</w:t>
      </w:r>
      <w:r>
        <w:rPr/>
        <w:t xml:space="preserve"> sich </w:t>
      </w:r>
      <w:r>
        <w:rPr>
          <w:color w:val="808080"/>
        </w:rPr>
        <w:t>(blickt?)</w:t>
      </w:r>
      <w:r>
        <w:rPr/>
        <w:t xml:space="preserve"> vom Himmel herab Über </w:t>
      </w:r>
      <w:r>
        <w:rPr>
          <w:b/>
          <w:color w:val="808080"/>
        </w:rPr>
        <w:t>[</w:t>
      </w:r>
      <w:r>
        <w:rPr/>
        <w:t>die</w:t>
      </w:r>
      <w:r>
        <w:rPr>
          <w:b/>
          <w:color w:val="808080"/>
        </w:rPr>
        <w:t>]</w:t>
      </w:r>
      <w:r>
        <w:rPr/>
        <w:t xml:space="preserve"> Menschenkinder,</w:t>
        <w:br/>
        <w:t xml:space="preserve">Um zu sehen, </w:t>
      </w:r>
      <w:r>
        <w:rPr>
          <w:b/>
          <w:color w:val="808080"/>
        </w:rPr>
        <w:t>[</w:t>
      </w:r>
      <w:r>
        <w:rPr/>
        <w:t>ob</w:t>
      </w:r>
      <w:r>
        <w:rPr>
          <w:b/>
          <w:color w:val="808080"/>
        </w:rPr>
        <w:t>]</w:t>
      </w:r>
      <w:r>
        <w:rPr/>
        <w:t xml:space="preserve"> es gibt einen Klugen,Einen Gott-Sucher </w:t>
      </w:r>
      <w:r>
        <w:rPr>
          <w:color w:val="808080"/>
        </w:rPr>
        <w:t xml:space="preserve">(einen Klugen, </w:t>
      </w:r>
      <w:r>
        <w:rPr>
          <w:b/>
          <w:color w:val="808080"/>
        </w:rPr>
        <w:t>[</w:t>
      </w:r>
      <w:r>
        <w:rPr>
          <w:color w:val="808080"/>
        </w:rPr>
        <w:t>der</w:t>
      </w:r>
      <w:r>
        <w:rPr>
          <w:b/>
          <w:color w:val="808080"/>
        </w:rPr>
        <w:t>]</w:t>
      </w:r>
      <w:r>
        <w:rPr>
          <w:color w:val="808080"/>
        </w:rPr>
        <w:t xml:space="preserve"> Gott sucht)</w:t>
      </w:r>
      <w:r>
        <w:rPr/>
        <w:t>:</w:t>
      </w:r>
      <w:r>
        <w:rPr>
          <w:rStyle w:val="Funotenanker"/>
        </w:rPr>
        <w:footnoteReference w:customMarkFollows="1" w:id="739"/>
        <w:t>d</w:t>
      </w:r>
      <w:r>
        <w:rPr/>
        <w:t xml:space="preserve"> </w:t>
        <w:br/>
        <w:t xml:space="preserve">{{field-off:bible}} </w:t>
        <w:br/>
        <w:t>[[@BibleTOBIBLE:Ps 14:3]]</w:t>
      </w:r>
      <w:r>
        <w:rPr>
          <w:b/>
        </w:rPr>
        <w:t>3</w:t>
      </w:r>
      <w:r>
        <w:rPr/>
        <w:t xml:space="preserve"> {{field-on:bible}} </w:t>
        <w:br/>
        <w:t xml:space="preserve">„Die Gesamtheit ist </w:t>
      </w:r>
      <w:r>
        <w:rPr>
          <w:color w:val="808080"/>
        </w:rPr>
        <w:t>(war)</w:t>
      </w:r>
      <w:r>
        <w:rPr/>
        <w:t xml:space="preserve"> abgefallen,Sämtlich sind </w:t>
      </w:r>
      <w:r>
        <w:rPr>
          <w:color w:val="808080"/>
        </w:rPr>
        <w:t>(waren)</w:t>
      </w:r>
      <w:r>
        <w:rPr/>
        <w:t xml:space="preserve"> sie verdorben.</w:t>
        <w:br/>
        <w:t xml:space="preserve">Keinen </w:t>
      </w:r>
      <w:r>
        <w:rPr>
          <w:b/>
          <w:color w:val="808080"/>
        </w:rPr>
        <w:t>[</w:t>
      </w:r>
      <w:r>
        <w:rPr/>
        <w:t xml:space="preserve">gibt </w:t>
      </w:r>
      <w:r>
        <w:rPr>
          <w:color w:val="808080"/>
        </w:rPr>
        <w:t>(gab)</w:t>
      </w:r>
      <w:r>
        <w:rPr/>
        <w:t xml:space="preserve"> es</w:t>
      </w:r>
      <w:r>
        <w:rPr>
          <w:b/>
          <w:color w:val="808080"/>
        </w:rPr>
        <w:t>]</w:t>
      </w:r>
      <w:r>
        <w:rPr/>
        <w:t xml:space="preserve">, </w:t>
      </w:r>
      <w:r>
        <w:rPr>
          <w:b/>
          <w:color w:val="808080"/>
        </w:rPr>
        <w:t>[</w:t>
      </w:r>
      <w:r>
        <w:rPr/>
        <w:t>der</w:t>
      </w:r>
      <w:r>
        <w:rPr>
          <w:b/>
          <w:color w:val="808080"/>
        </w:rPr>
        <w:t>]</w:t>
      </w:r>
      <w:r>
        <w:rPr/>
        <w:t xml:space="preserve"> Gutes tut;Keinen. Auch nicht einen </w:t>
      </w:r>
      <w:r>
        <w:rPr>
          <w:b/>
          <w:color w:val="808080"/>
        </w:rPr>
        <w:t>[</w:t>
      </w:r>
      <w:r>
        <w:rPr/>
        <w:t>einzigen</w:t>
      </w:r>
      <w:r>
        <w:rPr>
          <w:b/>
          <w:color w:val="808080"/>
        </w:rPr>
        <w:t>]</w:t>
      </w:r>
      <w:r>
        <w:rPr/>
        <w:t>.</w:t>
        <w:br/>
        <w:t xml:space="preserve">{{field-off:bible}} </w:t>
        <w:br/>
        <w:t>[[@BibleTOBIBLE:Ps 14:4]]</w:t>
      </w:r>
      <w:r>
        <w:rPr>
          <w:b/>
        </w:rPr>
        <w:t>4</w:t>
      </w:r>
      <w:r>
        <w:rPr/>
        <w:t xml:space="preserve"> {{field-on:bible}} </w:t>
        <w:br/>
        <w:t xml:space="preserve">Wissen </w:t>
      </w:r>
      <w:r>
        <w:rPr>
          <w:b/>
          <w:color w:val="808080"/>
        </w:rPr>
        <w:t>[</w:t>
      </w:r>
      <w:r>
        <w:rPr/>
        <w:t>denn</w:t>
      </w:r>
      <w:r>
        <w:rPr>
          <w:b/>
          <w:color w:val="808080"/>
        </w:rPr>
        <w:t>]</w:t>
      </w:r>
      <w:r>
        <w:rPr/>
        <w:t xml:space="preserve"> nicht</w:t>
      </w:r>
      <w:r>
        <w:rPr>
          <w:b/>
          <w:color w:val="808080"/>
        </w:rPr>
        <w:t>[</w:t>
      </w:r>
      <w:r>
        <w:rPr/>
        <w:t>s</w:t>
      </w:r>
      <w:r>
        <w:rPr>
          <w:b/>
          <w:color w:val="808080"/>
        </w:rPr>
        <w:t>]</w:t>
      </w:r>
      <w:r>
        <w:rPr/>
        <w:t xml:space="preserve"> alle Übel-Täter,</w:t>
      </w:r>
      <w:r>
        <w:rPr>
          <w:b/>
          <w:color w:val="808080"/>
        </w:rPr>
        <w:t>[</w:t>
      </w:r>
      <w:r>
        <w:rPr/>
        <w:t>Die</w:t>
      </w:r>
      <w:r>
        <w:rPr>
          <w:b/>
          <w:color w:val="808080"/>
        </w:rPr>
        <w:t>]</w:t>
      </w:r>
      <w:r>
        <w:rPr/>
        <w:t xml:space="preserve"> mein Volk fressen?</w:t>
        <w:br/>
        <w:t>Sie fressen Brot,</w:t>
      </w:r>
      <w:r>
        <w:rPr>
          <w:rStyle w:val="Funotenanker"/>
        </w:rPr>
        <w:footnoteReference w:customMarkFollows="1" w:id="740"/>
        <w:t>e</w:t>
      </w:r>
      <w:r>
        <w:rPr/>
        <w:t xml:space="preserve"> </w:t>
      </w:r>
      <w:r>
        <w:rPr>
          <w:b/>
          <w:color w:val="808080"/>
        </w:rPr>
        <w:t>[</w:t>
      </w:r>
      <w:r>
        <w:rPr/>
        <w:t>Doch</w:t>
      </w:r>
      <w:r>
        <w:rPr>
          <w:b/>
          <w:color w:val="808080"/>
        </w:rPr>
        <w:t>]</w:t>
      </w:r>
      <w:r>
        <w:rPr/>
        <w:t xml:space="preserve"> </w:t>
      </w:r>
      <w:r>
        <w:rPr>
          <w:smallCaps/>
          <w:color w:val="FF0000"/>
        </w:rPr>
        <w:t>JHWH</w:t>
      </w:r>
      <w:r>
        <w:rPr/>
        <w:t xml:space="preserve"> rufen sie nicht an.“</w:t>
        <w:br/>
        <w:br/>
        <w:t xml:space="preserve">{{field-off:bible}} </w:t>
        <w:br/>
        <w:t>[[@BibleTOBIBLE:Ps 14:5]]</w:t>
      </w:r>
      <w:r>
        <w:rPr>
          <w:b/>
        </w:rPr>
        <w:t>5</w:t>
      </w:r>
      <w:r>
        <w:rPr/>
        <w:t xml:space="preserve"> {{field-on:bible}} </w:t>
        <w:br/>
        <w:t>Da erschraken sie einen Schrecken,</w:t>
      </w:r>
      <w:r>
        <w:rPr>
          <w:rStyle w:val="Funotenanker"/>
        </w:rPr>
        <w:footnoteReference w:customMarkFollows="1" w:id="741"/>
        <w:t>f</w:t>
      </w:r>
      <w:r>
        <w:rPr/>
        <w:t xml:space="preserve">Weil Gott mit </w:t>
      </w:r>
      <w:r>
        <w:rPr>
          <w:b/>
          <w:color w:val="808080"/>
        </w:rPr>
        <w:t>[</w:t>
      </w:r>
      <w:r>
        <w:rPr/>
        <w:t>dem</w:t>
      </w:r>
      <w:r>
        <w:rPr>
          <w:b/>
          <w:color w:val="808080"/>
        </w:rPr>
        <w:t>]</w:t>
      </w:r>
      <w:r>
        <w:rPr/>
        <w:t xml:space="preserve"> gerechten Geschlecht </w:t>
      </w:r>
      <w:r>
        <w:rPr>
          <w:b/>
          <w:color w:val="808080"/>
        </w:rPr>
        <w:t>[</w:t>
      </w:r>
      <w:r>
        <w:rPr/>
        <w:t>war</w:t>
      </w:r>
      <w:r>
        <w:rPr>
          <w:b/>
          <w:color w:val="808080"/>
        </w:rPr>
        <w:t>]</w:t>
      </w:r>
      <w:r>
        <w:rPr/>
        <w:t>:</w:t>
      </w:r>
      <w:r>
        <w:rPr>
          <w:rStyle w:val="Funotenanker"/>
        </w:rPr>
        <w:footnoteReference w:customMarkFollows="1" w:id="742"/>
        <w:t>g</w:t>
      </w:r>
      <w:r>
        <w:rPr/>
        <w:t xml:space="preserve"> </w:t>
        <w:br/>
        <w:t xml:space="preserve">{{field-off:bible}} </w:t>
        <w:br/>
        <w:t>[[@BibleTOBIBLE:Ps 14:6]]</w:t>
      </w:r>
      <w:r>
        <w:rPr>
          <w:b/>
        </w:rPr>
        <w:t>6</w:t>
      </w:r>
      <w:r>
        <w:rPr/>
        <w:t xml:space="preserve"> {{field-on:bible}} </w:t>
        <w:br/>
        <w:t>„</w:t>
      </w:r>
      <w:r>
        <w:rPr>
          <w:b/>
          <w:color w:val="808080"/>
        </w:rPr>
        <w:t>[</w:t>
      </w:r>
      <w:r>
        <w:rPr/>
        <w:t>Die</w:t>
      </w:r>
      <w:r>
        <w:rPr>
          <w:b/>
          <w:color w:val="808080"/>
        </w:rPr>
        <w:t>]</w:t>
      </w:r>
      <w:r>
        <w:rPr/>
        <w:t xml:space="preserve"> Plän</w:t>
      </w:r>
      <w:r>
        <w:rPr>
          <w:b/>
          <w:color w:val="808080"/>
        </w:rPr>
        <w:t>[</w:t>
      </w:r>
      <w:r>
        <w:rPr/>
        <w:t>e</w:t>
      </w:r>
      <w:r>
        <w:rPr>
          <w:b/>
          <w:color w:val="808080"/>
        </w:rPr>
        <w:t>]</w:t>
      </w:r>
      <w:r>
        <w:rPr/>
        <w:t xml:space="preserve"> des Armen wollt ihr zuschanden machen,Doch </w:t>
      </w:r>
      <w:r>
        <w:rPr>
          <w:smallCaps/>
          <w:color w:val="FF0000"/>
        </w:rPr>
        <w:t>JHWH</w:t>
      </w:r>
      <w:r>
        <w:rPr/>
        <w:t xml:space="preserve"> </w:t>
      </w:r>
      <w:r>
        <w:rPr>
          <w:b/>
          <w:color w:val="808080"/>
        </w:rPr>
        <w:t>[</w:t>
      </w:r>
      <w:r>
        <w:rPr/>
        <w:t>ist</w:t>
      </w:r>
      <w:r>
        <w:rPr>
          <w:b/>
          <w:color w:val="808080"/>
        </w:rPr>
        <w:t>]</w:t>
      </w:r>
      <w:r>
        <w:rPr/>
        <w:t xml:space="preserve"> sein Schutz!“</w:t>
        <w:br/>
        <w:br/>
        <w:t xml:space="preserve">{{field-off:bible}} </w:t>
        <w:br/>
        <w:t>[[@BibleTOBIBLE:Ps 14:7]]</w:t>
      </w:r>
      <w:r>
        <w:rPr>
          <w:b/>
        </w:rPr>
        <w:t>7</w:t>
      </w:r>
      <w:r>
        <w:rPr/>
        <w:t xml:space="preserve"> {{field-on:bible}} </w:t>
        <w:br/>
        <w:t>Möge es doch vom Zion</w:t>
      </w:r>
      <w:r>
        <w:rPr>
          <w:rStyle w:val="Funotenanker"/>
        </w:rPr>
        <w:footnoteReference w:customMarkFollows="1" w:id="743"/>
        <w:t>h</w:t>
      </w:r>
      <w:r>
        <w:rPr/>
        <w:t xml:space="preserve"> Rettung für Israel geben!</w:t>
      </w:r>
      <w:r>
        <w:rPr>
          <w:rStyle w:val="Funotenanker"/>
        </w:rPr>
        <w:footnoteReference w:customMarkFollows="1" w:id="744"/>
        <w:t>i</w:t>
      </w:r>
      <w:r>
        <w:rPr/>
        <w:t xml:space="preserve"> </w:t>
        <w:br/>
        <w:t xml:space="preserve">Wenn </w:t>
      </w:r>
      <w:r>
        <w:rPr>
          <w:smallCaps/>
          <w:color w:val="FF0000"/>
        </w:rPr>
        <w:t>JHWH</w:t>
      </w:r>
      <w:r>
        <w:rPr/>
        <w:t xml:space="preserve"> das Geschick </w:t>
      </w:r>
      <w:r>
        <w:rPr>
          <w:color w:val="808080"/>
        </w:rPr>
        <w:t>(die Gefangenschaft)</w:t>
      </w:r>
      <w:r>
        <w:rPr/>
        <w:t xml:space="preserve"> seines Volkes wendet,Möge Jakob</w:t>
      </w:r>
      <w:r>
        <w:rPr>
          <w:rStyle w:val="Funotenanker"/>
        </w:rPr>
        <w:footnoteReference w:customMarkFollows="1" w:id="745"/>
        <w:t>j</w:t>
      </w:r>
      <w:r>
        <w:rPr/>
        <w:t xml:space="preserve"> jubeln, Israel sich freuen!</w:t>
        <w:br/>
        <w:t xml:space="preserve">{{field-off:bible}} </w:t>
      </w:r>
    </w:p>
    <w:p>
      <w:pPr>
        <w:pStyle w:val="Berschrift3"/>
        <w:rPr/>
      </w:pPr>
      <w:r>
        <w:rPr/>
        <w:t>[[@BibleTOBIBLE:Ps 15]]Kapitel 15</w:t>
      </w:r>
    </w:p>
    <w:p>
      <w:pPr>
        <w:pStyle w:val="Textkrper"/>
        <w:rPr/>
      </w:pPr>
      <w:r>
        <w:rPr/>
        <w:t>„</w:t>
      </w:r>
      <w:r>
        <w:rPr/>
        <w:t>Rabbi Simlai lehrte: ‚613 Gebote wurden dem Mose gesagt.‘“, heißt es im Talmud (b.Mak 23b). Gemeint ist das Gesamt aller jüdischen Vorschriften, die nach alter Vorstellung sämtlich von Gott an Mose weitergegeben wurden. Der Talmud fährt fort: „Rabbi Hamnuna sagte: ‚David kam und ließ [diese 613 Gebote] auf elf [Geboten] stehen.‘“ (b.Mak 24a). Gemeint ist Psalm 15, von dem hier also gesagt wird, dass er die elf fundamentalen Gebote enthält, auf denen alle 613 Gebote aufbauen und basieren.</w:t>
      </w:r>
      <w:r>
        <w:rPr>
          <w:rStyle w:val="Funotenanker"/>
        </w:rPr>
        <w:footnoteReference w:customMarkFollows="1" w:id="746"/>
        <w:t>a</w:t>
      </w:r>
      <w:r>
        <w:rPr/>
        <w:t xml:space="preserve"> Ps 15 wird schon hier gesehen als weisheitlicher Psalm, der belehrt über den rechten Lebensweg: „Wer darf wohnen auf deinem heiligen Berg“, wird eingangs gefragt und damit ein Motiv aufgegriffen, das sich auch findet in Ps 23,6; 27,4f.; 61,5; 65,5; 84,4: Wer „im Haus Gottes wohnt“ – in seinem Zelt, auf seinem Berg – steht so unter dem Schutz dieses Hausherrn und darf sich daher sicher wissen vor jeder Gefahr (vgl. Ps 23,4f.; 27,1-3; 61,3f.; auch 5,5). So auch hier: Gebeten wird nicht um eine tatsächliche „Bleibe“, sondern um Gottes Segen und Schutz, für das auch hier symbolisch das „Wohnen im Hause Gottes“ steht (V. 1). Gottes Schutz – das Wohnrecht in seinem Tempel – wird aber nur jenen zuteil, die bestimmte Gebote befolgen und Verbote beachten, die in Vv. 2-5b aufgelistet werden; für diese aber gilt: „Wer dies tut, wird auf ewig nicht wanken“, „nie in Gefahr geraten“ (V. 5cd).</w:t>
      </w:r>
      <w:r>
        <w:rPr>
          <w:rStyle w:val="Funotenanker"/>
        </w:rPr>
        <w:footnoteReference w:customMarkFollows="1" w:id="747"/>
        <w:t>b</w:t>
      </w:r>
      <w:r>
        <w:rPr/>
        <w:t xml:space="preserve">Weil sie so zentral sind, seien die 11 „Fundamentalgebote“ hier noch einmal gesammelt: # Sei redlich! (2a) # Sei gerecht! (2b) # Sei offen für die Wahrheit! (2c) # Verleumde andere nicht! (3a) # Füge anderen keinen Schaden zu! (3b) # Leiste keine Beihilfe! (3c) # Verachte die, die Gott verachtet! (4a) # Ehre die, die Gott ehren! (4b) # Halte deine Schwüre! (4cd) # Verleihe nicht gegen Zins! (5a) # Sei nicht bestechlich! (5b) </w:t>
        <w:br/>
        <w:br/>
        <w:t>[[@BibleTOBIBLE:Ps 15:1]]</w:t>
      </w:r>
      <w:r>
        <w:rPr>
          <w:b/>
        </w:rPr>
        <w:t>1</w:t>
      </w:r>
      <w:r>
        <w:rPr/>
        <w:t xml:space="preserve"> {{field-on:bible}} </w:t>
      </w:r>
      <w:r>
        <w:rPr>
          <w:rStyle w:val="Funotenanker"/>
        </w:rPr>
        <w:footnoteReference w:customMarkFollows="1" w:id="748"/>
        <w:t>Status</w:t>
      </w:r>
      <w:r>
        <w:rPr/>
        <w:t xml:space="preserve"> Ein Lied von </w:t>
      </w:r>
      <w:r>
        <w:rPr>
          <w:color w:val="808080"/>
        </w:rPr>
        <w:t>(für, über, nach Art von)</w:t>
      </w:r>
      <w:r>
        <w:rPr/>
        <w:t xml:space="preserve"> David. </w:t>
        <w:br/>
      </w:r>
      <w:r>
        <w:rPr>
          <w:smallCaps/>
          <w:color w:val="FF0000"/>
        </w:rPr>
        <w:t>JHWH</w:t>
      </w:r>
      <w:r>
        <w:rPr/>
        <w:t xml:space="preserve">, wer darf </w:t>
      </w:r>
      <w:r>
        <w:rPr>
          <w:color w:val="808080"/>
        </w:rPr>
        <w:t>(wird)</w:t>
      </w:r>
      <w:r>
        <w:rPr/>
        <w:t xml:space="preserve"> gasten </w:t>
      </w:r>
      <w:r>
        <w:rPr>
          <w:color w:val="808080"/>
        </w:rPr>
        <w:t>(Gast sein)</w:t>
      </w:r>
      <w:r>
        <w:rPr/>
        <w:t xml:space="preserve"> in deinem Zelt </w:t>
      </w:r>
      <w:r>
        <w:rPr>
          <w:color w:val="808080"/>
        </w:rPr>
        <w:t>(in deinen Zelten)</w:t>
      </w:r>
      <w:r>
        <w:rPr/>
        <w:t xml:space="preserve"> </w:t>
      </w:r>
      <w:r>
        <w:rPr>
          <w:rStyle w:val="Funotenanker"/>
        </w:rPr>
        <w:footnoteReference w:customMarkFollows="1" w:id="749"/>
        <w:t>c</w:t>
      </w:r>
      <w:r>
        <w:rPr/>
        <w:t xml:space="preserve">Und </w:t>
      </w:r>
      <w:r>
        <w:rPr>
          <w:color w:val="808080"/>
        </w:rPr>
        <w:t>(</w:t>
      </w:r>
      <w:r>
        <w:rPr>
          <w:strike/>
          <w:color w:val="808080"/>
        </w:rPr>
        <w:t>{und}</w:t>
      </w:r>
      <w:r>
        <w:rPr>
          <w:color w:val="808080"/>
        </w:rPr>
        <w:t>)</w:t>
      </w:r>
      <w:r>
        <w:rPr/>
        <w:t xml:space="preserve"> </w:t>
      </w:r>
      <w:r>
        <w:rPr>
          <w:rStyle w:val="Funotenanker"/>
        </w:rPr>
        <w:footnoteReference w:customMarkFollows="1" w:id="750"/>
        <w:t>d</w:t>
      </w:r>
      <w:r>
        <w:rPr/>
        <w:t xml:space="preserve"> wer darf </w:t>
      </w:r>
      <w:r>
        <w:rPr>
          <w:color w:val="808080"/>
        </w:rPr>
        <w:t>(wird)</w:t>
      </w:r>
      <w:r>
        <w:rPr/>
        <w:t xml:space="preserve"> wohnen auf deinem heiligen Berg </w:t>
      </w:r>
      <w:r>
        <w:rPr>
          <w:color w:val="808080"/>
        </w:rPr>
        <w:t>(auf dem Berg deiner Heiligkeit)</w:t>
      </w:r>
      <w:r>
        <w:rPr/>
        <w:t>?</w:t>
        <w:br/>
        <w:br/>
        <w:t xml:space="preserve">{{field-off:bible}} </w:t>
        <w:br/>
        <w:t>[[@BibleTOBIBLE:Ps 15:2]]</w:t>
      </w:r>
      <w:r>
        <w:rPr>
          <w:b/>
        </w:rPr>
        <w:t>2</w:t>
      </w:r>
      <w:r>
        <w:rPr/>
        <w:t xml:space="preserve"> {{field-on:bible}} </w:t>
        <w:br/>
        <w:t>„</w:t>
      </w:r>
      <w:r>
        <w:rPr>
          <w:b/>
          <w:color w:val="808080"/>
        </w:rPr>
        <w:t>[</w:t>
      </w:r>
      <w:r>
        <w:rPr/>
        <w:t>Wer</w:t>
      </w:r>
      <w:r>
        <w:rPr>
          <w:b/>
          <w:color w:val="808080"/>
        </w:rPr>
        <w:t>]</w:t>
      </w:r>
      <w:r>
        <w:rPr/>
        <w:t xml:space="preserve"> redlich wandelt Und Gerechtes </w:t>
      </w:r>
      <w:r>
        <w:rPr>
          <w:color w:val="808080"/>
        </w:rPr>
        <w:t>(recht)</w:t>
      </w:r>
      <w:r>
        <w:rPr/>
        <w:t xml:space="preserve"> tut Und Wahres sagt </w:t>
      </w:r>
      <w:r>
        <w:rPr>
          <w:color w:val="808080"/>
        </w:rPr>
        <w:t>(denkt)</w:t>
      </w:r>
      <w:r>
        <w:rPr/>
        <w:t xml:space="preserve"> in seinem Herzen </w:t>
      </w:r>
      <w:r>
        <w:rPr>
          <w:color w:val="808080"/>
        </w:rPr>
        <w:t xml:space="preserve">(ausspricht, </w:t>
      </w:r>
      <w:r>
        <w:rPr>
          <w:b/>
          <w:color w:val="808080"/>
        </w:rPr>
        <w:t>[</w:t>
      </w:r>
      <w:r>
        <w:rPr>
          <w:color w:val="808080"/>
        </w:rPr>
        <w:t>was</w:t>
      </w:r>
      <w:r>
        <w:rPr>
          <w:b/>
          <w:color w:val="808080"/>
        </w:rPr>
        <w:t>]</w:t>
      </w:r>
      <w:r>
        <w:rPr>
          <w:color w:val="808080"/>
        </w:rPr>
        <w:t xml:space="preserve"> wahrhaft in seinem Herzen </w:t>
      </w:r>
      <w:r>
        <w:rPr>
          <w:b/>
          <w:color w:val="808080"/>
        </w:rPr>
        <w:t>[</w:t>
      </w:r>
      <w:r>
        <w:rPr>
          <w:color w:val="808080"/>
        </w:rPr>
        <w:t>ist</w:t>
      </w:r>
      <w:r>
        <w:rPr>
          <w:b/>
          <w:color w:val="808080"/>
        </w:rPr>
        <w:t>]</w:t>
      </w:r>
      <w:r>
        <w:rPr>
          <w:color w:val="808080"/>
        </w:rPr>
        <w:t>)</w:t>
      </w:r>
      <w:r>
        <w:rPr/>
        <w:t>,</w:t>
      </w:r>
      <w:r>
        <w:rPr>
          <w:rStyle w:val="Funotenanker"/>
        </w:rPr>
        <w:footnoteReference w:customMarkFollows="1" w:id="751"/>
        <w:t>e</w:t>
      </w:r>
      <w:r>
        <w:rPr/>
        <w:t xml:space="preserve"> </w:t>
        <w:br/>
        <w:t xml:space="preserve">{{field-off:bible}} </w:t>
        <w:br/>
        <w:t>[[@BibleTOBIBLE:Ps 15:3]]</w:t>
      </w:r>
      <w:r>
        <w:rPr>
          <w:b/>
        </w:rPr>
        <w:t>3</w:t>
      </w:r>
      <w:r>
        <w:rPr/>
        <w:t xml:space="preserve"> {{field-on:bible}} </w:t>
        <w:br/>
        <w:t xml:space="preserve">Nicht Verleumdung auf seiner Zunge </w:t>
      </w:r>
      <w:r>
        <w:rPr>
          <w:b/>
          <w:color w:val="808080"/>
        </w:rPr>
        <w:t>[</w:t>
      </w:r>
      <w:r>
        <w:rPr/>
        <w:t>hatte</w:t>
      </w:r>
      <w:r>
        <w:rPr>
          <w:b/>
          <w:color w:val="808080"/>
        </w:rPr>
        <w:t>]</w:t>
      </w:r>
      <w:r>
        <w:rPr/>
        <w:t>,</w:t>
      </w:r>
      <w:r>
        <w:rPr>
          <w:rStyle w:val="Funotenanker"/>
        </w:rPr>
        <w:footnoteReference w:customMarkFollows="1" w:id="752"/>
        <w:t>f</w:t>
      </w:r>
      <w:r>
        <w:rPr/>
        <w:t xml:space="preserve"> </w:t>
      </w:r>
      <w:r>
        <w:rPr>
          <w:color w:val="808080"/>
        </w:rPr>
        <w:t>(</w:t>
      </w:r>
      <w:r>
        <w:rPr>
          <w:b/>
          <w:color w:val="808080"/>
        </w:rPr>
        <w:t>[</w:t>
      </w:r>
      <w:r>
        <w:rPr>
          <w:color w:val="808080"/>
        </w:rPr>
        <w:t>Und</w:t>
      </w:r>
      <w:r>
        <w:rPr>
          <w:b/>
          <w:color w:val="808080"/>
        </w:rPr>
        <w:t>]</w:t>
      </w:r>
      <w:r>
        <w:rPr>
          <w:color w:val="808080"/>
        </w:rPr>
        <w:t>)</w:t>
      </w:r>
      <w:r>
        <w:rPr/>
        <w:t xml:space="preserve"> </w:t>
      </w:r>
      <w:r>
        <w:rPr>
          <w:rStyle w:val="Funotenanker"/>
        </w:rPr>
        <w:footnoteReference w:customMarkFollows="1" w:id="753"/>
        <w:t>g</w:t>
      </w:r>
      <w:r>
        <w:rPr/>
        <w:t xml:space="preserve"> Nicht tat seinem Genossen Schaden </w:t>
      </w:r>
      <w:r>
        <w:rPr>
          <w:color w:val="808080"/>
        </w:rPr>
        <w:t>(Böses)</w:t>
      </w:r>
      <w:r>
        <w:rPr/>
        <w:t xml:space="preserve"> </w:t>
      </w:r>
      <w:r>
        <w:rPr>
          <w:rStyle w:val="Funotenanker"/>
        </w:rPr>
        <w:footnoteReference w:customMarkFollows="1" w:id="754"/>
        <w:t>h</w:t>
      </w:r>
      <w:r>
        <w:rPr/>
        <w:t xml:space="preserve">Und Schande nicht trug wegen seinem Nächsten </w:t>
      </w:r>
      <w:r>
        <w:rPr>
          <w:color w:val="808080"/>
        </w:rPr>
        <w:t>(nicht lud auf seinen Nächsten?)</w:t>
      </w:r>
      <w:r>
        <w:rPr/>
        <w:t>,</w:t>
      </w:r>
      <w:r>
        <w:rPr>
          <w:rStyle w:val="Funotenanker"/>
        </w:rPr>
        <w:footnoteReference w:customMarkFollows="1" w:id="755"/>
        <w:t>i</w:t>
      </w:r>
      <w:r>
        <w:rPr/>
        <w:t xml:space="preserve"> </w:t>
        <w:br/>
        <w:t xml:space="preserve">{{field-off:bible}} </w:t>
        <w:br/>
        <w:t>[[@BibleTOBIBLE:Ps 15:4]]</w:t>
      </w:r>
      <w:r>
        <w:rPr>
          <w:b/>
        </w:rPr>
        <w:t>4</w:t>
      </w:r>
      <w:r>
        <w:rPr/>
        <w:t xml:space="preserve"> {{field-on:bible}} </w:t>
        <w:br/>
        <w:t xml:space="preserve">Verachtet </w:t>
      </w:r>
      <w:r>
        <w:rPr>
          <w:b/>
          <w:color w:val="808080"/>
        </w:rPr>
        <w:t>[</w:t>
      </w:r>
      <w:r>
        <w:rPr/>
        <w:t>den</w:t>
      </w:r>
      <w:r>
        <w:rPr>
          <w:b/>
          <w:color w:val="808080"/>
        </w:rPr>
        <w:t>]</w:t>
      </w:r>
      <w:r>
        <w:rPr/>
        <w:t xml:space="preserve"> in seinen Augen Verworfenen </w:t>
      </w:r>
      <w:r>
        <w:rPr>
          <w:color w:val="808080"/>
        </w:rPr>
        <w:t>(</w:t>
      </w:r>
      <w:r>
        <w:rPr>
          <w:b/>
          <w:color w:val="808080"/>
        </w:rPr>
        <w:t>[</w:t>
      </w:r>
      <w:r>
        <w:rPr>
          <w:color w:val="808080"/>
        </w:rPr>
        <w:t>bei dem</w:t>
      </w:r>
      <w:r>
        <w:rPr>
          <w:b/>
          <w:color w:val="808080"/>
        </w:rPr>
        <w:t>]</w:t>
      </w:r>
      <w:r>
        <w:rPr>
          <w:color w:val="808080"/>
        </w:rPr>
        <w:t xml:space="preserve"> verachtet </w:t>
      </w:r>
      <w:r>
        <w:rPr>
          <w:b/>
          <w:color w:val="808080"/>
        </w:rPr>
        <w:t>[</w:t>
      </w:r>
      <w:r>
        <w:rPr>
          <w:color w:val="808080"/>
        </w:rPr>
        <w:t>ist der</w:t>
      </w:r>
      <w:r>
        <w:rPr>
          <w:b/>
          <w:color w:val="808080"/>
        </w:rPr>
        <w:t>]</w:t>
      </w:r>
      <w:r>
        <w:rPr>
          <w:color w:val="808080"/>
        </w:rPr>
        <w:t xml:space="preserve"> in seinen Augen Verworfene; in seinen </w:t>
      </w:r>
      <w:r>
        <w:rPr>
          <w:b/>
          <w:color w:val="808080"/>
        </w:rPr>
        <w:t>[</w:t>
      </w:r>
      <w:r>
        <w:rPr>
          <w:color w:val="808080"/>
        </w:rPr>
        <w:t>eigenen</w:t>
      </w:r>
      <w:r>
        <w:rPr>
          <w:b/>
          <w:color w:val="808080"/>
        </w:rPr>
        <w:t>]</w:t>
      </w:r>
      <w:r>
        <w:rPr>
          <w:color w:val="808080"/>
        </w:rPr>
        <w:t xml:space="preserve"> Augen verachtet, verworfen </w:t>
      </w:r>
      <w:r>
        <w:rPr>
          <w:b/>
          <w:color w:val="808080"/>
        </w:rPr>
        <w:t>[</w:t>
      </w:r>
      <w:r>
        <w:rPr>
          <w:color w:val="808080"/>
        </w:rPr>
        <w:t>ist</w:t>
      </w:r>
      <w:r>
        <w:rPr>
          <w:b/>
          <w:color w:val="808080"/>
        </w:rPr>
        <w:t>]</w:t>
      </w:r>
      <w:r>
        <w:rPr>
          <w:color w:val="808080"/>
        </w:rPr>
        <w:t>)</w:t>
      </w:r>
      <w:r>
        <w:rPr/>
        <w:t xml:space="preserve"> </w:t>
      </w:r>
      <w:r>
        <w:rPr>
          <w:rStyle w:val="Funotenanker"/>
        </w:rPr>
        <w:footnoteReference w:customMarkFollows="1" w:id="756"/>
        <w:t>j</w:t>
      </w:r>
      <w:r>
        <w:rPr/>
        <w:t xml:space="preserve">Und </w:t>
      </w:r>
      <w:r>
        <w:rPr>
          <w:color w:val="808080"/>
        </w:rPr>
        <w:t>(aber)</w:t>
      </w:r>
      <w:r>
        <w:rPr/>
        <w:t xml:space="preserve"> den </w:t>
      </w:r>
      <w:r>
        <w:rPr>
          <w:smallCaps/>
          <w:color w:val="FF0000"/>
        </w:rPr>
        <w:t>JHWH</w:t>
      </w:r>
      <w:r>
        <w:rPr/>
        <w:t>-fürchtigen ehrt,</w:t>
        <w:br/>
        <w:t xml:space="preserve">Schwor dem Genossen </w:t>
      </w:r>
      <w:r>
        <w:rPr>
          <w:color w:val="808080"/>
        </w:rPr>
        <w:t>(zu schaden, zum Schaden?)</w:t>
      </w:r>
      <w:r>
        <w:rPr/>
        <w:t xml:space="preserve"> </w:t>
      </w:r>
      <w:r>
        <w:rPr>
          <w:rStyle w:val="Funotenanker"/>
        </w:rPr>
        <w:footnoteReference w:customMarkFollows="1" w:id="757"/>
        <w:t>k</w:t>
      </w:r>
      <w:r>
        <w:rPr/>
        <w:t>Und nicht ändert,</w:t>
        <w:br/>
        <w:t xml:space="preserve">{{field-off:bible}} </w:t>
        <w:br/>
        <w:t>[[@BibleTOBIBLE:Ps 15:5]]</w:t>
      </w:r>
      <w:r>
        <w:rPr>
          <w:b/>
        </w:rPr>
        <w:t>5</w:t>
      </w:r>
      <w:r>
        <w:rPr/>
        <w:t xml:space="preserve"> {{field-on:bible}} </w:t>
        <w:br/>
        <w:t xml:space="preserve">Sein Geld nicht verliehen </w:t>
      </w:r>
      <w:r>
        <w:rPr>
          <w:color w:val="808080"/>
        </w:rPr>
        <w:t>(gegeben)</w:t>
      </w:r>
      <w:r>
        <w:rPr/>
        <w:t xml:space="preserve"> hat gegen ZinsUnd Geschenke </w:t>
      </w:r>
      <w:r>
        <w:rPr>
          <w:color w:val="808080"/>
        </w:rPr>
        <w:t>(Bestechungsgelder)</w:t>
      </w:r>
      <w:r>
        <w:rPr/>
        <w:t xml:space="preserve"> gegen einen Unschuldigen nicht genommen hat.</w:t>
      </w:r>
      <w:r>
        <w:rPr>
          <w:rStyle w:val="Funotenanker"/>
        </w:rPr>
        <w:footnoteReference w:customMarkFollows="1" w:id="758"/>
        <w:t>l</w:t>
      </w:r>
      <w:r>
        <w:rPr/>
        <w:t xml:space="preserve"> </w:t>
        <w:br/>
        <w:br/>
      </w:r>
      <w:r>
        <w:rPr>
          <w:b/>
          <w:color w:val="808080"/>
        </w:rPr>
        <w:t>[</w:t>
      </w:r>
      <w:r>
        <w:rPr/>
        <w:t>Wer</w:t>
      </w:r>
      <w:r>
        <w:rPr>
          <w:b/>
          <w:color w:val="808080"/>
        </w:rPr>
        <w:t>]</w:t>
      </w:r>
      <w:r>
        <w:rPr/>
        <w:t xml:space="preserve"> dies tut, Wird auf ewig nicht wanken.“</w:t>
      </w:r>
      <w:r>
        <w:rPr>
          <w:rStyle w:val="Funotenanker"/>
        </w:rPr>
        <w:footnoteReference w:customMarkFollows="1" w:id="759"/>
        <w:t>m</w:t>
      </w:r>
      <w:r>
        <w:rPr/>
        <w:t xml:space="preserve"> </w:t>
        <w:br/>
        <w:t xml:space="preserve">{{field-off:bible}} </w:t>
      </w:r>
    </w:p>
    <w:p>
      <w:pPr>
        <w:pStyle w:val="Berschrift3"/>
        <w:rPr/>
      </w:pPr>
      <w:r>
        <w:rPr/>
        <w:t>[[@BibleTOBIBLE:Ps 16]]Kapitel 16</w:t>
      </w:r>
    </w:p>
    <w:p>
      <w:pPr>
        <w:pStyle w:val="Textkrper"/>
        <w:rPr/>
      </w:pPr>
      <w:r>
        <w:rPr/>
        <w:t>Psalm 16 ist ein Bittpsalm eines einzelnen Beters. Doch ist er von einer solchen Erhörungsgewissheit durchdrungen, dass die eigentliche Bitte in V. 1 ganz an den Rand gedrängt wird, stattdessen ist der ganze Psalm vollständig bestimmt von einer Grundstimmung der Hoffnung und des Vertrauens, so dass man ihn gut auch als einen „Vertrauenspsalm“ bezeichnen kann. Die einzelnen Abschnitte sind gut erkennbar:V. 1a ist die Überschrift. Diese Überschriften wurden nachträglich von Redaktoren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aus.In V. 1bc folgt die Bitte, an die sich in Vv. 2-4 direkt ein Bekenntnis anschließt, das Gott wohl auch zum Handeln bewegen soll: Der Beter ist ein Gottgläubiger (V. 2) und führt sein Wohlergehen ganz auf diesen zurück, und er hält sich ganz an die Anhänger dieses Gottes (V. 3). Nicht dagegen hält er sich an die Anhänger anderer Götter (V. 4a) und an diese Götter selbst erst recht nicht (V. 4bc).Aus diesem Grund kann er in den Vv. 5-11 sprechen von den vergangenen, aktuellen und zukünftigen Segnungen durch diesen guten Gott: In Vv. 5-6 nämlich von den Wohltaten, die er ihm schon erwiesen hat, in Vv. 7-8 von seinem aktuellen segensreichen Verhältnis zu Gott und in Vv. 9-11 von den Segnungen, die er von ihm noch erwarten darf.Vv. 5f. werden dabei ganz durchwaltet von der Metapher der Landverlosung. Im Hintergrund steht die in Jos 13 berichtete Verlosung des Landes an die Israeliten, wo es das Schicksal war, das jedem Menschen den (dann je weiterzuvererbenden) Landbesitz zukommen ließ. Ebenso, sagt der Dichter, ist sein Schicksal – Gott.</w:t>
      </w:r>
      <w:r>
        <w:rPr>
          <w:rStyle w:val="Funotenanker"/>
        </w:rPr>
        <w:footnoteReference w:customMarkFollows="1" w:id="760"/>
        <w:t>a</w:t>
      </w:r>
      <w:r>
        <w:rPr/>
        <w:t xml:space="preserve">Vv. 7f. thematisieren sein Verhältnis zu </w:t>
      </w:r>
      <w:r>
        <w:rPr>
          <w:rStyle w:val="Funotenanker"/>
        </w:rPr>
        <w:footnoteReference w:customMarkFollows="1" w:id="761"/>
        <w:t>b</w:t>
      </w:r>
      <w:r>
        <w:rPr/>
        <w:t xml:space="preserve">. Er will JHWH preisen, denn: Tag und nacht spricht Gott zu seinem Verstand und seinem Herzen (V. 7), und entsprechend hält auch sich unaufhörlich Gott bewusst (V. 8a). Die Folge dieses unaufhörlichen Miteinanders ist klar: Nie wird ihm Schlimmes widerfahren (V. 8b).Diese beiden Verse werden in Vv. 9-11 gespiegelt und in die Zukunft fortgeführt: Er kann sich freuen, denn: Nie wird ihm Schlimmes widerfahren (V. 9b-10) und er wird stets auf dem rechten – nämlich dem von Gott gelehrten – Pfad wandeln (V. 11). Psalm 16,8-11 wird in Apg 2,26-36 und 13,32-39 als Prophetie über das Schicksal Jesu ausgelegt und im Erlass De falsa duorum textum biblicorum interpretatione („Über die falsche Interpretation von Bibeltexten“) von 1933 hat die päpstliche Bibelkommission „bestimmt“, dass dies in der Tat die richtige Bedeutung dieser Verse sei. Vv. 9-10 sprechen nach dieser Auslegung tatsächlich davon, dass Jesus nicht im Reich der Toten bleiben, sondern auferstehen wird. Das ist nicht die nächstliegende Bedeutung dieser Verse – der Glaube an die Auferstehung hatte sich zur Abfassungszeit des Psalms vermutlich noch gar nicht entwickelt –, an sich ist es aber nicht unmöglich, die Verse auch in diese Richtung auszulegen. Mindestens lässt sich gut mit Weiser 1973, S. 119f. sagen: „[Apg 2,26-36 und Apg 13,32-39 stehen auf demselben] Boden, der durch den ganzen Psalm hindurch als die Grundlage des starken Glaubensoptimismus beim Dichter sichtbar geworden ist: Die Lebensgemeinschaft mit Gott. Wo dieses Leben mit Gott den ganzen Menschen erfasst, verliert der Tod praktisch jenes furchtbare Gewicht, das er für den Menschen [...] besitzt. Dies ist der Weg der Überwindung des Todes, den der Psalm beschreitet: Für die Lebensmacht Gottes, an der der Dichter teilhaben darf, ist Tod und Unterwelt kein unüberschreitbares Hindernis mehr, woran jene Lebensgemeinschaft zerbrechen müsste. [...] Gewiß ist V. 10 [ursprünglich] nicht als weisagende Ankündigung der Auferstehung Jesu gemeint, aber der neutestamentliche Auferstehungsglaube und das, was den Psalmisten hier bewegt, stehen auf dem gleichen Grunde, nämlich auf dem unerschütterlichen Glauben an die Lebensmacht Gottes, die in der Auferstehung des Christus den Tod endgültig überwunden hat.“ </w:t>
        <w:br/>
        <w:br/>
        <w:t>[[@BibleTOBIBLE:Ps 16:1]]</w:t>
      </w:r>
      <w:r>
        <w:rPr>
          <w:b/>
        </w:rPr>
        <w:t>1</w:t>
      </w:r>
      <w:r>
        <w:rPr/>
        <w:t xml:space="preserve"> {{field-on:bible}} </w:t>
      </w:r>
      <w:r>
        <w:rPr>
          <w:rStyle w:val="Funotenanker"/>
        </w:rPr>
        <w:footnoteReference w:customMarkFollows="1" w:id="762"/>
        <w:t>Status</w:t>
      </w:r>
      <w:r>
        <w:rPr/>
        <w:t xml:space="preserve"> ''miktam''</w:t>
      </w:r>
      <w:r>
        <w:rPr>
          <w:rStyle w:val="Funotenanker"/>
        </w:rPr>
        <w:footnoteReference w:customMarkFollows="1" w:id="763"/>
        <w:t>c</w:t>
      </w:r>
      <w:r>
        <w:rPr/>
        <w:t xml:space="preserve"> von </w:t>
      </w:r>
      <w:r>
        <w:rPr>
          <w:color w:val="808080"/>
        </w:rPr>
        <w:t>(für, über, nach Art von )</w:t>
      </w:r>
      <w:r>
        <w:rPr/>
        <w:t xml:space="preserve"> David. </w:t>
        <w:br/>
        <w:t xml:space="preserve">Schütze mich, Gott,denn ich berge mich bei dir </w:t>
      </w:r>
      <w:r>
        <w:rPr>
          <w:color w:val="808080"/>
        </w:rPr>
        <w:t>(vertraue dir)</w:t>
      </w:r>
      <w:r>
        <w:rPr/>
        <w:t>!</w:t>
        <w:br/>
        <w:br/>
        <w:t xml:space="preserve">{{field-off:bible}} </w:t>
        <w:br/>
        <w:t>[[@BibleTOBIBLE:Ps 16:2]]</w:t>
      </w:r>
      <w:r>
        <w:rPr>
          <w:b/>
        </w:rPr>
        <w:t>2</w:t>
      </w:r>
      <w:r>
        <w:rPr/>
        <w:t xml:space="preserve"> {{field-on:bible}} </w:t>
        <w:br/>
        <w:t xml:space="preserve">Ich sage </w:t>
      </w:r>
      <w:r>
        <w:rPr>
          <w:color w:val="808080"/>
        </w:rPr>
        <w:t>(du sagst)</w:t>
      </w:r>
      <w:r>
        <w:rPr/>
        <w:t xml:space="preserve"> </w:t>
      </w:r>
      <w:r>
        <w:rPr>
          <w:rStyle w:val="Funotenanker"/>
        </w:rPr>
        <w:footnoteReference w:customMarkFollows="1" w:id="764"/>
        <w:t>d</w:t>
      </w:r>
      <w:r>
        <w:rPr/>
        <w:t xml:space="preserve"> zu </w:t>
      </w:r>
      <w:r>
        <w:rPr>
          <w:color w:val="808080"/>
        </w:rPr>
        <w:t>(über, was ... angeht)</w:t>
      </w:r>
      <w:r>
        <w:rPr/>
        <w:t xml:space="preserve"> </w:t>
      </w:r>
      <w:r>
        <w:rPr>
          <w:smallCaps/>
          <w:color w:val="FF0000"/>
        </w:rPr>
        <w:t>JHWH</w:t>
      </w:r>
      <w:r>
        <w:rPr/>
        <w:t xml:space="preserve">: „Mein </w:t>
      </w:r>
      <w:r>
        <w:rPr>
          <w:color w:val="808080"/>
        </w:rPr>
        <w:t>(</w:t>
      </w:r>
      <w:r>
        <w:rPr>
          <w:strike/>
          <w:color w:val="808080"/>
        </w:rPr>
        <w:t>{Mein}</w:t>
      </w:r>
      <w:r>
        <w:rPr>
          <w:color w:val="808080"/>
        </w:rPr>
        <w:t>)</w:t>
      </w:r>
      <w:r>
        <w:rPr/>
        <w:t xml:space="preserve"> Herr </w:t>
      </w:r>
      <w:r>
        <w:rPr>
          <w:b/>
          <w:color w:val="808080"/>
        </w:rPr>
        <w:t>[</w:t>
      </w:r>
      <w:r>
        <w:rPr/>
        <w:t>bist</w:t>
      </w:r>
      <w:r>
        <w:rPr>
          <w:b/>
          <w:color w:val="808080"/>
        </w:rPr>
        <w:t>]</w:t>
      </w:r>
      <w:r>
        <w:rPr/>
        <w:t xml:space="preserve"> du!Mein Wohlergehen </w:t>
      </w:r>
      <w:r>
        <w:rPr>
          <w:color w:val="808080"/>
        </w:rPr>
        <w:t>(Glück)</w:t>
      </w:r>
      <w:r>
        <w:rPr/>
        <w:t xml:space="preserve"> </w:t>
      </w:r>
      <w:r>
        <w:rPr>
          <w:b/>
          <w:color w:val="808080"/>
        </w:rPr>
        <w:t>[</w:t>
      </w:r>
      <w:r>
        <w:rPr/>
        <w:t>ist</w:t>
      </w:r>
      <w:r>
        <w:rPr>
          <w:b/>
          <w:color w:val="808080"/>
        </w:rPr>
        <w:t>]</w:t>
      </w:r>
      <w:r>
        <w:rPr/>
        <w:t xml:space="preserve"> nicht außer durch dich </w:t>
      </w:r>
      <w:r>
        <w:rPr>
          <w:color w:val="808080"/>
        </w:rPr>
        <w:t>(nicht über dir?)</w:t>
      </w:r>
      <w:r>
        <w:rPr/>
        <w:t>!“,</w:t>
        <w:br/>
        <w:t xml:space="preserve">{{field-off:bible}} </w:t>
        <w:br/>
        <w:t>[[@BibleTOBIBLE:Ps 16:3]]</w:t>
      </w:r>
      <w:r>
        <w:rPr>
          <w:b/>
        </w:rPr>
        <w:t>3</w:t>
      </w:r>
      <w:r>
        <w:rPr/>
        <w:t xml:space="preserve"> {{field-on:bible}} </w:t>
        <w:br/>
        <w:t xml:space="preserve">Zu den </w:t>
      </w:r>
      <w:r>
        <w:rPr>
          <w:color w:val="808080"/>
        </w:rPr>
        <w:t>(über die, was ... angeht)</w:t>
      </w:r>
      <w:r>
        <w:rPr/>
        <w:t xml:space="preserve"> Heiligen,</w:t>
      </w:r>
      <w:r>
        <w:rPr>
          <w:rStyle w:val="Funotenanker"/>
        </w:rPr>
        <w:footnoteReference w:customMarkFollows="1" w:id="765"/>
        <w:t>e</w:t>
      </w:r>
      <w:r>
        <w:rPr/>
        <w:t xml:space="preserve"> die im Land </w:t>
      </w:r>
      <w:r>
        <w:rPr>
          <w:color w:val="808080"/>
        </w:rPr>
        <w:t>(auf der Erde)</w:t>
      </w:r>
      <w:r>
        <w:rPr/>
        <w:t xml:space="preserve"> </w:t>
      </w:r>
      <w:r>
        <w:rPr>
          <w:b/>
          <w:color w:val="808080"/>
        </w:rPr>
        <w:t>[</w:t>
      </w:r>
      <w:r>
        <w:rPr/>
        <w:t>sind</w:t>
      </w:r>
      <w:r>
        <w:rPr>
          <w:b/>
          <w:color w:val="808080"/>
        </w:rPr>
        <w:t>]</w:t>
      </w:r>
      <w:r>
        <w:rPr/>
        <w:t>: „Diese,</w:t>
      </w:r>
      <w:r>
        <w:rPr>
          <w:rStyle w:val="Funotenanker"/>
        </w:rPr>
        <w:footnoteReference w:customMarkFollows="1" w:id="766"/>
        <w:t>f</w:t>
      </w:r>
      <w:r>
        <w:rPr/>
        <w:t xml:space="preserve"> die </w:t>
      </w:r>
      <w:r>
        <w:rPr>
          <w:color w:val="808080"/>
        </w:rPr>
        <w:t>(meine)</w:t>
      </w:r>
      <w:r>
        <w:rPr/>
        <w:t xml:space="preserve"> Herrlichen: Mein ganzes Wohlgefallen </w:t>
      </w:r>
      <w:r>
        <w:rPr>
          <w:b/>
          <w:color w:val="808080"/>
        </w:rPr>
        <w:t>[</w:t>
      </w:r>
      <w:r>
        <w:rPr/>
        <w:t>richtet sich</w:t>
      </w:r>
      <w:r>
        <w:rPr>
          <w:b/>
          <w:color w:val="808080"/>
        </w:rPr>
        <w:t>]</w:t>
      </w:r>
      <w:r>
        <w:rPr/>
        <w:t xml:space="preserve"> auf sie!“</w:t>
      </w:r>
      <w:r>
        <w:rPr>
          <w:rStyle w:val="Funotenanker"/>
        </w:rPr>
        <w:footnoteReference w:customMarkFollows="1" w:id="767"/>
        <w:t>g</w:t>
      </w:r>
      <w:r>
        <w:rPr/>
        <w:t xml:space="preserve"> </w:t>
        <w:br/>
        <w:t xml:space="preserve">{{field-off:bible}} </w:t>
        <w:br/>
        <w:t>[[@BibleTOBIBLE:Ps 16:4]]</w:t>
      </w:r>
      <w:r>
        <w:rPr>
          <w:b/>
        </w:rPr>
        <w:t>4</w:t>
      </w:r>
      <w:r>
        <w:rPr/>
        <w:t xml:space="preserve"> {{field-on:bible}} </w:t>
        <w:br/>
        <w:t xml:space="preserve">Es sollen </w:t>
      </w:r>
      <w:r>
        <w:rPr>
          <w:color w:val="808080"/>
        </w:rPr>
        <w:t>(werden)</w:t>
      </w:r>
      <w:r>
        <w:rPr/>
        <w:t xml:space="preserve"> sich vermehren die Schmerzen</w:t>
      </w:r>
      <w:r>
        <w:rPr>
          <w:rStyle w:val="Funotenanker"/>
        </w:rPr>
        <w:footnoteReference w:customMarkFollows="1" w:id="768"/>
        <w:t>h</w:t>
      </w:r>
      <w:r>
        <w:rPr/>
        <w:t xml:space="preserve"> </w:t>
      </w:r>
      <w:r>
        <w:rPr>
          <w:color w:val="808080"/>
        </w:rPr>
        <w:t>(Götzenbilder)</w:t>
      </w:r>
      <w:r>
        <w:rPr/>
        <w:t xml:space="preserve"> derer </w:t>
      </w:r>
      <w:r>
        <w:rPr>
          <w:color w:val="808080"/>
        </w:rPr>
        <w:t>(es vermehren sich ihre Schmerzen die)</w:t>
      </w:r>
      <w:r>
        <w:rPr/>
        <w:t xml:space="preserve">, die einem anderen </w:t>
      </w:r>
      <w:r>
        <w:rPr>
          <w:color w:val="808080"/>
        </w:rPr>
        <w:t>(die anderen)</w:t>
      </w:r>
      <w:r>
        <w:rPr/>
        <w:t xml:space="preserve"> nacheilen </w:t>
      </w:r>
      <w:r>
        <w:rPr>
          <w:color w:val="808080"/>
        </w:rPr>
        <w:t>(?, umwerben?)</w:t>
      </w:r>
      <w:r>
        <w:rPr/>
        <w:t>,</w:t>
      </w:r>
      <w:r>
        <w:rPr>
          <w:rStyle w:val="Funotenanker"/>
        </w:rPr>
        <w:footnoteReference w:customMarkFollows="1" w:id="769"/>
        <w:t>i</w:t>
      </w:r>
      <w:r>
        <w:rPr/>
        <w:t xml:space="preserve">Nicht werde ich libieren ihre Blutlibationen </w:t>
      </w:r>
      <w:r>
        <w:rPr>
          <w:color w:val="808080"/>
        </w:rPr>
        <w:t xml:space="preserve">(ihre Libationen mit </w:t>
      </w:r>
      <w:r>
        <w:rPr>
          <w:b/>
          <w:color w:val="808080"/>
        </w:rPr>
        <w:t>[</w:t>
      </w:r>
      <w:r>
        <w:rPr>
          <w:color w:val="808080"/>
        </w:rPr>
        <w:t>meiner</w:t>
      </w:r>
      <w:r>
        <w:rPr>
          <w:b/>
          <w:color w:val="808080"/>
        </w:rPr>
        <w:t>]</w:t>
      </w:r>
      <w:r>
        <w:rPr>
          <w:color w:val="808080"/>
        </w:rPr>
        <w:t xml:space="preserve"> Hand)</w:t>
      </w:r>
      <w:r>
        <w:rPr/>
        <w:t>,</w:t>
      </w:r>
      <w:r>
        <w:rPr>
          <w:rStyle w:val="Funotenanker"/>
        </w:rPr>
        <w:footnoteReference w:customMarkFollows="1" w:id="770"/>
        <w:t>j</w:t>
      </w:r>
      <w:r>
        <w:rPr/>
        <w:t>Nicht werde ich heben ihre Namen auf meine Lippen!</w:t>
      </w:r>
      <w:r>
        <w:rPr>
          <w:rStyle w:val="Funotenanker"/>
        </w:rPr>
        <w:footnoteReference w:customMarkFollows="1" w:id="771"/>
        <w:t>k</w:t>
      </w:r>
      <w:r>
        <w:rPr/>
        <w:t xml:space="preserve"> </w:t>
        <w:br/>
        <w:br/>
        <w:t xml:space="preserve">{{field-off:bible}} </w:t>
        <w:br/>
        <w:t>[[@BibleTOBIBLE:Ps 16:5]]</w:t>
      </w:r>
      <w:r>
        <w:rPr>
          <w:b/>
        </w:rPr>
        <w:t>5</w:t>
      </w:r>
      <w:r>
        <w:rPr/>
        <w:t xml:space="preserve"> {{field-on:bible}} </w:t>
        <w:br/>
      </w:r>
      <w:r>
        <w:rPr>
          <w:smallCaps/>
          <w:color w:val="FF0000"/>
        </w:rPr>
        <w:t>JHWH</w:t>
      </w:r>
      <w:r>
        <w:rPr/>
        <w:t xml:space="preserve"> </w:t>
      </w:r>
      <w:r>
        <w:rPr>
          <w:b/>
          <w:color w:val="808080"/>
        </w:rPr>
        <w:t>[</w:t>
      </w:r>
      <w:r>
        <w:rPr/>
        <w:t>ist</w:t>
      </w:r>
      <w:r>
        <w:rPr>
          <w:b/>
          <w:color w:val="808080"/>
        </w:rPr>
        <w:t>]</w:t>
      </w:r>
      <w:r>
        <w:rPr/>
        <w:t xml:space="preserve"> das Teil meiner Zuteilung und meines Bechers,Zieher meines Lossteins </w:t>
      </w:r>
      <w:r>
        <w:rPr>
          <w:color w:val="808080"/>
        </w:rPr>
        <w:t>(Erhalter meines Loses)</w:t>
      </w:r>
      <w:r>
        <w:rPr/>
        <w:t>.</w:t>
      </w:r>
      <w:r>
        <w:rPr>
          <w:rStyle w:val="Funotenanker"/>
        </w:rPr>
        <w:footnoteReference w:customMarkFollows="1" w:id="772"/>
        <w:t>l</w:t>
      </w:r>
      <w:r>
        <w:rPr/>
        <w:t xml:space="preserve"> </w:t>
        <w:br/>
        <w:t xml:space="preserve">{{field-off:bible}} </w:t>
        <w:br/>
        <w:t>[[@BibleTOBIBLE:Ps 16:6]]</w:t>
      </w:r>
      <w:r>
        <w:rPr>
          <w:b/>
        </w:rPr>
        <w:t>6</w:t>
      </w:r>
      <w:r>
        <w:rPr/>
        <w:t xml:space="preserve"> {{field-on:bible}} </w:t>
        <w:br/>
        <w:t xml:space="preserve">Schnüre fielen mir auf Liebliches </w:t>
      </w:r>
      <w:r>
        <w:rPr>
          <w:color w:val="808080"/>
        </w:rPr>
        <w:t xml:space="preserve">(liebliches </w:t>
      </w:r>
      <w:r>
        <w:rPr>
          <w:b/>
          <w:color w:val="808080"/>
        </w:rPr>
        <w:t>[</w:t>
      </w:r>
      <w:r>
        <w:rPr>
          <w:color w:val="808080"/>
        </w:rPr>
        <w:t>Land</w:t>
      </w:r>
      <w:r>
        <w:rPr>
          <w:b/>
          <w:color w:val="808080"/>
        </w:rPr>
        <w:t>]</w:t>
      </w:r>
      <w:r>
        <w:rPr>
          <w:color w:val="808080"/>
        </w:rPr>
        <w:t>)</w:t>
      </w:r>
      <w:r>
        <w:rPr/>
        <w:t>,</w:t>
      </w:r>
      <w:r>
        <w:rPr>
          <w:rStyle w:val="Funotenanker"/>
        </w:rPr>
        <w:footnoteReference w:customMarkFollows="1" w:id="773"/>
        <w:t>m</w:t>
      </w:r>
      <w:r>
        <w:rPr/>
        <w:t xml:space="preserve">ja, mein Erbbesitz </w:t>
      </w:r>
      <w:r>
        <w:rPr>
          <w:color w:val="808080"/>
        </w:rPr>
        <w:t>(der Erbbesitz)</w:t>
      </w:r>
      <w:r>
        <w:rPr/>
        <w:t xml:space="preserve"> </w:t>
      </w:r>
      <w:r>
        <w:rPr>
          <w:rStyle w:val="Funotenanker"/>
        </w:rPr>
        <w:footnoteReference w:customMarkFollows="1" w:id="774"/>
        <w:t>n</w:t>
      </w:r>
      <w:r>
        <w:rPr/>
        <w:t xml:space="preserve"> dünkt mich schön!</w:t>
      </w:r>
      <w:r>
        <w:rPr>
          <w:rStyle w:val="Funotenanker"/>
        </w:rPr>
        <w:footnoteReference w:customMarkFollows="1" w:id="775"/>
        <w:t>o</w:t>
      </w:r>
      <w:r>
        <w:rPr/>
        <w:t xml:space="preserve"> </w:t>
      </w:r>
      <w:r>
        <w:rPr>
          <w:position w:val="8"/>
          <w:sz w:val="19"/>
        </w:rPr>
        <w:t>[[ ℘ &gt;&gt; BibleTOBIBLE:Je 3:19]]</w:t>
      </w:r>
      <w:r>
        <w:rPr/>
        <w:t xml:space="preserve"> </w:t>
        <w:br/>
        <w:br/>
        <w:t xml:space="preserve">{{field-off:bible}} </w:t>
        <w:br/>
        <w:t>[[@BibleTOBIBLE:Ps 16:7]]</w:t>
      </w:r>
      <w:r>
        <w:rPr>
          <w:b/>
        </w:rPr>
        <w:t>7</w:t>
      </w:r>
      <w:r>
        <w:rPr/>
        <w:t xml:space="preserve"> {{field-on:bible}} </w:t>
        <w:br/>
        <w:t xml:space="preserve">Ich will preisen </w:t>
      </w:r>
      <w:r>
        <w:rPr>
          <w:smallCaps/>
          <w:color w:val="FF0000"/>
        </w:rPr>
        <w:t>JHWH</w:t>
      </w:r>
      <w:r>
        <w:rPr/>
        <w:t xml:space="preserve">, der mich berät,ja, </w:t>
      </w:r>
      <w:r>
        <w:rPr>
          <w:b/>
          <w:color w:val="808080"/>
        </w:rPr>
        <w:t>[</w:t>
      </w:r>
      <w:r>
        <w:rPr/>
        <w:t>selbst</w:t>
      </w:r>
      <w:r>
        <w:rPr>
          <w:b/>
          <w:color w:val="808080"/>
        </w:rPr>
        <w:t>]</w:t>
      </w:r>
      <w:r>
        <w:rPr/>
        <w:t xml:space="preserve"> in den Nächten belehren </w:t>
      </w:r>
      <w:r>
        <w:rPr>
          <w:color w:val="808080"/>
        </w:rPr>
        <w:t>(züchtigen)</w:t>
      </w:r>
      <w:r>
        <w:rPr/>
        <w:t xml:space="preserve"> mich meine Nieren.</w:t>
      </w:r>
      <w:r>
        <w:rPr>
          <w:rStyle w:val="Funotenanker"/>
        </w:rPr>
        <w:footnoteReference w:customMarkFollows="1" w:id="776"/>
        <w:t>p</w:t>
      </w:r>
      <w:r>
        <w:rPr/>
        <w:t xml:space="preserve"> </w:t>
        <w:br/>
        <w:t xml:space="preserve">{{field-off:bible}} </w:t>
        <w:br/>
        <w:t>[[@BibleTOBIBLE:Ps 16:8]]</w:t>
      </w:r>
      <w:r>
        <w:rPr>
          <w:b/>
        </w:rPr>
        <w:t>8</w:t>
      </w:r>
      <w:r>
        <w:rPr/>
        <w:t xml:space="preserve"> {{field-on:bible}} </w:t>
        <w:br/>
        <w:t xml:space="preserve">Ich setze mir </w:t>
      </w:r>
      <w:r>
        <w:rPr>
          <w:smallCaps/>
          <w:color w:val="FF0000"/>
        </w:rPr>
        <w:t>JHWH</w:t>
      </w:r>
      <w:r>
        <w:rPr/>
        <w:t xml:space="preserve"> vor mich beständig;</w:t>
      </w:r>
      <w:r>
        <w:rPr>
          <w:rStyle w:val="Funotenanker"/>
        </w:rPr>
        <w:footnoteReference w:customMarkFollows="1" w:id="777"/>
        <w:t>q</w:t>
      </w:r>
      <w:r>
        <w:rPr/>
        <w:t xml:space="preserve">Denn </w:t>
      </w:r>
      <w:r>
        <w:rPr>
          <w:b/>
          <w:color w:val="808080"/>
        </w:rPr>
        <w:t>[</w:t>
      </w:r>
      <w:r>
        <w:rPr/>
        <w:t>ist er</w:t>
      </w:r>
      <w:r>
        <w:rPr>
          <w:b/>
          <w:color w:val="808080"/>
        </w:rPr>
        <w:t>]</w:t>
      </w:r>
      <w:r>
        <w:rPr/>
        <w:t xml:space="preserve"> zu meiner Rechten, werde ich </w:t>
      </w:r>
      <w:r>
        <w:rPr>
          <w:color w:val="808080"/>
        </w:rPr>
        <w:t xml:space="preserve">(ja, </w:t>
      </w:r>
      <w:r>
        <w:rPr>
          <w:b/>
          <w:color w:val="808080"/>
        </w:rPr>
        <w:t>[</w:t>
      </w:r>
      <w:r>
        <w:rPr>
          <w:color w:val="808080"/>
        </w:rPr>
        <w:t>ich setze ihn</w:t>
      </w:r>
      <w:r>
        <w:rPr>
          <w:b/>
          <w:color w:val="808080"/>
        </w:rPr>
        <w:t>]</w:t>
      </w:r>
      <w:r>
        <w:rPr>
          <w:color w:val="808080"/>
        </w:rPr>
        <w:t xml:space="preserve"> zu meiner Rechten, ich werde; weil er zu meiner Rechten ist. Ich werde)</w:t>
      </w:r>
      <w:r>
        <w:rPr/>
        <w:t xml:space="preserve"> nicht wanken.</w:t>
      </w:r>
      <w:r>
        <w:rPr>
          <w:rStyle w:val="Funotenanker"/>
        </w:rPr>
        <w:footnoteReference w:customMarkFollows="1" w:id="778"/>
        <w:t>r</w:t>
      </w:r>
      <w:r>
        <w:rPr/>
        <w:t xml:space="preserve"> </w:t>
        <w:br/>
        <w:br/>
        <w:t xml:space="preserve">{{field-off:bible}} </w:t>
        <w:br/>
        <w:t>[[@BibleTOBIBLE:Ps 16:9]]</w:t>
      </w:r>
      <w:r>
        <w:rPr>
          <w:b/>
        </w:rPr>
        <w:t>9</w:t>
      </w:r>
      <w:r>
        <w:rPr/>
        <w:t xml:space="preserve"> {{field-on:bible}} </w:t>
        <w:br/>
        <w:t xml:space="preserve">Darum freut sich mein Herz und jubelt meine Leber </w:t>
      </w:r>
      <w:r>
        <w:rPr>
          <w:color w:val="808080"/>
        </w:rPr>
        <w:t>(Herrlichkeit)</w:t>
      </w:r>
      <w:r>
        <w:rPr/>
        <w:t>,</w:t>
      </w:r>
      <w:r>
        <w:rPr>
          <w:rStyle w:val="Funotenanker"/>
        </w:rPr>
        <w:footnoteReference w:customMarkFollows="1" w:id="779"/>
        <w:t>s</w:t>
      </w:r>
      <w:r>
        <w:rPr/>
        <w:t xml:space="preserve">Ja, </w:t>
      </w:r>
      <w:r>
        <w:rPr>
          <w:b/>
          <w:color w:val="808080"/>
        </w:rPr>
        <w:t>[</w:t>
      </w:r>
      <w:r>
        <w:rPr/>
        <w:t>selbst</w:t>
      </w:r>
      <w:r>
        <w:rPr>
          <w:b/>
          <w:color w:val="808080"/>
        </w:rPr>
        <w:t>]</w:t>
      </w:r>
      <w:r>
        <w:rPr/>
        <w:t xml:space="preserve"> mein Fleisch wird wohnen </w:t>
      </w:r>
      <w:r>
        <w:rPr>
          <w:color w:val="808080"/>
        </w:rPr>
        <w:t>(ruhen)</w:t>
      </w:r>
      <w:r>
        <w:rPr/>
        <w:t xml:space="preserve"> in Sicherheit.</w:t>
      </w:r>
      <w:r>
        <w:rPr>
          <w:rStyle w:val="Funotenanker"/>
        </w:rPr>
        <w:footnoteReference w:customMarkFollows="1" w:id="780"/>
        <w:t>t</w:t>
      </w:r>
      <w:r>
        <w:rPr/>
        <w:t xml:space="preserve"> </w:t>
        <w:br/>
        <w:t xml:space="preserve">{{field-off:bible}} </w:t>
        <w:br/>
        <w:t>[[@BibleTOBIBLE:Ps 16:10]]</w:t>
      </w:r>
      <w:r>
        <w:rPr>
          <w:b/>
        </w:rPr>
        <w:t>10</w:t>
      </w:r>
      <w:r>
        <w:rPr/>
        <w:t xml:space="preserve"> {{field-on:bible}} </w:t>
        <w:br/>
        <w:t xml:space="preserve">Denn du wirst meine Seele </w:t>
      </w:r>
      <w:r>
        <w:rPr>
          <w:color w:val="808080"/>
        </w:rPr>
        <w:t>(mich)</w:t>
      </w:r>
      <w:r>
        <w:rPr/>
        <w:t xml:space="preserve"> nicht dem Scheol</w:t>
      </w:r>
      <w:r>
        <w:rPr>
          <w:rStyle w:val="Funotenanker"/>
        </w:rPr>
        <w:footnoteReference w:customMarkFollows="1" w:id="781"/>
        <w:t>u</w:t>
      </w:r>
      <w:r>
        <w:rPr/>
        <w:t xml:space="preserve"> überlassen </w:t>
      </w:r>
      <w:r>
        <w:rPr>
          <w:color w:val="808080"/>
        </w:rPr>
        <w:t>(im Scheol lassen)</w:t>
      </w:r>
      <w:r>
        <w:rPr/>
        <w:t>,Du wirst nicht erlauben, dass</w:t>
      </w:r>
      <w:r>
        <w:rPr>
          <w:rStyle w:val="Funotenanker"/>
        </w:rPr>
        <w:footnoteReference w:customMarkFollows="1" w:id="782"/>
        <w:t>v</w:t>
      </w:r>
      <w:r>
        <w:rPr/>
        <w:t xml:space="preserve"> dein Frommer </w:t>
      </w:r>
      <w:r>
        <w:rPr>
          <w:color w:val="808080"/>
        </w:rPr>
        <w:t>(deine Frommen)</w:t>
      </w:r>
      <w:r>
        <w:rPr/>
        <w:t xml:space="preserve"> </w:t>
      </w:r>
      <w:r>
        <w:rPr>
          <w:rStyle w:val="Funotenanker"/>
        </w:rPr>
        <w:footnoteReference w:customMarkFollows="1" w:id="783"/>
        <w:t>w</w:t>
      </w:r>
      <w:r>
        <w:rPr/>
        <w:t xml:space="preserve"> die Grube </w:t>
      </w:r>
      <w:r>
        <w:rPr>
          <w:color w:val="808080"/>
        </w:rPr>
        <w:t>(die Verwesung)</w:t>
      </w:r>
      <w:r>
        <w:rPr/>
        <w:t xml:space="preserve"> </w:t>
      </w:r>
      <w:r>
        <w:rPr>
          <w:rStyle w:val="Funotenanker"/>
        </w:rPr>
        <w:footnoteReference w:customMarkFollows="1" w:id="784"/>
        <w:t>x</w:t>
      </w:r>
      <w:r>
        <w:rPr/>
        <w:t xml:space="preserve"> sieht.</w:t>
        <w:br/>
        <w:t xml:space="preserve">{{field-off:bible}} </w:t>
        <w:br/>
        <w:t>[[@BibleTOBIBLE:Ps 16:11]]</w:t>
      </w:r>
      <w:r>
        <w:rPr>
          <w:b/>
        </w:rPr>
        <w:t>11</w:t>
      </w:r>
      <w:r>
        <w:rPr/>
        <w:t xml:space="preserve"> {{field-on:bible}} </w:t>
        <w:br/>
        <w:t xml:space="preserve">Du wirst </w:t>
      </w:r>
      <w:r>
        <w:rPr>
          <w:color w:val="808080"/>
        </w:rPr>
        <w:t>(sollst)</w:t>
      </w:r>
      <w:r>
        <w:rPr/>
        <w:t xml:space="preserve"> mir kundtun </w:t>
      </w:r>
      <w:r>
        <w:rPr>
          <w:color w:val="808080"/>
        </w:rPr>
        <w:t>(mich erkennen lassen)</w:t>
      </w:r>
      <w:r>
        <w:rPr/>
        <w:t xml:space="preserve"> den Weg des Lebens </w:t>
      </w:r>
      <w:r>
        <w:rPr>
          <w:color w:val="808080"/>
        </w:rPr>
        <w:t>(zum Leben)</w:t>
      </w:r>
      <w:r>
        <w:rPr/>
        <w:t>:</w:t>
      </w:r>
      <w:r>
        <w:rPr>
          <w:rStyle w:val="Funotenanker"/>
        </w:rPr>
        <w:footnoteReference w:customMarkFollows="1" w:id="785"/>
        <w:t>y</w:t>
      </w:r>
      <w:r>
        <w:rPr/>
        <w:t xml:space="preserve"> </w:t>
      </w:r>
      <w:r>
        <w:rPr>
          <w:b/>
          <w:color w:val="808080"/>
        </w:rPr>
        <w:t>[</w:t>
      </w:r>
      <w:r>
        <w:rPr/>
        <w:t>Die</w:t>
      </w:r>
      <w:r>
        <w:rPr>
          <w:b/>
          <w:color w:val="808080"/>
        </w:rPr>
        <w:t>]</w:t>
      </w:r>
      <w:r>
        <w:rPr/>
        <w:t xml:space="preserve"> Fülle </w:t>
      </w:r>
      <w:r>
        <w:rPr>
          <w:color w:val="808080"/>
        </w:rPr>
        <w:t>(Sättigung)</w:t>
      </w:r>
      <w:r>
        <w:rPr/>
        <w:t xml:space="preserve"> der Freuden </w:t>
      </w:r>
      <w:r>
        <w:rPr>
          <w:color w:val="808080"/>
        </w:rPr>
        <w:t>(</w:t>
      </w:r>
      <w:r>
        <w:rPr>
          <w:b/>
          <w:color w:val="808080"/>
        </w:rPr>
        <w:t>[</w:t>
      </w:r>
      <w:r>
        <w:rPr>
          <w:color w:val="808080"/>
        </w:rPr>
        <w:t>ist</w:t>
      </w:r>
      <w:r>
        <w:rPr>
          <w:b/>
          <w:color w:val="808080"/>
        </w:rPr>
        <w:t>]</w:t>
      </w:r>
      <w:r>
        <w:rPr>
          <w:color w:val="808080"/>
        </w:rPr>
        <w:t>)</w:t>
      </w:r>
      <w:r>
        <w:rPr/>
        <w:t xml:space="preserve"> bei deinem Angesicht, </w:t>
      </w:r>
      <w:r>
        <w:rPr>
          <w:b/>
          <w:color w:val="808080"/>
        </w:rPr>
        <w:t>[</w:t>
      </w:r>
      <w:r>
        <w:rPr/>
        <w:t>Die</w:t>
      </w:r>
      <w:r>
        <w:rPr>
          <w:b/>
          <w:color w:val="808080"/>
        </w:rPr>
        <w:t>]</w:t>
      </w:r>
      <w:r>
        <w:rPr/>
        <w:t xml:space="preserve"> Lieblichkeiten </w:t>
      </w:r>
      <w:r>
        <w:rPr>
          <w:color w:val="808080"/>
        </w:rPr>
        <w:t>(Freuden, Annehmlichkeiten)</w:t>
      </w:r>
      <w:r>
        <w:rPr/>
        <w:t xml:space="preserve"> </w:t>
      </w:r>
      <w:r>
        <w:rPr>
          <w:color w:val="808080"/>
        </w:rPr>
        <w:t>(</w:t>
      </w:r>
      <w:r>
        <w:rPr>
          <w:b/>
          <w:color w:val="808080"/>
        </w:rPr>
        <w:t>[</w:t>
      </w:r>
      <w:r>
        <w:rPr>
          <w:color w:val="808080"/>
        </w:rPr>
        <w:t>sind</w:t>
      </w:r>
      <w:r>
        <w:rPr>
          <w:b/>
          <w:color w:val="808080"/>
        </w:rPr>
        <w:t>]</w:t>
      </w:r>
      <w:r>
        <w:rPr>
          <w:color w:val="808080"/>
        </w:rPr>
        <w:t>)</w:t>
      </w:r>
      <w:r>
        <w:rPr/>
        <w:t xml:space="preserve"> in deiner Rechten allezeit!</w:t>
      </w:r>
      <w:r>
        <w:rPr>
          <w:rStyle w:val="Funotenanker"/>
        </w:rPr>
        <w:footnoteReference w:customMarkFollows="1" w:id="786"/>
        <w:t>z</w:t>
      </w:r>
      <w:r>
        <w:rPr/>
        <w:t xml:space="preserve"> </w:t>
        <w:br/>
        <w:t xml:space="preserve">{{field-off:bible}} </w:t>
      </w:r>
    </w:p>
    <w:p>
      <w:pPr>
        <w:pStyle w:val="Berschrift3"/>
        <w:rPr/>
      </w:pPr>
      <w:r>
        <w:rPr/>
        <w:t>[[@BibleTOBIBLE:Ps 17]]Kapitel 17</w:t>
      </w:r>
    </w:p>
    <w:p>
      <w:pPr>
        <w:pStyle w:val="Textkrper"/>
        <w:rPr/>
      </w:pPr>
      <w:r>
        <w:rPr/>
        <w:t xml:space="preserve">Psalm 17 ist ein Bittpsalm eines einzelnen Beters, bei dem so stark die Unschuld des Beters betont wird, dass er manchmal auch als „Unschuldspsalm“ klassifiziert wird. Der Text des Psalms ist so schwierig, dass häufig übersehen wird, wie schön er strukturiert ist; konzentrieren wir uns daher im Folgenden auch ein wenig auf seine Struktur.V. 1a ist die Überschrift, wie sie über den meisten Psalmen steht. Diese Überschriften sind allerdings nicht historisch, sondern wurden nachträglich von Redaktoren hinzugefügt. In V. 1b-e folgt die Invokatio, mit der Gott zum Hören auf das folgende Gebet bewegt werden soll. Sie schließt mit einem Hinweis auf die „Nicht-trug-Lippen“ des Beters, und damit ist bereits der erste Teil der Unschuldserklärung abgehandelt: Er sündigt nicht im Sprechen.V. 2 deutet in Zeile a bereits die Bitte an, die aber erst später folgen wird; Z. b leitet dann den zweiten und dritten Teil der Unschuldserklärung ein: Nicht nur im Sprechen ist der Beter schuldfrei, sondern auch im Denken (3) und Handeln (4f.). Ziel dieser Unschuldserklärung ist es, Gott zum Handeln zu bewegen: Gott ist ein gerechter Richter, der Psalmist ist unschuldig, also steht ihm doch zu, dass ihm vonseiten Gottes Recht widerfährt. Derart sein eigentliches Anliegen vorbereitet habend, greift er in V. 6 noch einmal seine Invokatio aus V. 1 auf: Höre mich, Gott, lausche mir! In Vv. 7-12 kann daher nun die eigentliche Bitte folgen, die in V. 7 zunächst sehr allgemein und mit Fokus auf Gott, in Vv. 8f. dann konkreter und mit Fokus auf den Beter geäußert wird: Gott möge seine Huld an „sich (zu ihm) Flüchtenden“ erweisen (7a) – d.h. , er möge den Beter behüten (V. 8) – und zwar vor „sich gegen Gott Erhebenden“ (7b) – d.h. vor Frevlern, die den Beter bedrängen (V. 9).Ebenso, wie in Vv. 2-5 der Beter sich selbst beschrieben hat, folgt in Vv. 10-12 die Beschreibung der Not in Form einer Beschreibung der Frevler. Auch hier werden die drei Ebenen des menschlichen Tuns abgehandelt: Sie sind verderbt im Denken (10a), Sprechen (10b) und Handeln (11f.). V. 10 entfaltet dabei wieder zunächst allgemein das Wort „Frevler“ in 9a, Vv. 11f. mit dem Bild des lauernden Löwen konkret die Rede von den den Beter gierig umzingelnden Feinden in 9b.Diese übrigens heißen „Frevler“ (rescha`im), das „wichtigste Oppositum“ (THAT II, Sp. 814) zu den „Gerechten“ (tsadiqim), als welcher sich der Beter in Vv. 2.15 selbst bezeichnt (tsedeq). Wie ohnehin im Gegenüber der Selbstbeschreibung des Beters und der Fremdbeschreibung der Feinde wird auch auf Wortebene klar: Diese sind sozusagen das „moralische Negativ“ des Psalmisten. Vv. 13-15 wird die Bitte aus Vv. 7-9 noch einmal weitergeführt. 13a greift dabei mit „Erheben“ V. 7 auf, 13b („Rette mich vor dem Frever“) Vv. 8f. („Behüte mich ... vor Frevlern“) und in V. 14 folgt ebenso wie in Vv. 10-12 ein kurzer Abschnitt mit Fokus auf die Feinde.Dieser ist in unserer Zeit etwas schwer verständlich: Nach alttestamentlicher Vorstellung ist Gottes Zorn und Gottes Strafhandeln erblich. „Ich bin ein eifernder Gott“, heißt es in Ex 20,5, „der für die Sünden der Väter büßen lässt die Kinder, die Enkel und die Urenkel!“ (ebenso Ex 34,7 und Num 14,18; s. außerdem Lev 26,39; Ps 79,8; 109,11-15; Jes 14,20f.; Jer 2,9; 32,18). Die Verwünschung über die Frevler ist beinahe exakt dieselbe, die auch in Ps 109,13f. ausgesprochen wird: Der Beter wünscht dieses schon seit der Zeit der Vorfahren der Frevler „aufgesparte“ Strafhandeln nun als „Erbteil“ auf ihre Kinder, Enkel und Urenkel herab und verwendet dafür das Bild der „Sättigung“ mit Unheil (wie z.B. auch in Ps 88,4; 123,3f.; Klg 3,30). Der Beter dagegen, V. 15 will damit „gesättigt“ werden, „Gott zu schauen“. Was damit gemeint ist, ist zunächst etwas unklar, Aufschluss gibt aber die Struktur des Psalms: „Ich will als Gerechter dein Gesicht schauen“ in 15a korrespondiert stark mit dem „Höre, </w:t>
      </w:r>
      <w:r>
        <w:rPr>
          <w:rStyle w:val="Funotenanker"/>
        </w:rPr>
        <w:footnoteReference w:customMarkFollows="1" w:id="787"/>
        <w:t>a</w:t>
      </w:r>
      <w:r>
        <w:rPr/>
        <w:t>, Gerechtigkeit...: Von vor deinem Gesicht möge Recht ausgehen, deine Augen mögen schauen Aufrichtigkeit“ aus Vv. 1f., „ich will mich sättigen an deinem Bild“ (vgl. ähnlich ) steht klar im Gegensatz zur „Sättigung“ mit Strafe in 14d-f. Beides meint daher wohl nicht das tatsächliche Anblicken von Gott oder eines Götterbildes, sondern (wie auch der „Durst nach Gott“ in Ps 42,2f. ein „Dürsten nach Heil“ ist, s. V. 4 und vgl. Ps 90,14; 103,4f.) eine Metapher für die Erfahrung heilvollen Handelns vonseiten Gottes. Vergleichbar sind daher die häufigen Metaphern „Gott lässt sein Gesicht über jemandem leuchten“ und „Gott verbirgt sein Gesicht vor jemandem“, die ebenfalls für Gottes Heilshandeln resp. für seinen Gnadenentzug stehen. mini</w:t>
      </w:r>
      <w:r>
        <w:rPr>
          <w:rStyle w:val="Funotenanker"/>
        </w:rPr>
        <w:footnoteReference w:customMarkFollows="1" w:id="788"/>
        <w:t>b</w:t>
      </w:r>
      <w:r>
        <w:rPr/>
        <w:t>Die geflügelte Göttin Ischtar mit Waffenarsenal und einem gebändigten Löwen, (c) IPIAO I 258&lt;div class="tright" style="clear:none;"&gt;miniatur</w:t>
      </w:r>
      <w:r>
        <w:rPr>
          <w:rStyle w:val="Funotenanker"/>
        </w:rPr>
        <w:footnoteReference w:customMarkFollows="1" w:id="789"/>
        <w:t>c</w:t>
      </w:r>
      <w:r>
        <w:rPr/>
        <w:t xml:space="preserve">Geflügelte Gottheit kämpft mit Schwert gegen Löwen, (c) LeMon 2009, S. 157&lt;/div&gt;Bei dieser Gelegenheit sei abschließend noch auf zwei charakteristische Züge des Psalms hingewiesen. Das erste ist die Betonung des Sehens und sich-Ansehens von Gott, Beter und Frevlern, die sich durch den ganzen Psalm zieht: Gott möge die Aufrichtigkeit des Beters „schauen“, wenn er sein Inneres prüft (Vv. 2f.). In der Folge möge er so sehr behütend auf ihn blicken, dass das Bild des Beters geradezu zum Ehemann von Gottes Pupille wird (V. 8); worin dann natürlich auch liegt, dass der Beter Gottes Gesicht „schauen“ kann (V. 15). Die Frevler dagegen sehen niemanden an; sie haben ihre „Augen darauf gesetzt“, den Beter niederzustrecken (V. 11), darum soll von Gottes „Gesicht“ (V. 2) auch nicht ihr Recht ausgehen, sondern er soll „ihrem Gesicht entgegentreten“ (V. 13).Das zweite: Nicht nur von Augen und Gesicht Gottes spricht der Beter, sondern so sehr auch von seinen anderen Körperteilen, dass man hieraus sehr gut das Gottesbild seiner Zeit rekonstruieren kann. Gott hat ein Gesicht (V. 2), hat Ohren (V. 6), mit denen er hören kann (V. 2) und Augen (V. 2) mit Pupillen (V. 8), mit denen er sehen kann (V. 3). Er hinterlässt Spuren (V. 5), hat also offenbar Beine, außerdem Flügel (V. 8), Hände (V. 14) und darin ein Schwert (V. 13). Das (metaphorische?) Gottesbild entspricht damit einem Gottesbild, das sich im Alten Orient recht häufig findet; s. rechts. </w:t>
        <w:br/>
        <w:br/>
        <w:t>[[@BibleTOBIBLE:Ps 17:1]]</w:t>
      </w:r>
      <w:r>
        <w:rPr>
          <w:b/>
        </w:rPr>
        <w:t>1</w:t>
      </w:r>
      <w:r>
        <w:rPr/>
        <w:t xml:space="preserve"> {{field-on:bible}} </w:t>
      </w:r>
      <w:r>
        <w:rPr>
          <w:rStyle w:val="Funotenanker"/>
        </w:rPr>
        <w:footnoteReference w:customMarkFollows="1" w:id="790"/>
        <w:t>Status</w:t>
      </w:r>
      <w:r>
        <w:rPr/>
        <w:t xml:space="preserve"> ''Ein Bittgebet. Von </w:t>
      </w:r>
      <w:r>
        <w:rPr>
          <w:color w:val="808080"/>
        </w:rPr>
        <w:t>(für, über, nach Art von)</w:t>
      </w:r>
      <w:r>
        <w:rPr/>
        <w:t xml:space="preserve"> David.'' </w:t>
        <w:br/>
        <w:t xml:space="preserve">Höre, </w:t>
      </w:r>
      <w:r>
        <w:rPr>
          <w:smallCaps/>
          <w:color w:val="FF0000"/>
        </w:rPr>
        <w:t>JHWH</w:t>
      </w:r>
      <w:r>
        <w:rPr/>
        <w:t>, Gerechtigkeit:</w:t>
      </w:r>
      <w:r>
        <w:rPr>
          <w:rStyle w:val="Funotenanker"/>
        </w:rPr>
        <w:footnoteReference w:customMarkFollows="1" w:id="791"/>
        <w:t>d</w:t>
      </w:r>
      <w:r>
        <w:rPr/>
        <w:t>Horch mein Schreien,</w:t>
        <w:br/>
        <w:t>Lausche meinem BittgebetVon Nicht-Trug-Lippen!</w:t>
        <w:br/>
        <w:br/>
        <w:t xml:space="preserve">{{field-off:bible}} </w:t>
        <w:br/>
        <w:t>[[@BibleTOBIBLE:Ps 17:2]]</w:t>
      </w:r>
      <w:r>
        <w:rPr>
          <w:b/>
        </w:rPr>
        <w:t>2</w:t>
      </w:r>
      <w:r>
        <w:rPr/>
        <w:t xml:space="preserve"> {{field-on:bible}} </w:t>
        <w:br/>
        <w:t xml:space="preserve">Von dir </w:t>
      </w:r>
      <w:r>
        <w:rPr>
          <w:color w:val="808080"/>
        </w:rPr>
        <w:t>(von vor deinem Gesicht)</w:t>
      </w:r>
      <w:r>
        <w:rPr/>
        <w:t xml:space="preserve"> möge </w:t>
      </w:r>
      <w:r>
        <w:rPr>
          <w:color w:val="808080"/>
        </w:rPr>
        <w:t>(wird)</w:t>
      </w:r>
      <w:r>
        <w:rPr/>
        <w:t xml:space="preserve"> mein Recht ausgehen </w:t>
      </w:r>
      <w:r>
        <w:rPr>
          <w:color w:val="808080"/>
        </w:rPr>
        <w:t>(aufstrahlen)</w:t>
      </w:r>
      <w:r>
        <w:rPr/>
        <w:t>,</w:t>
      </w:r>
      <w:r>
        <w:rPr>
          <w:rStyle w:val="Funotenanker"/>
        </w:rPr>
        <w:footnoteReference w:customMarkFollows="1" w:id="792"/>
        <w:t>e</w:t>
      </w:r>
      <w:r>
        <w:rPr/>
        <w:t xml:space="preserve">Deine Augen mögen </w:t>
      </w:r>
      <w:r>
        <w:rPr>
          <w:color w:val="808080"/>
        </w:rPr>
        <w:t>(werden)</w:t>
      </w:r>
      <w:r>
        <w:rPr/>
        <w:t xml:space="preserve"> schauen Aufrichtigkeit</w:t>
      </w:r>
      <w:r>
        <w:rPr>
          <w:strike/>
          <w:color w:val="808080"/>
        </w:rPr>
        <w:t>{en}</w:t>
      </w:r>
      <w:r>
        <w:rPr/>
        <w:t xml:space="preserve"> </w:t>
      </w:r>
      <w:r>
        <w:rPr>
          <w:color w:val="808080"/>
        </w:rPr>
        <w:t>(richtig, unparteiisch)</w:t>
      </w:r>
      <w:r>
        <w:rPr/>
        <w:t>:</w:t>
        <w:br/>
        <w:t xml:space="preserve">{{field-off:bible}} </w:t>
        <w:br/>
        <w:t>[[@BibleTOBIBLE:Ps 17:3]]</w:t>
      </w:r>
      <w:r>
        <w:rPr>
          <w:b/>
        </w:rPr>
        <w:t>3</w:t>
      </w:r>
      <w:r>
        <w:rPr/>
        <w:t xml:space="preserve"> {{field-on:bible}} </w:t>
        <w:br/>
        <w:t xml:space="preserve">Testestest du </w:t>
      </w:r>
      <w:r>
        <w:rPr>
          <w:color w:val="808080"/>
        </w:rPr>
        <w:t>(du testestest)</w:t>
      </w:r>
      <w:r>
        <w:rPr/>
        <w:t xml:space="preserve"> mein Herz, Prüftest du </w:t>
      </w:r>
      <w:r>
        <w:rPr>
          <w:color w:val="808080"/>
        </w:rPr>
        <w:t>(du prüftest)</w:t>
      </w:r>
      <w:r>
        <w:rPr/>
        <w:t xml:space="preserve"> </w:t>
      </w:r>
      <w:r>
        <w:rPr>
          <w:b/>
          <w:color w:val="808080"/>
        </w:rPr>
        <w:t>[</w:t>
      </w:r>
      <w:r>
        <w:rPr/>
        <w:t xml:space="preserve">mich </w:t>
      </w:r>
      <w:r>
        <w:rPr>
          <w:color w:val="808080"/>
        </w:rPr>
        <w:t>(es)</w:t>
      </w:r>
      <w:r>
        <w:rPr>
          <w:b/>
          <w:color w:val="808080"/>
        </w:rPr>
        <w:t>]</w:t>
      </w:r>
      <w:r>
        <w:rPr/>
        <w:t xml:space="preserve"> </w:t>
      </w:r>
      <w:r>
        <w:rPr>
          <w:rStyle w:val="Funotenanker"/>
        </w:rPr>
        <w:footnoteReference w:customMarkFollows="1" w:id="793"/>
        <w:t>f</w:t>
      </w:r>
      <w:r>
        <w:rPr/>
        <w:t xml:space="preserve"> </w:t>
      </w:r>
      <w:r>
        <w:rPr>
          <w:b/>
          <w:color w:val="808080"/>
        </w:rPr>
        <w:t>[</w:t>
      </w:r>
      <w:r>
        <w:rPr/>
        <w:t>selbst</w:t>
      </w:r>
      <w:r>
        <w:rPr>
          <w:b/>
          <w:color w:val="808080"/>
        </w:rPr>
        <w:t>]</w:t>
      </w:r>
      <w:r>
        <w:rPr/>
        <w:t xml:space="preserve"> </w:t>
      </w:r>
      <w:r>
        <w:rPr>
          <w:rStyle w:val="Funotenanker"/>
        </w:rPr>
        <w:footnoteReference w:customMarkFollows="1" w:id="794"/>
        <w:t>g</w:t>
      </w:r>
      <w:r>
        <w:rPr/>
        <w:t xml:space="preserve"> bei Nacht, probtest du </w:t>
      </w:r>
      <w:r>
        <w:rPr>
          <w:color w:val="808080"/>
        </w:rPr>
        <w:t>(du probtest)</w:t>
      </w:r>
      <w:r>
        <w:rPr/>
        <w:t xml:space="preserve"> </w:t>
      </w:r>
      <w:r>
        <w:rPr>
          <w:rStyle w:val="Funotenanker"/>
        </w:rPr>
        <w:footnoteReference w:customMarkFollows="1" w:id="795"/>
        <w:t>h</w:t>
      </w:r>
      <w:r>
        <w:rPr/>
        <w:t xml:space="preserve"> mich, </w:t>
        <w:br/>
        <w:t xml:space="preserve">Würdest </w:t>
      </w:r>
      <w:r>
        <w:rPr>
          <w:color w:val="808080"/>
        </w:rPr>
        <w:t>(wirst, könntest)</w:t>
      </w:r>
      <w:r>
        <w:rPr/>
        <w:t xml:space="preserve"> du nicht finden Ränke an mir </w:t>
      </w:r>
      <w:r>
        <w:rPr>
          <w:color w:val="808080"/>
        </w:rPr>
        <w:t>(Plan, Schandtat, ich habe geplant)</w:t>
      </w:r>
      <w:r>
        <w:rPr/>
        <w:t>,</w:t>
      </w:r>
      <w:r>
        <w:rPr>
          <w:rStyle w:val="Funotenanker"/>
        </w:rPr>
        <w:footnoteReference w:customMarkFollows="1" w:id="796"/>
        <w:t>i</w:t>
      </w:r>
      <w:r>
        <w:rPr/>
        <w:t xml:space="preserve"> </w:t>
      </w:r>
      <w:r>
        <w:rPr>
          <w:b/>
          <w:color w:val="808080"/>
        </w:rPr>
        <w:t>[</w:t>
      </w:r>
      <w:r>
        <w:rPr/>
        <w:t>die</w:t>
      </w:r>
      <w:r>
        <w:rPr>
          <w:b/>
          <w:color w:val="808080"/>
        </w:rPr>
        <w:t>]</w:t>
      </w:r>
      <w:r>
        <w:rPr/>
        <w:t xml:space="preserve"> nicht meinen Mund überschreiten dürfte.</w:t>
      </w:r>
      <w:r>
        <w:rPr>
          <w:rStyle w:val="Funotenanker"/>
        </w:rPr>
        <w:footnoteReference w:customMarkFollows="1" w:id="797"/>
        <w:t>j</w:t>
      </w:r>
      <w:r>
        <w:rPr/>
        <w:t xml:space="preserve"> </w:t>
        <w:br/>
        <w:br/>
        <w:t xml:space="preserve">{{field-off:bible}} </w:t>
        <w:br/>
        <w:t>[[@BibleTOBIBLE:Ps 17:4]]</w:t>
      </w:r>
      <w:r>
        <w:rPr>
          <w:b/>
        </w:rPr>
        <w:t>4</w:t>
      </w:r>
      <w:r>
        <w:rPr/>
        <w:t xml:space="preserve"> {{field-on:bible}} </w:t>
        <w:br/>
        <w:t xml:space="preserve">Was die Taten </w:t>
      </w:r>
      <w:r>
        <w:rPr>
          <w:color w:val="808080"/>
        </w:rPr>
        <w:t>(das Tun)</w:t>
      </w:r>
      <w:r>
        <w:rPr/>
        <w:t xml:space="preserve"> des Menschen gegen das Wort deiner Lippen angeht:</w:t>
      </w:r>
      <w:r>
        <w:rPr>
          <w:rStyle w:val="Funotenanker"/>
        </w:rPr>
        <w:footnoteReference w:customMarkFollows="1" w:id="798"/>
        <w:t>k</w:t>
      </w:r>
      <w:r>
        <w:rPr/>
        <w:t xml:space="preserve">''Ich'' habe geachtet die Wege des Gebots </w:t>
      </w:r>
      <w:r>
        <w:rPr>
          <w:color w:val="808080"/>
        </w:rPr>
        <w:t>(Gewalttätigen)</w:t>
      </w:r>
      <w:r>
        <w:rPr/>
        <w:t>,</w:t>
      </w:r>
      <w:r>
        <w:rPr>
          <w:rStyle w:val="Funotenanker"/>
        </w:rPr>
        <w:footnoteReference w:customMarkFollows="1" w:id="799"/>
        <w:t>l</w:t>
      </w:r>
      <w:r>
        <w:rPr/>
        <w:t xml:space="preserve"> </w:t>
        <w:br/>
        <w:t xml:space="preserve">{{field-off:bible}} </w:t>
        <w:br/>
        <w:t>[[@BibleTOBIBLE:Ps 17:5]]</w:t>
      </w:r>
      <w:r>
        <w:rPr>
          <w:b/>
        </w:rPr>
        <w:t>5</w:t>
      </w:r>
      <w:r>
        <w:rPr/>
        <w:t xml:space="preserve"> {{field-on:bible}} </w:t>
        <w:br/>
        <w:t>Es hielten meine Schritte sich in deinen SpurenNicht wankten meine Tritte.</w:t>
      </w:r>
      <w:r>
        <w:rPr>
          <w:rStyle w:val="Funotenanker"/>
        </w:rPr>
        <w:footnoteReference w:customMarkFollows="1" w:id="800"/>
        <w:t>m</w:t>
      </w:r>
      <w:r>
        <w:rPr/>
        <w:t xml:space="preserve"> </w:t>
        <w:br/>
        <w:br/>
        <w:t xml:space="preserve">{{field-off:bible}} </w:t>
        <w:br/>
        <w:t>[[@BibleTOBIBLE:Ps 17:6]]</w:t>
      </w:r>
      <w:r>
        <w:rPr>
          <w:b/>
        </w:rPr>
        <w:t>6</w:t>
      </w:r>
      <w:r>
        <w:rPr/>
        <w:t xml:space="preserve"> {{field-on:bible}} </w:t>
        <w:br/>
        <w:t xml:space="preserve">Ich rufe zu dir, damit du mich erhörst </w:t>
      </w:r>
      <w:r>
        <w:rPr>
          <w:color w:val="808080"/>
        </w:rPr>
        <w:t>(denn du wirst mich erhören)</w:t>
      </w:r>
      <w:r>
        <w:rPr/>
        <w:t xml:space="preserve">, Gott!Neige dein Ohr </w:t>
      </w:r>
      <w:r>
        <w:rPr>
          <w:color w:val="808080"/>
        </w:rPr>
        <w:t>(dein Lauscher)</w:t>
      </w:r>
      <w:r>
        <w:rPr/>
        <w:t xml:space="preserve"> zu mir, höre meine Rede!</w:t>
        <w:br/>
        <w:br/>
        <w:t xml:space="preserve">{{field-off:bible}} </w:t>
        <w:br/>
        <w:t>[[@BibleTOBIBLE:Ps 17:7]]</w:t>
      </w:r>
      <w:r>
        <w:rPr>
          <w:b/>
        </w:rPr>
        <w:t>7</w:t>
      </w:r>
      <w:r>
        <w:rPr/>
        <w:t xml:space="preserve"> {{field-on:bible}} </w:t>
        <w:br/>
        <w:t xml:space="preserve">Wirke wunderbar </w:t>
      </w:r>
      <w:r>
        <w:rPr>
          <w:color w:val="808080"/>
        </w:rPr>
        <w:t>(erweise)</w:t>
      </w:r>
      <w:r>
        <w:rPr/>
        <w:t xml:space="preserve"> </w:t>
      </w:r>
      <w:r>
        <w:rPr>
          <w:rStyle w:val="Funotenanker"/>
        </w:rPr>
        <w:footnoteReference w:customMarkFollows="1" w:id="801"/>
        <w:t>n</w:t>
      </w:r>
      <w:r>
        <w:rPr/>
        <w:t xml:space="preserve"> deine Huld, </w:t>
      </w:r>
      <w:r>
        <w:rPr>
          <w:b/>
          <w:color w:val="808080"/>
        </w:rPr>
        <w:t>[</w:t>
      </w:r>
      <w:r>
        <w:rPr/>
        <w:t>oh</w:t>
      </w:r>
      <w:r>
        <w:rPr>
          <w:b/>
          <w:color w:val="808080"/>
        </w:rPr>
        <w:t>]</w:t>
      </w:r>
      <w:r>
        <w:rPr/>
        <w:t xml:space="preserve"> Retter </w:t>
      </w:r>
      <w:r>
        <w:rPr>
          <w:color w:val="808080"/>
        </w:rPr>
        <w:t>(Heiland)</w:t>
      </w:r>
      <w:r>
        <w:rPr/>
        <w:t xml:space="preserve"> der sich </w:t>
      </w:r>
      <w:r>
        <w:rPr>
          <w:color w:val="808080"/>
        </w:rPr>
        <w:t>(</w:t>
      </w:r>
      <w:r>
        <w:rPr>
          <w:b/>
          <w:color w:val="808080"/>
        </w:rPr>
        <w:t>[</w:t>
      </w:r>
      <w:r>
        <w:rPr>
          <w:color w:val="808080"/>
        </w:rPr>
        <w:t>zu dir</w:t>
      </w:r>
      <w:r>
        <w:rPr>
          <w:b/>
          <w:color w:val="808080"/>
        </w:rPr>
        <w:t>]</w:t>
      </w:r>
      <w:r>
        <w:rPr>
          <w:color w:val="808080"/>
        </w:rPr>
        <w:t>)</w:t>
      </w:r>
      <w:r>
        <w:rPr/>
        <w:t xml:space="preserve"> </w:t>
      </w:r>
      <w:r>
        <w:rPr>
          <w:rStyle w:val="Funotenanker"/>
        </w:rPr>
        <w:footnoteReference w:customMarkFollows="1" w:id="802"/>
        <w:t>o</w:t>
      </w:r>
      <w:r>
        <w:rPr/>
        <w:t xml:space="preserve"> Flüchtenden </w:t>
      </w:r>
      <w:r>
        <w:rPr>
          <w:color w:val="808080"/>
        </w:rPr>
        <w:t>(der (</w:t>
      </w:r>
      <w:r>
        <w:rPr>
          <w:b/>
          <w:color w:val="808080"/>
        </w:rPr>
        <w:t>[</w:t>
      </w:r>
      <w:r>
        <w:rPr>
          <w:color w:val="808080"/>
        </w:rPr>
        <w:t>auf dich</w:t>
      </w:r>
      <w:r>
        <w:rPr>
          <w:b/>
          <w:color w:val="808080"/>
        </w:rPr>
        <w:t>]</w:t>
      </w:r>
      <w:r>
        <w:rPr>
          <w:color w:val="808080"/>
        </w:rPr>
        <w:t>) Hoffenden)</w:t>
      </w:r>
      <w:r>
        <w:rPr/>
        <w:t>Vor sich Erhebenden wider deine rechte Hand!</w:t>
      </w:r>
      <w:r>
        <w:rPr>
          <w:rStyle w:val="Funotenanker"/>
        </w:rPr>
        <w:footnoteReference w:customMarkFollows="1" w:id="803"/>
        <w:t>p</w:t>
      </w:r>
      <w:r>
        <w:rPr/>
        <w:t xml:space="preserve"> </w:t>
        <w:br/>
        <w:t xml:space="preserve">{{field-off:bible}} </w:t>
        <w:br/>
        <w:t>[[@BibleTOBIBLE:Ps 17:8]]</w:t>
      </w:r>
      <w:r>
        <w:rPr>
          <w:b/>
        </w:rPr>
        <w:t>8</w:t>
      </w:r>
      <w:r>
        <w:rPr/>
        <w:t xml:space="preserve"> {{field-on:bible}} </w:t>
        <w:br/>
        <w:t xml:space="preserve">Behüte mich wie ein Augenmännlein </w:t>
      </w:r>
      <w:r>
        <w:rPr>
          <w:color w:val="808080"/>
        </w:rPr>
        <w:t>(die Pupille)</w:t>
      </w:r>
      <w:r>
        <w:rPr/>
        <w:t xml:space="preserve"> des Augenmädchens </w:t>
      </w:r>
      <w:r>
        <w:rPr>
          <w:color w:val="808080"/>
        </w:rPr>
        <w:t>(, die Pupille)</w:t>
      </w:r>
      <w:r>
        <w:rPr/>
        <w:t>,</w:t>
      </w:r>
      <w:r>
        <w:rPr>
          <w:rStyle w:val="Funotenanker"/>
        </w:rPr>
        <w:footnoteReference w:customMarkFollows="1" w:id="804"/>
        <w:t>q</w:t>
      </w:r>
      <w:r>
        <w:rPr/>
        <w:t>Im Schatten deiner Flügel birg mich</w:t>
      </w:r>
      <w:r>
        <w:rPr>
          <w:rStyle w:val="Funotenanker"/>
        </w:rPr>
        <w:footnoteReference w:customMarkFollows="1" w:id="805"/>
        <w:t>r</w:t>
      </w:r>
      <w:r>
        <w:rPr/>
        <w:t xml:space="preserve"> </w:t>
        <w:br/>
        <w:t xml:space="preserve">{{field-off:bible}} </w:t>
        <w:br/>
        <w:t>[[@BibleTOBIBLE:Ps 17:9]]</w:t>
      </w:r>
      <w:r>
        <w:rPr>
          <w:b/>
        </w:rPr>
        <w:t>9</w:t>
      </w:r>
      <w:r>
        <w:rPr/>
        <w:t xml:space="preserve"> {{field-on:bible}} </w:t>
        <w:br/>
        <w:t>Vor Frevlern, die mir Gewalt antun,</w:t>
      </w:r>
      <w:r>
        <w:rPr>
          <w:b/>
          <w:color w:val="808080"/>
        </w:rPr>
        <w:t>[</w:t>
      </w:r>
      <w:r>
        <w:rPr/>
        <w:t>Vor</w:t>
      </w:r>
      <w:r>
        <w:rPr>
          <w:b/>
          <w:color w:val="808080"/>
        </w:rPr>
        <w:t>]</w:t>
      </w:r>
      <w:r>
        <w:rPr/>
        <w:t xml:space="preserve"> meinen Feinden, die gierig </w:t>
      </w:r>
      <w:r>
        <w:rPr>
          <w:color w:val="808080"/>
        </w:rPr>
        <w:t>(vor meinen Todfeinden, die?)</w:t>
      </w:r>
      <w:r>
        <w:rPr/>
        <w:t xml:space="preserve"> mich umzingeln </w:t>
      </w:r>
      <w:r>
        <w:rPr>
          <w:strike/>
          <w:color w:val="808080"/>
        </w:rPr>
        <w:t>{wollen}</w:t>
      </w:r>
      <w:r>
        <w:rPr/>
        <w:t>!</w:t>
      </w:r>
      <w:r>
        <w:rPr>
          <w:rStyle w:val="Funotenanker"/>
        </w:rPr>
        <w:footnoteReference w:customMarkFollows="1" w:id="806"/>
        <w:t>s</w:t>
      </w:r>
      <w:r>
        <w:rPr/>
        <w:t xml:space="preserve"> </w:t>
        <w:br/>
        <w:br/>
        <w:t xml:space="preserve">{{field-off:bible}} </w:t>
        <w:br/>
        <w:t>[[@BibleTOBIBLE:Ps 17:10]]</w:t>
      </w:r>
      <w:r>
        <w:rPr>
          <w:b/>
        </w:rPr>
        <w:t>10</w:t>
      </w:r>
      <w:r>
        <w:rPr/>
        <w:t xml:space="preserve"> {{field-on:bible}} </w:t>
        <w:br/>
      </w:r>
      <w:r>
        <w:rPr>
          <w:b/>
          <w:color w:val="808080"/>
        </w:rPr>
        <w:t>[</w:t>
      </w:r>
      <w:r>
        <w:rPr/>
        <w:t>Mit</w:t>
      </w:r>
      <w:r>
        <w:rPr>
          <w:b/>
          <w:color w:val="808080"/>
        </w:rPr>
        <w:t>]</w:t>
      </w:r>
      <w:r>
        <w:rPr/>
        <w:t xml:space="preserve"> Fett verschließen sie </w:t>
      </w:r>
      <w:r>
        <w:rPr>
          <w:b/>
          <w:color w:val="808080"/>
        </w:rPr>
        <w:t>[</w:t>
      </w:r>
      <w:r>
        <w:rPr/>
        <w:t>ihr Herz</w:t>
      </w:r>
      <w:r>
        <w:rPr>
          <w:b/>
          <w:color w:val="808080"/>
        </w:rPr>
        <w:t>]</w:t>
      </w:r>
      <w:r>
        <w:rPr/>
        <w:t>,</w:t>
      </w:r>
      <w:r>
        <w:rPr>
          <w:rStyle w:val="Funotenanker"/>
        </w:rPr>
        <w:footnoteReference w:customMarkFollows="1" w:id="807"/>
        <w:t>t</w:t>
      </w:r>
      <w:r>
        <w:rPr/>
        <w:t xml:space="preserve"> </w:t>
      </w:r>
      <w:r>
        <w:rPr>
          <w:b/>
          <w:color w:val="808080"/>
        </w:rPr>
        <w:t>[</w:t>
      </w:r>
      <w:r>
        <w:rPr/>
        <w:t>Mit</w:t>
      </w:r>
      <w:r>
        <w:rPr>
          <w:b/>
          <w:color w:val="808080"/>
        </w:rPr>
        <w:t>]</w:t>
      </w:r>
      <w:r>
        <w:rPr/>
        <w:t xml:space="preserve"> ihrem Mund</w:t>
      </w:r>
      <w:r>
        <w:rPr>
          <w:rStyle w:val="Funotenanker"/>
        </w:rPr>
        <w:footnoteReference w:customMarkFollows="1" w:id="808"/>
        <w:t>u</w:t>
      </w:r>
      <w:r>
        <w:rPr/>
        <w:t xml:space="preserve"> reden sie stolz.</w:t>
        <w:br/>
        <w:t xml:space="preserve">{{field-off:bible}} </w:t>
        <w:br/>
        <w:t>[[@BibleTOBIBLE:Ps 17:11]]</w:t>
      </w:r>
      <w:r>
        <w:rPr>
          <w:b/>
        </w:rPr>
        <w:t>11</w:t>
      </w:r>
      <w:r>
        <w:rPr/>
        <w:t xml:space="preserve"> {{field-on:bible}} </w:t>
        <w:br/>
        <w:t xml:space="preserve">Sie verfolgen mich </w:t>
      </w:r>
      <w:r>
        <w:rPr>
          <w:color w:val="808080"/>
        </w:rPr>
        <w:t>(unsere Schritte, sie warfen mich hinaus, sie tadelten mich)</w:t>
      </w:r>
      <w:r>
        <w:rPr/>
        <w:t>,</w:t>
      </w:r>
      <w:r>
        <w:rPr>
          <w:rStyle w:val="Funotenanker"/>
        </w:rPr>
        <w:footnoteReference w:customMarkFollows="1" w:id="809"/>
        <w:t>v</w:t>
      </w:r>
      <w:r>
        <w:rPr/>
        <w:t xml:space="preserve"> jetzt umgeben sie mich,Ihre Augen setzen sie </w:t>
      </w:r>
      <w:r>
        <w:rPr>
          <w:b/>
          <w:color w:val="808080"/>
        </w:rPr>
        <w:t>[</w:t>
      </w:r>
      <w:r>
        <w:rPr/>
        <w:t>darauf</w:t>
      </w:r>
      <w:r>
        <w:rPr>
          <w:b/>
          <w:color w:val="808080"/>
        </w:rPr>
        <w:t>]</w:t>
      </w:r>
      <w:r>
        <w:rPr/>
        <w:t xml:space="preserve">, </w:t>
      </w:r>
      <w:r>
        <w:rPr>
          <w:b/>
          <w:color w:val="808080"/>
        </w:rPr>
        <w:t>[</w:t>
      </w:r>
      <w:r>
        <w:rPr/>
        <w:t>mich</w:t>
      </w:r>
      <w:r>
        <w:rPr>
          <w:b/>
          <w:color w:val="808080"/>
        </w:rPr>
        <w:t>]</w:t>
      </w:r>
      <w:r>
        <w:rPr/>
        <w:t xml:space="preserve"> zur Erde niederzustrecken;</w:t>
        <w:br/>
        <w:t xml:space="preserve">{{field-off:bible}} </w:t>
        <w:br/>
        <w:t>[[@BibleTOBIBLE:Ps 17:12]]</w:t>
      </w:r>
      <w:r>
        <w:rPr>
          <w:b/>
        </w:rPr>
        <w:t>12</w:t>
      </w:r>
      <w:r>
        <w:rPr/>
        <w:t xml:space="preserve"> {{field-on:bible}} </w:t>
        <w:br/>
        <w:t xml:space="preserve">Sie sinnen gegen mich </w:t>
      </w:r>
      <w:r>
        <w:rPr>
          <w:color w:val="808080"/>
        </w:rPr>
        <w:t>(sein Aussehen ist wie das eines)</w:t>
      </w:r>
      <w:r>
        <w:rPr/>
        <w:t xml:space="preserve"> </w:t>
      </w:r>
      <w:r>
        <w:rPr>
          <w:rStyle w:val="Funotenanker"/>
        </w:rPr>
        <w:footnoteReference w:customMarkFollows="1" w:id="810"/>
        <w:t>w</w:t>
      </w:r>
      <w:r>
        <w:rPr/>
        <w:t xml:space="preserve"> wie ein Löwe, </w:t>
      </w:r>
      <w:r>
        <w:rPr>
          <w:b/>
          <w:color w:val="808080"/>
        </w:rPr>
        <w:t>[</w:t>
      </w:r>
      <w:r>
        <w:rPr/>
        <w:t>der</w:t>
      </w:r>
      <w:r>
        <w:rPr>
          <w:b/>
          <w:color w:val="808080"/>
        </w:rPr>
        <w:t>]</w:t>
      </w:r>
      <w:r>
        <w:rPr/>
        <w:t xml:space="preserve"> zu reißen giert,Ein Junglöwe, </w:t>
      </w:r>
      <w:r>
        <w:rPr>
          <w:b/>
          <w:color w:val="808080"/>
        </w:rPr>
        <w:t>[</w:t>
      </w:r>
      <w:r>
        <w:rPr/>
        <w:t>der</w:t>
      </w:r>
      <w:r>
        <w:rPr>
          <w:b/>
          <w:color w:val="808080"/>
        </w:rPr>
        <w:t>]</w:t>
      </w:r>
      <w:r>
        <w:rPr/>
        <w:t xml:space="preserve"> im Versteck sitzt </w:t>
      </w:r>
      <w:r>
        <w:rPr>
          <w:color w:val="808080"/>
        </w:rPr>
        <w:t>(auf der Lauer liegt)</w:t>
      </w:r>
      <w:r>
        <w:rPr/>
        <w:t xml:space="preserve">! </w:t>
      </w:r>
      <w:r>
        <w:rPr>
          <w:position w:val="8"/>
          <w:sz w:val="19"/>
        </w:rPr>
        <w:t>[[ ℘ &gt;&gt; BibleTOBIBLE:Ps 10:8]]</w:t>
      </w:r>
      <w:r>
        <w:rPr/>
        <w:t xml:space="preserve"> </w:t>
        <w:br/>
        <w:br/>
        <w:t xml:space="preserve">{{field-off:bible}} </w:t>
        <w:br/>
        <w:t>[[@BibleTOBIBLE:Ps 17:13]]</w:t>
      </w:r>
      <w:r>
        <w:rPr>
          <w:b/>
        </w:rPr>
        <w:t>13</w:t>
      </w:r>
      <w:r>
        <w:rPr/>
        <w:t xml:space="preserve"> {{field-on:bible}} </w:t>
        <w:br/>
        <w:t xml:space="preserve">Erhebe dich, </w:t>
      </w:r>
      <w:r>
        <w:rPr>
          <w:smallCaps/>
          <w:color w:val="FF0000"/>
        </w:rPr>
        <w:t>JHWH</w:t>
      </w:r>
      <w:r>
        <w:rPr/>
        <w:t xml:space="preserve">, tritt ihm </w:t>
      </w:r>
      <w:r>
        <w:rPr>
          <w:color w:val="808080"/>
        </w:rPr>
        <w:t>(seinem Gesicht)</w:t>
      </w:r>
      <w:r>
        <w:rPr/>
        <w:t xml:space="preserve"> entgegen,Rette </w:t>
      </w:r>
      <w:r>
        <w:rPr>
          <w:color w:val="808080"/>
        </w:rPr>
        <w:t>(befreie)</w:t>
      </w:r>
      <w:r>
        <w:rPr/>
        <w:t xml:space="preserve"> meine Seele </w:t>
      </w:r>
      <w:r>
        <w:rPr>
          <w:color w:val="808080"/>
        </w:rPr>
        <w:t>(mich)</w:t>
      </w:r>
      <w:r>
        <w:rPr/>
        <w:t xml:space="preserve"> vor dem Frevler!</w:t>
        <w:br/>
        <w:t xml:space="preserve">Dein Schwert </w:t>
      </w:r>
      <w:r>
        <w:rPr>
          <w:b/>
          <w:color w:val="808080"/>
        </w:rPr>
        <w:t>[</w:t>
      </w:r>
      <w:r>
        <w:rPr/>
        <w:t>sei</w:t>
      </w:r>
      <w:r>
        <w:rPr>
          <w:b/>
          <w:color w:val="808080"/>
        </w:rPr>
        <w:t>]</w:t>
      </w:r>
      <w:r>
        <w:rPr/>
        <w:t xml:space="preserve"> </w:t>
        <w:br/>
        <w:t xml:space="preserve">{{field-off:bible}} </w:t>
        <w:br/>
        <w:t>[[@BibleTOBIBLE:Ps 17:14]]</w:t>
      </w:r>
      <w:r>
        <w:rPr>
          <w:b/>
        </w:rPr>
        <w:t>14</w:t>
      </w:r>
      <w:r>
        <w:rPr/>
        <w:t xml:space="preserve"> {{field-on:bible}} </w:t>
        <w:br/>
        <w:t xml:space="preserve">von den Toten </w:t>
      </w:r>
      <w:r>
        <w:rPr>
          <w:color w:val="808080"/>
        </w:rPr>
        <w:t>(Männern)</w:t>
      </w:r>
      <w:r>
        <w:rPr/>
        <w:t>,</w:t>
      </w:r>
      <w:r>
        <w:rPr>
          <w:rStyle w:val="Funotenanker"/>
        </w:rPr>
        <w:footnoteReference w:customMarkFollows="1" w:id="811"/>
        <w:t>x</w:t>
      </w:r>
      <w:r>
        <w:rPr/>
        <w:t xml:space="preserve">Deine Hand, </w:t>
      </w:r>
      <w:r>
        <w:rPr>
          <w:smallCaps/>
          <w:color w:val="FF0000"/>
        </w:rPr>
        <w:t>JHWH</w:t>
      </w:r>
      <w:r>
        <w:rPr/>
        <w:t xml:space="preserve">, </w:t>
      </w:r>
      <w:r>
        <w:rPr>
          <w:b/>
          <w:color w:val="808080"/>
        </w:rPr>
        <w:t>[</w:t>
      </w:r>
      <w:r>
        <w:rPr/>
        <w:t>sei</w:t>
      </w:r>
      <w:r>
        <w:rPr>
          <w:b/>
          <w:color w:val="808080"/>
        </w:rPr>
        <w:t>]</w:t>
      </w:r>
      <w:r>
        <w:rPr/>
        <w:t xml:space="preserve"> von den Toten</w:t>
      </w:r>
      <w:r>
        <w:rPr>
          <w:color w:val="808080"/>
        </w:rPr>
        <w:t>(Männern)</w:t>
      </w:r>
      <w:r>
        <w:rPr/>
        <w:t xml:space="preserve">, </w:t>
      </w:r>
      <w:r>
        <w:rPr>
          <w:b/>
          <w:color w:val="808080"/>
        </w:rPr>
        <w:t>[</w:t>
      </w:r>
      <w:r>
        <w:rPr/>
        <w:t>die</w:t>
      </w:r>
      <w:r>
        <w:rPr>
          <w:b/>
          <w:color w:val="808080"/>
        </w:rPr>
        <w:t>]</w:t>
      </w:r>
      <w:r>
        <w:rPr/>
        <w:t xml:space="preserve"> ohne Dauer </w:t>
      </w:r>
      <w:r>
        <w:rPr>
          <w:color w:val="808080"/>
        </w:rPr>
        <w:t>(Welt)</w:t>
      </w:r>
      <w:r>
        <w:rPr/>
        <w:t xml:space="preserve"> </w:t>
      </w:r>
      <w:r>
        <w:rPr>
          <w:b/>
          <w:color w:val="808080"/>
        </w:rPr>
        <w:t>[</w:t>
      </w:r>
      <w:r>
        <w:rPr/>
        <w:t>waren</w:t>
      </w:r>
      <w:r>
        <w:rPr>
          <w:b/>
          <w:color w:val="808080"/>
        </w:rPr>
        <w:t>]</w:t>
      </w:r>
      <w:r>
        <w:rPr/>
        <w:t>,Ihr Teil</w:t>
      </w:r>
      <w:r>
        <w:rPr>
          <w:rStyle w:val="Funotenanker"/>
        </w:rPr>
        <w:footnoteReference w:customMarkFollows="1" w:id="812"/>
        <w:t>y</w:t>
      </w:r>
      <w:r>
        <w:rPr/>
        <w:t xml:space="preserve"> im Leben!</w:t>
        <w:br/>
      </w:r>
      <w:r>
        <w:rPr>
          <w:b/>
          <w:color w:val="808080"/>
        </w:rPr>
        <w:t>[</w:t>
      </w:r>
      <w:r>
        <w:rPr/>
        <w:t>Mit</w:t>
      </w:r>
      <w:r>
        <w:rPr>
          <w:b/>
          <w:color w:val="808080"/>
        </w:rPr>
        <w:t>]</w:t>
      </w:r>
      <w:r>
        <w:rPr/>
        <w:t xml:space="preserve"> deinem Aufgesparten</w:t>
      </w:r>
      <w:r>
        <w:rPr>
          <w:rStyle w:val="Funotenanker"/>
        </w:rPr>
        <w:footnoteReference w:customMarkFollows="1" w:id="813"/>
        <w:t>z</w:t>
      </w:r>
      <w:r>
        <w:rPr/>
        <w:t xml:space="preserve"> fülle ihren MagenSättigen sollen sich </w:t>
      </w:r>
      <w:r>
        <w:rPr>
          <w:b/>
          <w:color w:val="808080"/>
        </w:rPr>
        <w:t>[</w:t>
      </w:r>
      <w:r>
        <w:rPr/>
        <w:t>auch</w:t>
      </w:r>
      <w:r>
        <w:rPr>
          <w:b/>
          <w:color w:val="808080"/>
        </w:rPr>
        <w:t>]</w:t>
      </w:r>
      <w:r>
        <w:rPr/>
        <w:t xml:space="preserve"> ihre Kinder,Und diese </w:t>
      </w:r>
      <w:r>
        <w:rPr>
          <w:color w:val="808080"/>
        </w:rPr>
        <w:t>(ja, sie)</w:t>
      </w:r>
      <w:r>
        <w:rPr/>
        <w:t xml:space="preserve"> sollen überlassen ihren Rest ihren Säuglingen!</w:t>
        <w:br/>
        <w:t xml:space="preserve">{{field-off:bible}} </w:t>
        <w:br/>
        <w:t>[[@BibleTOBIBLE:Ps 17:15]]</w:t>
      </w:r>
      <w:r>
        <w:rPr>
          <w:b/>
        </w:rPr>
        <w:t>15</w:t>
      </w:r>
      <w:r>
        <w:rPr/>
        <w:t xml:space="preserve"> {{field-on:bible}} </w:t>
        <w:br/>
        <w:t xml:space="preserve">''Ich'' </w:t>
      </w:r>
      <w:r>
        <w:rPr>
          <w:b/>
          <w:color w:val="808080"/>
        </w:rPr>
        <w:t>[</w:t>
      </w:r>
      <w:r>
        <w:rPr/>
        <w:t>aber</w:t>
      </w:r>
      <w:r>
        <w:rPr>
          <w:b/>
          <w:color w:val="808080"/>
        </w:rPr>
        <w:t>]</w:t>
      </w:r>
      <w:r>
        <w:rPr/>
        <w:t xml:space="preserve"> will </w:t>
      </w:r>
      <w:r>
        <w:rPr>
          <w:color w:val="808080"/>
        </w:rPr>
        <w:t>(werde)</w:t>
      </w:r>
      <w:r>
        <w:rPr/>
        <w:t xml:space="preserve"> als Gerechter </w:t>
      </w:r>
      <w:r>
        <w:rPr>
          <w:color w:val="808080"/>
        </w:rPr>
        <w:t>(Gerechtfertigter, in/durch Gerechtigkeit</w:t>
      </w:r>
      <w:r>
        <w:rPr/>
        <w:t xml:space="preserve"> </w:t>
      </w:r>
      <w:r>
        <w:rPr>
          <w:rStyle w:val="Funotenanker"/>
        </w:rPr>
        <w:footnoteReference w:customMarkFollows="1" w:id="814"/>
        <w:t>aa</w:t>
      </w:r>
      <w:r>
        <w:rPr/>
        <w:t xml:space="preserve"> </w:t>
      </w:r>
      <w:r>
        <w:rPr>
          <w:color w:val="808080"/>
        </w:rPr>
        <w:t>)</w:t>
      </w:r>
      <w:r>
        <w:rPr/>
        <w:t xml:space="preserve"> dein Gesicht schauen,Will mich sättigen beim Aufwachen</w:t>
      </w:r>
      <w:r>
        <w:rPr>
          <w:rStyle w:val="Funotenanker"/>
        </w:rPr>
        <w:footnoteReference w:customMarkFollows="1" w:id="815"/>
        <w:t>ab</w:t>
      </w:r>
      <w:r>
        <w:rPr/>
        <w:t xml:space="preserve"> an deinem Bild.</w:t>
      </w:r>
      <w:r>
        <w:rPr>
          <w:rStyle w:val="Funotenanker"/>
        </w:rPr>
        <w:footnoteReference w:customMarkFollows="1" w:id="816"/>
        <w:t>ac</w:t>
      </w:r>
      <w:r>
        <w:rPr/>
        <w:t xml:space="preserve"> </w:t>
        <w:br/>
        <w:t xml:space="preserve">{{field-off:bible}} </w:t>
      </w:r>
    </w:p>
    <w:p>
      <w:pPr>
        <w:pStyle w:val="Berschrift3"/>
        <w:rPr/>
      </w:pPr>
      <w:r>
        <w:rPr/>
        <w:t>[[@BibleTOBIBLE:Ps 18]]Kapitel 18</w:t>
      </w:r>
    </w:p>
    <w:p>
      <w:pPr>
        <w:pStyle w:val="Textkrper"/>
        <w:rPr/>
      </w:pPr>
      <w:r>
        <w:rPr/>
        <w:br/>
        <w:t>[[@BibleTOBIBLE:Ps 18:1]]</w:t>
      </w:r>
      <w:r>
        <w:rPr>
          <w:b/>
        </w:rPr>
        <w:t>1</w:t>
      </w:r>
      <w:r>
        <w:rPr/>
        <w:t xml:space="preserve"> {{field-on:bible}} </w:t>
      </w:r>
      <w:r>
        <w:rPr>
          <w:rStyle w:val="Funotenanker"/>
        </w:rPr>
        <w:footnoteReference w:customMarkFollows="1" w:id="817"/>
        <w:t>Status</w:t>
      </w:r>
      <w:r>
        <w:rPr/>
        <w:t xml:space="preserve"> ''Für den Chorleiter. Vom Diener </w:t>
      </w:r>
      <w:r>
        <w:rPr>
          <w:smallCaps/>
          <w:color w:val="FF0000"/>
        </w:rPr>
        <w:t>JHWH</w:t>
      </w:r>
      <w:r>
        <w:rPr/>
        <w:t>s, von David, welcher sprach zu JHWH die Worte dieses Lieds am Tag, als JHWH ihn rettete aus der Handfläche all seiner Feinde und aus der Hand</w:t>
      </w:r>
      <w:r>
        <w:rPr>
          <w:rStyle w:val="Funotenanker"/>
        </w:rPr>
        <w:footnoteReference w:customMarkFollows="1" w:id="818"/>
        <w:t>a</w:t>
      </w:r>
      <w:r>
        <w:rPr/>
        <w:t xml:space="preserve"> Sauls.''{{field-off:bible}} </w:t>
        <w:br/>
        <w:t>[[@BibleTOBIBLE:Ps 18:2]]</w:t>
      </w:r>
      <w:r>
        <w:rPr>
          <w:b/>
        </w:rPr>
        <w:t>2</w:t>
      </w:r>
      <w:r>
        <w:rPr/>
        <w:t xml:space="preserve"> {{field-on:bible}}''Und er sagte:'' </w:t>
        <w:br/>
        <w:t xml:space="preserve">„Ich will dich lieben, </w:t>
      </w:r>
      <w:r>
        <w:rPr>
          <w:smallCaps/>
          <w:color w:val="FF0000"/>
        </w:rPr>
        <w:t>JHWH</w:t>
      </w:r>
      <w:r>
        <w:rPr/>
        <w:t>, meine Stärke!</w:t>
        <w:br/>
        <w:t xml:space="preserve">{{field-off:bible}} </w:t>
        <w:br/>
        <w:t>[[@BibleTOBIBLE:Ps 18:3]]</w:t>
      </w:r>
      <w:r>
        <w:rPr>
          <w:b/>
        </w:rPr>
        <w:t>3</w:t>
      </w:r>
      <w:r>
        <w:rPr/>
        <w:t xml:space="preserve"> {{field-on:bible}} </w:t>
        <w:br/>
      </w:r>
      <w:r>
        <w:rPr>
          <w:smallCaps/>
          <w:color w:val="FF0000"/>
        </w:rPr>
        <w:t>JHWH</w:t>
      </w:r>
      <w:r>
        <w:rPr/>
        <w:t xml:space="preserve"> </w:t>
      </w:r>
      <w:r>
        <w:rPr>
          <w:b/>
          <w:color w:val="808080"/>
        </w:rPr>
        <w:t>[</w:t>
      </w:r>
      <w:r>
        <w:rPr/>
        <w:t>ist</w:t>
      </w:r>
      <w:r>
        <w:rPr>
          <w:b/>
          <w:color w:val="808080"/>
        </w:rPr>
        <w:t>]</w:t>
      </w:r>
      <w:r>
        <w:rPr/>
        <w:t xml:space="preserve"> mein Fels und meine Burg und mein Retter,Mein Gott </w:t>
      </w:r>
      <w:r>
        <w:rPr>
          <w:b/>
          <w:color w:val="808080"/>
        </w:rPr>
        <w:t>[</w:t>
      </w:r>
      <w:r>
        <w:rPr/>
        <w:t>ist</w:t>
      </w:r>
      <w:r>
        <w:rPr>
          <w:b/>
          <w:color w:val="808080"/>
        </w:rPr>
        <w:t>]</w:t>
      </w:r>
      <w:r>
        <w:rPr/>
        <w:t xml:space="preserve"> </w:t>
      </w:r>
      <w:r>
        <w:rPr>
          <w:color w:val="808080"/>
        </w:rPr>
        <w:t>(,)</w:t>
      </w:r>
      <w:r>
        <w:rPr/>
        <w:t xml:space="preserve"> mein Berg, zu dem ich fliehe </w:t>
      </w:r>
      <w:r>
        <w:rPr>
          <w:color w:val="808080"/>
        </w:rPr>
        <w:t>(auf den ich vertraue)</w:t>
      </w:r>
      <w:r>
        <w:rPr/>
        <w:t xml:space="preserve">,Mein Schild, das Horn meiner Rettung, meine Klippe </w:t>
      </w:r>
      <w:r>
        <w:rPr>
          <w:color w:val="808080"/>
        </w:rPr>
        <w:t>(Festung)</w:t>
      </w:r>
      <w:r>
        <w:rPr/>
        <w:t>!</w:t>
        <w:br/>
        <w:t xml:space="preserve">{{field-off:bible}} </w:t>
        <w:br/>
        <w:t>[[@BibleTOBIBLE:Ps 18:4]]</w:t>
      </w:r>
      <w:r>
        <w:rPr>
          <w:b/>
        </w:rPr>
        <w:t>4</w:t>
      </w:r>
      <w:r>
        <w:rPr/>
        <w:t xml:space="preserve"> {{field-on:bible}} </w:t>
        <w:br/>
        <w:t xml:space="preserve">Als Lobenswerten will ich anrufen </w:t>
      </w:r>
      <w:r>
        <w:rPr>
          <w:smallCaps/>
          <w:color w:val="FF0000"/>
        </w:rPr>
        <w:t>JHWH</w:t>
      </w:r>
      <w:r>
        <w:rPr/>
        <w:t xml:space="preserve">Und von meinen Feinden will </w:t>
      </w:r>
      <w:r>
        <w:rPr>
          <w:color w:val="808080"/>
        </w:rPr>
        <w:t>(werde)</w:t>
      </w:r>
      <w:r>
        <w:rPr/>
        <w:t xml:space="preserve"> ich gerettet werden.</w:t>
        <w:br/>
        <w:br/>
        <w:t xml:space="preserve">{{field-off:bible}} </w:t>
        <w:br/>
        <w:t>[[@BibleTOBIBLE:Ps 18:5]]</w:t>
      </w:r>
      <w:r>
        <w:rPr>
          <w:b/>
        </w:rPr>
        <w:t>5</w:t>
      </w:r>
      <w:r>
        <w:rPr/>
        <w:t xml:space="preserve"> {{field-on:bible}} </w:t>
        <w:br/>
        <w:t>Es umgaben mich Wogen des Todes,Die Flüsse Belias werden mich erschrecken!</w:t>
      </w:r>
      <w:r>
        <w:rPr>
          <w:rStyle w:val="Funotenanker"/>
        </w:rPr>
        <w:footnoteReference w:customMarkFollows="1" w:id="819"/>
        <w:t>b</w:t>
      </w:r>
      <w:r>
        <w:rPr/>
        <w:t xml:space="preserve"> </w:t>
        <w:br/>
        <w:t xml:space="preserve">{{field-off:bible}} </w:t>
        <w:br/>
        <w:t>[[@BibleTOBIBLE:Ps 18:6]]</w:t>
      </w:r>
      <w:r>
        <w:rPr>
          <w:b/>
        </w:rPr>
        <w:t>6</w:t>
      </w:r>
      <w:r>
        <w:rPr/>
        <w:t xml:space="preserve"> {{field-on:bible}} </w:t>
        <w:br/>
        <w:t>Die Stricke des Scheol</w:t>
      </w:r>
      <w:r>
        <w:rPr>
          <w:rStyle w:val="Funotenanker"/>
        </w:rPr>
        <w:footnoteReference w:customMarkFollows="1" w:id="820"/>
        <w:t>c</w:t>
      </w:r>
      <w:r>
        <w:rPr/>
        <w:t xml:space="preserve"> umfingen mich, Es ereilten mich die Schlingen des Todes.</w:t>
        <w:br/>
        <w:t xml:space="preserve">{{field-off:bible}} </w:t>
        <w:br/>
        <w:t>[[@BibleTOBIBLE:Ps 18:7]]</w:t>
      </w:r>
      <w:r>
        <w:rPr>
          <w:b/>
        </w:rPr>
        <w:t>7</w:t>
      </w:r>
      <w:r>
        <w:rPr/>
        <w:t xml:space="preserve"> {{field-on:bible}} </w:t>
        <w:br/>
      </w:r>
      <w:r>
        <w:rPr>
          <w:b/>
          <w:color w:val="808080"/>
        </w:rPr>
        <w:t>[</w:t>
      </w:r>
      <w:r>
        <w:rPr/>
        <w:t>Ich sprach:</w:t>
      </w:r>
      <w:r>
        <w:rPr>
          <w:b/>
          <w:color w:val="808080"/>
        </w:rPr>
        <w:t>]</w:t>
      </w:r>
      <w:r>
        <w:rPr/>
        <w:t xml:space="preserve"> »In meiner Not will ich anrufen </w:t>
      </w:r>
      <w:r>
        <w:rPr>
          <w:smallCaps/>
          <w:color w:val="FF0000"/>
        </w:rPr>
        <w:t>JHWH</w:t>
      </w:r>
      <w:r>
        <w:rPr/>
        <w:t>Und zu meinem Gott will ich schreien.</w:t>
        <w:br/>
        <w:t>Er soll hören in seinem Tempel meine StimmeUnd mein Schreien soll kommen in seinem Ohr!«</w:t>
        <w:br/>
        <w:br/>
        <w:t xml:space="preserve">{{field-off:bible}} </w:t>
        <w:br/>
        <w:t>[[@BibleTOBIBLE:Ps 18:8]]</w:t>
      </w:r>
      <w:r>
        <w:rPr>
          <w:b/>
        </w:rPr>
        <w:t>8</w:t>
      </w:r>
      <w:r>
        <w:rPr/>
        <w:t xml:space="preserve"> {{field-on:bible}} </w:t>
        <w:br/>
        <w:t>Da wankte und schwankte die ErdeUnd die Pfeiler der Berge</w:t>
      </w:r>
      <w:r>
        <w:rPr>
          <w:rStyle w:val="Funotenanker"/>
        </w:rPr>
        <w:footnoteReference w:customMarkFollows="1" w:id="821"/>
        <w:t>d</w:t>
      </w:r>
      <w:r>
        <w:rPr/>
        <w:t xml:space="preserve"> bebten und wanktenDenn es loderte in ihm.</w:t>
        <w:br/>
        <w:t xml:space="preserve">{{field-off:bible}} </w:t>
        <w:br/>
        <w:t>[[@BibleTOBIBLE:Ps 18:9]]</w:t>
      </w:r>
      <w:r>
        <w:rPr>
          <w:b/>
        </w:rPr>
        <w:t>9</w:t>
      </w:r>
      <w:r>
        <w:rPr/>
        <w:t xml:space="preserve"> {{field-on:bible}} </w:t>
        <w:br/>
        <w:t xml:space="preserve">Es stieg Rauch aus seiner NaseUnd Feuer fraß aus seinem Mund;Kohlen brannten aus ihm hervor </w:t>
      </w:r>
      <w:r>
        <w:rPr>
          <w:color w:val="808080"/>
        </w:rPr>
        <w:t>(entbrannten durch es)</w:t>
      </w:r>
      <w:r>
        <w:rPr/>
        <w:t>.</w:t>
        <w:br/>
        <w:t xml:space="preserve">{{field-off:bible}} </w:t>
        <w:br/>
        <w:t>[[@BibleTOBIBLE:Ps 18:10]]</w:t>
      </w:r>
      <w:r>
        <w:rPr>
          <w:b/>
        </w:rPr>
        <w:t>10</w:t>
      </w:r>
      <w:r>
        <w:rPr/>
        <w:t xml:space="preserve"> {{field-on:bible}} </w:t>
        <w:br/>
        <w:t xml:space="preserve">Und er öffnete </w:t>
      </w:r>
      <w:r>
        <w:rPr>
          <w:color w:val="808080"/>
        </w:rPr>
        <w:t>(neigte)</w:t>
      </w:r>
      <w:r>
        <w:rPr/>
        <w:t xml:space="preserve"> den Himmel</w:t>
      </w:r>
      <w:r>
        <w:rPr>
          <w:rStyle w:val="Funotenanker"/>
        </w:rPr>
        <w:footnoteReference w:customMarkFollows="1" w:id="822"/>
        <w:t>e</w:t>
      </w:r>
      <w:r>
        <w:rPr/>
        <w:t xml:space="preserve"> und stieg herabUnd eine Wolke </w:t>
      </w:r>
      <w:r>
        <w:rPr>
          <w:color w:val="808080"/>
        </w:rPr>
        <w:t>(Dunkelheit)</w:t>
      </w:r>
      <w:r>
        <w:rPr/>
        <w:t xml:space="preserve"> </w:t>
      </w:r>
      <w:r>
        <w:rPr>
          <w:b/>
          <w:color w:val="808080"/>
        </w:rPr>
        <w:t>[</w:t>
      </w:r>
      <w:r>
        <w:rPr/>
        <w:t>war</w:t>
      </w:r>
      <w:r>
        <w:rPr>
          <w:b/>
          <w:color w:val="808080"/>
        </w:rPr>
        <w:t>]</w:t>
      </w:r>
      <w:r>
        <w:rPr/>
        <w:t xml:space="preserve"> unter seinen Füßen.</w:t>
        <w:br/>
        <w:t xml:space="preserve">{{field-off:bible}} </w:t>
        <w:br/>
        <w:t>[[@BibleTOBIBLE:Ps 18:11]]</w:t>
      </w:r>
      <w:r>
        <w:rPr>
          <w:b/>
        </w:rPr>
        <w:t>11</w:t>
      </w:r>
      <w:r>
        <w:rPr/>
        <w:t xml:space="preserve"> {{field-on:bible}} </w:t>
        <w:br/>
        <w:t>Und er ritt auf einem Kerub</w:t>
      </w:r>
      <w:r>
        <w:rPr>
          <w:rStyle w:val="Funotenanker"/>
        </w:rPr>
        <w:footnoteReference w:customMarkFollows="1" w:id="823"/>
        <w:t>f</w:t>
      </w:r>
      <w:r>
        <w:rPr/>
        <w:t xml:space="preserve"> und flogUnd schoß herab auf den Flügeln des Windes.</w:t>
        <w:br/>
        <w:br/>
        <w:t xml:space="preserve">{{field-off:bible}} </w:t>
        <w:br/>
        <w:t>[[@BibleTOBIBLE:Ps 18:12]]</w:t>
      </w:r>
      <w:r>
        <w:rPr>
          <w:b/>
        </w:rPr>
        <w:t>12</w:t>
      </w:r>
      <w:r>
        <w:rPr/>
        <w:t xml:space="preserve"> {{field-on:bible}} </w:t>
        <w:br/>
        <w:t xml:space="preserve">Und er setzte Dunkelheit als seine Bedeckung um sich,Seine Hütte </w:t>
      </w:r>
      <w:r>
        <w:rPr>
          <w:b/>
          <w:color w:val="808080"/>
        </w:rPr>
        <w:t>[</w:t>
      </w:r>
      <w:r>
        <w:rPr/>
        <w:t>waren aus</w:t>
      </w:r>
      <w:r>
        <w:rPr>
          <w:b/>
          <w:color w:val="808080"/>
        </w:rPr>
        <w:t>]</w:t>
      </w:r>
      <w:r>
        <w:rPr/>
        <w:t xml:space="preserve"> Massen von Wassern in den Wolken des Himmels.</w:t>
        <w:br/>
        <w:t xml:space="preserve">{{field-off:bible}} </w:t>
        <w:br/>
        <w:t>[[@BibleTOBIBLE:Ps 18:13]]</w:t>
      </w:r>
      <w:r>
        <w:rPr>
          <w:b/>
        </w:rPr>
        <w:t>13</w:t>
      </w:r>
      <w:r>
        <w:rPr/>
        <w:t xml:space="preserve"> {{field-on:bible}} </w:t>
        <w:br/>
        <w:t>Aus dem Glanz vor ihm gingen ausHagel und Kohlen von Feuer.</w:t>
        <w:br/>
        <w:t xml:space="preserve">{{field-off:bible}} </w:t>
        <w:br/>
        <w:t>[[@BibleTOBIBLE:Ps 18:14]]</w:t>
      </w:r>
      <w:r>
        <w:rPr>
          <w:b/>
        </w:rPr>
        <w:t>14</w:t>
      </w:r>
      <w:r>
        <w:rPr/>
        <w:t xml:space="preserve"> {{field-on:bible}} </w:t>
        <w:br/>
        <w:t xml:space="preserve">Und es donnerte aus dem Himmel </w:t>
      </w:r>
      <w:r>
        <w:rPr>
          <w:smallCaps/>
          <w:color w:val="FF0000"/>
        </w:rPr>
        <w:t>JHWH</w:t>
      </w:r>
      <w:r>
        <w:rPr/>
        <w:t xml:space="preserve"> Und Eljon wird geben</w:t>
      </w:r>
      <w:r>
        <w:rPr>
          <w:rStyle w:val="Funotenanker"/>
        </w:rPr>
        <w:footnoteReference w:customMarkFollows="1" w:id="824"/>
        <w:t>g</w:t>
      </w:r>
      <w:r>
        <w:rPr/>
        <w:t xml:space="preserve"> seine Stimme.</w:t>
        <w:br/>
        <w:t xml:space="preserve">{{field-off:bible}} </w:t>
        <w:br/>
        <w:t>[[@BibleTOBIBLE:Ps 18:15]]</w:t>
      </w:r>
      <w:r>
        <w:rPr>
          <w:b/>
        </w:rPr>
        <w:t>15</w:t>
      </w:r>
      <w:r>
        <w:rPr/>
        <w:t xml:space="preserve"> {{field-on:bible}} </w:t>
        <w:br/>
        <w:t>Und er warf seine Pfeile und zerstreute diese,Einen Blitz schoß er und verwirrte er.</w:t>
      </w:r>
      <w:r>
        <w:rPr>
          <w:rStyle w:val="Funotenanker"/>
        </w:rPr>
        <w:footnoteReference w:customMarkFollows="1" w:id="825"/>
        <w:t>h</w:t>
      </w:r>
      <w:r>
        <w:rPr/>
        <w:t xml:space="preserve"> </w:t>
        <w:br/>
        <w:t xml:space="preserve">{{field-off:bible}} </w:t>
        <w:br/>
        <w:t>[[@BibleTOBIBLE:Ps 18:16]]</w:t>
      </w:r>
      <w:r>
        <w:rPr>
          <w:b/>
        </w:rPr>
        <w:t>16</w:t>
      </w:r>
      <w:r>
        <w:rPr/>
        <w:t xml:space="preserve"> {{field-on:bible}} </w:t>
        <w:br/>
        <w:t>Und es wurden gesehen die Betten der Wasser,Es werden bloßgelegt werden</w:t>
      </w:r>
      <w:r>
        <w:rPr>
          <w:rStyle w:val="Funotenanker"/>
        </w:rPr>
        <w:footnoteReference w:customMarkFollows="1" w:id="826"/>
        <w:t>i</w:t>
      </w:r>
      <w:r>
        <w:rPr/>
        <w:t xml:space="preserve"> die Fundamente der Erde.</w:t>
      </w:r>
      <w:r>
        <w:rPr>
          <w:rStyle w:val="Funotenanker"/>
        </w:rPr>
        <w:footnoteReference w:customMarkFollows="1" w:id="827"/>
        <w:t>j</w:t>
      </w:r>
      <w:r>
        <w:rPr/>
        <w:t xml:space="preserve"> </w:t>
        <w:br/>
        <w:t xml:space="preserve">Durch dein Schelten, </w:t>
      </w:r>
      <w:r>
        <w:rPr>
          <w:smallCaps/>
          <w:color w:val="FF0000"/>
        </w:rPr>
        <w:t>JHWH</w:t>
      </w:r>
      <w:r>
        <w:rPr/>
        <w:t>,Durch das Schnauben des Windes deiner Nase.</w:t>
        <w:br/>
        <w:br/>
        <w:t xml:space="preserve">{{field-off:bible}} </w:t>
        <w:br/>
        <w:t>[[@BibleTOBIBLE:Ps 18:17]]</w:t>
      </w:r>
      <w:r>
        <w:rPr>
          <w:b/>
        </w:rPr>
        <w:t>17</w:t>
      </w:r>
      <w:r>
        <w:rPr/>
        <w:t xml:space="preserve"> {{field-on:bible}} </w:t>
        <w:br/>
      </w:r>
      <w:r>
        <w:rPr>
          <w:b/>
          <w:color w:val="808080"/>
        </w:rPr>
        <w:t>[</w:t>
      </w:r>
      <w:r>
        <w:rPr/>
        <w:t>Ich sprach:</w:t>
      </w:r>
      <w:r>
        <w:rPr>
          <w:b/>
          <w:color w:val="808080"/>
        </w:rPr>
        <w:t>]</w:t>
      </w:r>
      <w:r>
        <w:rPr/>
        <w:t xml:space="preserve"> »Er möge </w:t>
      </w:r>
      <w:r>
        <w:rPr>
          <w:color w:val="808080"/>
        </w:rPr>
        <w:t>(wird)</w:t>
      </w:r>
      <w:r>
        <w:rPr/>
        <w:t xml:space="preserve"> senden aus der Höhe,</w:t>
      </w:r>
      <w:r>
        <w:rPr>
          <w:rStyle w:val="Funotenanker"/>
        </w:rPr>
        <w:footnoteReference w:customMarkFollows="1" w:id="828"/>
        <w:t>k</w:t>
      </w:r>
      <w:r>
        <w:rPr/>
        <w:t xml:space="preserve"> mich ergreifen,Mich herausziehen aus vielen Wassern,</w:t>
      </w:r>
      <w:r>
        <w:rPr>
          <w:rStyle w:val="Funotenanker"/>
        </w:rPr>
        <w:footnoteReference w:customMarkFollows="1" w:id="829"/>
        <w:t>l</w:t>
      </w:r>
      <w:r>
        <w:rPr/>
        <w:t xml:space="preserve"> </w:t>
        <w:br/>
        <w:t xml:space="preserve">{{field-off:bible}} </w:t>
        <w:br/>
        <w:t>[[@BibleTOBIBLE:Ps 18:18]]</w:t>
      </w:r>
      <w:r>
        <w:rPr>
          <w:b/>
        </w:rPr>
        <w:t>18</w:t>
      </w:r>
      <w:r>
        <w:rPr/>
        <w:t xml:space="preserve"> {{field-on:bible}} </w:t>
        <w:br/>
        <w:t>Es möge mich retten vor meinem Feind der Starke Und vor meinen Hassern, weil sie kräftiger sind als ich!</w:t>
        <w:br/>
        <w:t xml:space="preserve">{{field-off:bible}} </w:t>
        <w:br/>
        <w:t>[[@BibleTOBIBLE:Ps 18:19]]</w:t>
      </w:r>
      <w:r>
        <w:rPr>
          <w:b/>
        </w:rPr>
        <w:t>19</w:t>
      </w:r>
      <w:r>
        <w:rPr/>
        <w:t xml:space="preserve"> {{field-on:bible}} </w:t>
        <w:br/>
        <w:t>Sie werden mir entgegentreten am Tag meines Unglücks!«</w:t>
        <w:br/>
        <w:t xml:space="preserve">Da wurde </w:t>
      </w:r>
      <w:r>
        <w:rPr>
          <w:smallCaps/>
          <w:color w:val="FF0000"/>
        </w:rPr>
        <w:t>JHWH</w:t>
      </w:r>
      <w:r>
        <w:rPr/>
        <w:t xml:space="preserve"> zu meiner Stütze:</w:t>
        <w:br/>
        <w:t xml:space="preserve">{{field-off:bible}} </w:t>
        <w:br/>
        <w:t>[[@BibleTOBIBLE:Ps 18:20]]</w:t>
      </w:r>
      <w:r>
        <w:rPr>
          <w:b/>
        </w:rPr>
        <w:t>20</w:t>
      </w:r>
      <w:r>
        <w:rPr/>
        <w:t xml:space="preserve"> {{field-on:bible}} </w:t>
        <w:br/>
        <w:t>Er führte mich ins Weite.</w:t>
        <w:br/>
        <w:br/>
      </w:r>
      <w:r>
        <w:rPr>
          <w:b/>
          <w:color w:val="808080"/>
        </w:rPr>
        <w:t>[</w:t>
      </w:r>
      <w:r>
        <w:rPr/>
        <w:t>Ich wusste:</w:t>
      </w:r>
      <w:r>
        <w:rPr>
          <w:b/>
          <w:color w:val="808080"/>
        </w:rPr>
        <w:t>]</w:t>
      </w:r>
      <w:r>
        <w:rPr/>
        <w:t xml:space="preserve"> »Er wird mich retten, weil er Gefallen hat an mir:</w:t>
        <w:br/>
        <w:t xml:space="preserve">{{field-off:bible}} </w:t>
        <w:br/>
        <w:t>[[@BibleTOBIBLE:Ps 18:21]]</w:t>
      </w:r>
      <w:r>
        <w:rPr>
          <w:b/>
        </w:rPr>
        <w:t>21</w:t>
      </w:r>
      <w:r>
        <w:rPr/>
        <w:t xml:space="preserve"> {{field-on:bible}} </w:t>
        <w:br/>
        <w:t xml:space="preserve">Es wird mich belohnen </w:t>
      </w:r>
      <w:r>
        <w:rPr>
          <w:smallCaps/>
          <w:color w:val="FF0000"/>
        </w:rPr>
        <w:t>JHWH</w:t>
      </w:r>
      <w:r>
        <w:rPr/>
        <w:t xml:space="preserve"> entsprechend meiner Gerechtigkeit,Entsprechend der Reinheit meiner Hände wird er mir zurückgeben,</w:t>
        <w:br/>
        <w:t xml:space="preserve">{{field-off:bible}} </w:t>
        <w:br/>
        <w:t>[[@BibleTOBIBLE:Ps 18:22]]</w:t>
      </w:r>
      <w:r>
        <w:rPr>
          <w:b/>
        </w:rPr>
        <w:t>22</w:t>
      </w:r>
      <w:r>
        <w:rPr/>
        <w:t xml:space="preserve"> {{field-on:bible}} </w:t>
        <w:br/>
        <w:t xml:space="preserve">Denn ich wahrte die Wege </w:t>
      </w:r>
      <w:r>
        <w:rPr>
          <w:smallCaps/>
          <w:color w:val="FF0000"/>
        </w:rPr>
        <w:t>JHWH</w:t>
      </w:r>
      <w:r>
        <w:rPr/>
        <w:t>sUnd handelte nicht böse von</w:t>
      </w:r>
      <w:r>
        <w:rPr>
          <w:rStyle w:val="Funotenanker"/>
        </w:rPr>
        <w:footnoteReference w:customMarkFollows="1" w:id="830"/>
        <w:t>m</w:t>
      </w:r>
      <w:r>
        <w:rPr/>
        <w:t xml:space="preserve"> meinem Gott,</w:t>
        <w:br/>
        <w:t xml:space="preserve">{{field-off:bible}} </w:t>
        <w:br/>
        <w:t>[[@BibleTOBIBLE:Ps 18:23]]</w:t>
      </w:r>
      <w:r>
        <w:rPr>
          <w:b/>
        </w:rPr>
        <w:t>23</w:t>
      </w:r>
      <w:r>
        <w:rPr/>
        <w:t xml:space="preserve"> {{field-on:bible}} </w:t>
        <w:br/>
        <w:t xml:space="preserve">Denn all seine Gesetze </w:t>
      </w:r>
      <w:r>
        <w:rPr>
          <w:b/>
          <w:color w:val="808080"/>
        </w:rPr>
        <w:t>[</w:t>
      </w:r>
      <w:r>
        <w:rPr/>
        <w:t>waren</w:t>
      </w:r>
      <w:r>
        <w:rPr>
          <w:b/>
          <w:color w:val="808080"/>
        </w:rPr>
        <w:t>]</w:t>
      </w:r>
      <w:r>
        <w:rPr/>
        <w:t xml:space="preserve"> vor mir</w:t>
      </w:r>
      <w:r>
        <w:rPr>
          <w:rStyle w:val="Funotenanker"/>
        </w:rPr>
        <w:footnoteReference w:customMarkFollows="1" w:id="831"/>
        <w:t>n</w:t>
      </w:r>
      <w:r>
        <w:rPr/>
        <w:t>Und seine Satzungen werde ich nicht von mir stoßen</w:t>
        <w:br/>
        <w:t xml:space="preserve">{{field-off:bible}} </w:t>
        <w:br/>
        <w:t>[[@BibleTOBIBLE:Ps 18:24]]</w:t>
      </w:r>
      <w:r>
        <w:rPr>
          <w:b/>
        </w:rPr>
        <w:t>24</w:t>
      </w:r>
      <w:r>
        <w:rPr/>
        <w:t xml:space="preserve"> {{field-on:bible}} </w:t>
        <w:br/>
        <w:t>Und ich verhielt mich gegen ihn perfektUnd ich hütete mich vor meinen Fehlern.</w:t>
        <w:br/>
        <w:t xml:space="preserve">{{field-off:bible}} </w:t>
        <w:br/>
        <w:t>[[@BibleTOBIBLE:Ps 18:25]]</w:t>
      </w:r>
      <w:r>
        <w:rPr>
          <w:b/>
        </w:rPr>
        <w:t>25</w:t>
      </w:r>
      <w:r>
        <w:rPr/>
        <w:t xml:space="preserve"> {{field-on:bible}} </w:t>
        <w:br/>
        <w:t xml:space="preserve">Und es gab </w:t>
      </w:r>
      <w:r>
        <w:rPr>
          <w:smallCaps/>
          <w:color w:val="FF0000"/>
        </w:rPr>
        <w:t>JHWH</w:t>
      </w:r>
      <w:r>
        <w:rPr/>
        <w:t xml:space="preserve"> mir zurück entsprechend meiner Gerechtigkeit,Entsprechend meiner Reinheit vor seinen Augen.«</w:t>
        <w:br/>
        <w:br/>
        <w:t xml:space="preserve">{{field-off:bible}} </w:t>
        <w:br/>
        <w:t>[[@BibleTOBIBLE:Ps 18:26]]</w:t>
      </w:r>
      <w:r>
        <w:rPr>
          <w:b/>
        </w:rPr>
        <w:t>26</w:t>
      </w:r>
      <w:r>
        <w:rPr/>
        <w:t xml:space="preserve"> {{field-on:bible}} </w:t>
        <w:br/>
      </w:r>
      <w:r>
        <w:rPr>
          <w:b/>
          <w:color w:val="808080"/>
        </w:rPr>
        <w:t>[</w:t>
      </w:r>
      <w:r>
        <w:rPr/>
        <w:t>Dem</w:t>
      </w:r>
      <w:r>
        <w:rPr>
          <w:b/>
          <w:color w:val="808080"/>
        </w:rPr>
        <w:t>]</w:t>
      </w:r>
      <w:r>
        <w:rPr/>
        <w:t xml:space="preserve"> Bundestreuen gegenüber wirst du dich bundestreu erweisen,Und </w:t>
      </w:r>
      <w:r>
        <w:rPr>
          <w:b/>
          <w:color w:val="808080"/>
        </w:rPr>
        <w:t>[</w:t>
      </w:r>
      <w:r>
        <w:rPr/>
        <w:t>dem</w:t>
      </w:r>
      <w:r>
        <w:rPr>
          <w:b/>
          <w:color w:val="808080"/>
        </w:rPr>
        <w:t>]</w:t>
      </w:r>
      <w:r>
        <w:rPr/>
        <w:t xml:space="preserve"> perfekten Mann gegenüber wirst du dich perfekt erweisen,</w:t>
        <w:br/>
        <w:t xml:space="preserve">{{field-off:bible}} </w:t>
        <w:br/>
        <w:t>[[@BibleTOBIBLE:Ps 18:27]]</w:t>
      </w:r>
      <w:r>
        <w:rPr>
          <w:b/>
        </w:rPr>
        <w:t>27</w:t>
      </w:r>
      <w:r>
        <w:rPr/>
        <w:t xml:space="preserve"> {{field-on:bible}} </w:t>
        <w:br/>
      </w:r>
      <w:r>
        <w:rPr>
          <w:b/>
          <w:color w:val="808080"/>
        </w:rPr>
        <w:t>[</w:t>
      </w:r>
      <w:r>
        <w:rPr/>
        <w:t>Dem</w:t>
      </w:r>
      <w:r>
        <w:rPr>
          <w:b/>
          <w:color w:val="808080"/>
        </w:rPr>
        <w:t>]</w:t>
      </w:r>
      <w:r>
        <w:rPr/>
        <w:t xml:space="preserve"> Reinen gegenüber wirst du dich rein erweisen,Dem Falschen gegenüber wirst du dich verkehrt erweisen.</w:t>
        <w:br/>
        <w:t xml:space="preserve">{{field-off:bible}} </w:t>
        <w:br/>
        <w:t>[[@BibleTOBIBLE:Ps 18:28]]</w:t>
      </w:r>
      <w:r>
        <w:rPr>
          <w:b/>
        </w:rPr>
        <w:t>28</w:t>
      </w:r>
      <w:r>
        <w:rPr/>
        <w:t xml:space="preserve"> {{field-on:bible}} </w:t>
        <w:br/>
        <w:t>Du rettest das arme Volk,Doch die Augen Hochmütiger beugst du nieder.</w:t>
        <w:br/>
        <w:t xml:space="preserve">{{field-off:bible}} </w:t>
        <w:br/>
        <w:t>[[@BibleTOBIBLE:Ps 18:29]]</w:t>
      </w:r>
      <w:r>
        <w:rPr>
          <w:b/>
        </w:rPr>
        <w:t>29</w:t>
      </w:r>
      <w:r>
        <w:rPr/>
        <w:t xml:space="preserve"> {{field-on:bible}} </w:t>
        <w:br/>
        <w:t xml:space="preserve">Ja, du bist meine Lampe, </w:t>
      </w:r>
      <w:r>
        <w:rPr>
          <w:smallCaps/>
          <w:color w:val="FF0000"/>
        </w:rPr>
        <w:t>JHWH</w:t>
      </w:r>
      <w:r>
        <w:rPr/>
        <w:t>,Mein Gott wird erhellen meine Dunkelheit.</w:t>
        <w:br/>
        <w:t xml:space="preserve">{{field-off:bible}} </w:t>
        <w:br/>
        <w:t>[[@BibleTOBIBLE:Ps 18:30]]</w:t>
      </w:r>
      <w:r>
        <w:rPr>
          <w:b/>
        </w:rPr>
        <w:t>30</w:t>
      </w:r>
      <w:r>
        <w:rPr/>
        <w:t xml:space="preserve"> {{field-on:bible}} </w:t>
        <w:br/>
        <w:t xml:space="preserve">Ja, mit dir werde </w:t>
      </w:r>
      <w:r>
        <w:rPr>
          <w:color w:val="808080"/>
        </w:rPr>
        <w:t>(kann)</w:t>
      </w:r>
      <w:r>
        <w:rPr/>
        <w:t xml:space="preserve"> ich überrennen </w:t>
      </w:r>
      <w:r>
        <w:rPr>
          <w:color w:val="808080"/>
        </w:rPr>
        <w:t>(zerschmettern)</w:t>
      </w:r>
      <w:r>
        <w:rPr/>
        <w:t xml:space="preserve"> eine TruppeUnd mit meinem Gott werde </w:t>
      </w:r>
      <w:r>
        <w:rPr>
          <w:color w:val="808080"/>
        </w:rPr>
        <w:t>(kann)</w:t>
      </w:r>
      <w:r>
        <w:rPr/>
        <w:t xml:space="preserve"> ich eine Mauer überspringen.</w:t>
        <w:br/>
        <w:br/>
        <w:t xml:space="preserve">{{field-off:bible}} </w:t>
        <w:br/>
        <w:t>[[@BibleTOBIBLE:Ps 18:31]]</w:t>
      </w:r>
      <w:r>
        <w:rPr>
          <w:b/>
        </w:rPr>
        <w:t>31</w:t>
      </w:r>
      <w:r>
        <w:rPr/>
        <w:t xml:space="preserve"> {{field-on:bible}} </w:t>
        <w:br/>
        <w:t xml:space="preserve">Gott - vollkommen </w:t>
      </w:r>
      <w:r>
        <w:rPr>
          <w:b/>
          <w:color w:val="808080"/>
        </w:rPr>
        <w:t>[</w:t>
      </w:r>
      <w:r>
        <w:rPr/>
        <w:t>ist</w:t>
      </w:r>
      <w:r>
        <w:rPr>
          <w:b/>
          <w:color w:val="808080"/>
        </w:rPr>
        <w:t>]</w:t>
      </w:r>
      <w:r>
        <w:rPr/>
        <w:t xml:space="preserve"> sein Weg. Das Wort </w:t>
      </w:r>
      <w:r>
        <w:rPr>
          <w:smallCaps/>
          <w:color w:val="FF0000"/>
        </w:rPr>
        <w:t>JHWH</w:t>
      </w:r>
      <w:r>
        <w:rPr/>
        <w:t xml:space="preserve">s ist erprobt, Ein Schild </w:t>
      </w:r>
      <w:r>
        <w:rPr>
          <w:b/>
          <w:color w:val="808080"/>
        </w:rPr>
        <w:t>[</w:t>
      </w:r>
      <w:r>
        <w:rPr/>
        <w:t>ist</w:t>
      </w:r>
      <w:r>
        <w:rPr>
          <w:b/>
          <w:color w:val="808080"/>
        </w:rPr>
        <w:t>]</w:t>
      </w:r>
      <w:r>
        <w:rPr/>
        <w:t xml:space="preserve"> er für alle, die auf ihn vertrauen </w:t>
      </w:r>
      <w:r>
        <w:rPr>
          <w:color w:val="808080"/>
        </w:rPr>
        <w:t>(die zu ihm flüchten)</w:t>
      </w:r>
      <w:r>
        <w:rPr/>
        <w:t>.</w:t>
        <w:br/>
        <w:t xml:space="preserve">{{field-off:bible}} </w:t>
        <w:br/>
        <w:t>[[@BibleTOBIBLE:Ps 18:32]]</w:t>
      </w:r>
      <w:r>
        <w:rPr>
          <w:b/>
        </w:rPr>
        <w:t>32</w:t>
      </w:r>
      <w:r>
        <w:rPr/>
        <w:t xml:space="preserve"> {{field-on:bible}} </w:t>
        <w:br/>
        <w:t xml:space="preserve">Ja, wer ist Gott außer </w:t>
      </w:r>
      <w:r>
        <w:rPr>
          <w:smallCaps/>
          <w:color w:val="FF0000"/>
        </w:rPr>
        <w:t>JHWH</w:t>
      </w:r>
      <w:r>
        <w:rPr/>
        <w:t>Und wer ein Berg außer unserem Gott –</w:t>
        <w:br/>
        <w:t xml:space="preserve">{{field-off:bible}} </w:t>
        <w:br/>
        <w:t>[[@BibleTOBIBLE:Ps 18:33]]</w:t>
      </w:r>
      <w:r>
        <w:rPr>
          <w:b/>
        </w:rPr>
        <w:t>33</w:t>
      </w:r>
      <w:r>
        <w:rPr/>
        <w:t xml:space="preserve"> {{field-on:bible}} </w:t>
        <w:br/>
        <w:t xml:space="preserve">Dem Gott, </w:t>
      </w:r>
      <w:r>
        <w:rPr>
          <w:b/>
          <w:color w:val="808080"/>
        </w:rPr>
        <w:t>[</w:t>
      </w:r>
      <w:r>
        <w:rPr/>
        <w:t>der</w:t>
      </w:r>
      <w:r>
        <w:rPr>
          <w:b/>
          <w:color w:val="808080"/>
        </w:rPr>
        <w:t>]</w:t>
      </w:r>
      <w:r>
        <w:rPr/>
        <w:t xml:space="preserve"> mich stärkt </w:t>
      </w:r>
      <w:r>
        <w:rPr>
          <w:b/>
          <w:color w:val="808080"/>
        </w:rPr>
        <w:t>[</w:t>
      </w:r>
      <w:r>
        <w:rPr/>
        <w:t>mit</w:t>
      </w:r>
      <w:r>
        <w:rPr>
          <w:b/>
          <w:color w:val="808080"/>
        </w:rPr>
        <w:t>]</w:t>
      </w:r>
      <w:r>
        <w:rPr/>
        <w:t xml:space="preserve"> KraftUnd der meinen Weg perfekt machte,</w:t>
        <w:br/>
        <w:t xml:space="preserve">{{field-off:bible}} </w:t>
        <w:br/>
        <w:t>[[@BibleTOBIBLE:Ps 18:34]]</w:t>
      </w:r>
      <w:r>
        <w:rPr>
          <w:b/>
        </w:rPr>
        <w:t>34</w:t>
      </w:r>
      <w:r>
        <w:rPr/>
        <w:t xml:space="preserve"> {{field-on:bible}} </w:t>
        <w:br/>
        <w:t>Der meinen Fuß einer Gazelle gleich machteUnd mich auf meine Höhen stellte,</w:t>
        <w:br/>
        <w:t xml:space="preserve">{{field-off:bible}} </w:t>
        <w:br/>
        <w:t>[[@BibleTOBIBLE:Ps 18:35]]</w:t>
      </w:r>
      <w:r>
        <w:rPr>
          <w:b/>
        </w:rPr>
        <w:t>35</w:t>
      </w:r>
      <w:r>
        <w:rPr/>
        <w:t xml:space="preserve"> {{field-on:bible}} </w:t>
        <w:br/>
        <w:t>Der meine Hände für den Kampf trainierte,Um zu stärken</w:t>
      </w:r>
      <w:r>
        <w:rPr>
          <w:rStyle w:val="Funotenanker"/>
        </w:rPr>
        <w:footnoteReference w:customMarkFollows="1" w:id="832"/>
        <w:t>o</w:t>
      </w:r>
      <w:r>
        <w:rPr/>
        <w:t xml:space="preserve"> </w:t>
      </w:r>
      <w:r>
        <w:rPr>
          <w:b/>
          <w:color w:val="808080"/>
        </w:rPr>
        <w:t>[</w:t>
      </w:r>
      <w:r>
        <w:rPr/>
        <w:t>wie</w:t>
      </w:r>
      <w:r>
        <w:rPr>
          <w:b/>
          <w:color w:val="808080"/>
        </w:rPr>
        <w:t>]</w:t>
      </w:r>
      <w:r>
        <w:rPr/>
        <w:t xml:space="preserve"> einen Kupferbogen meine Arme!?</w:t>
        <w:br/>
        <w:t xml:space="preserve">{{field-off:bible}} </w:t>
        <w:br/>
        <w:t>[[@BibleTOBIBLE:Ps 18:36]]</w:t>
      </w:r>
      <w:r>
        <w:rPr>
          <w:b/>
        </w:rPr>
        <w:t>36</w:t>
      </w:r>
      <w:r>
        <w:rPr/>
        <w:t xml:space="preserve"> {{field-on:bible}} </w:t>
        <w:br/>
        <w:t>Und du gabst mir den Schild der Rettung Und deine rechte Hand wird mich stützenUnd deine Erhörung wird mich vergrößern.</w:t>
        <w:br/>
        <w:t xml:space="preserve">{{field-off:bible}} </w:t>
        <w:br/>
        <w:t>[[@BibleTOBIBLE:Ps 18:37]]</w:t>
      </w:r>
      <w:r>
        <w:rPr>
          <w:b/>
        </w:rPr>
        <w:t>37</w:t>
      </w:r>
      <w:r>
        <w:rPr/>
        <w:t xml:space="preserve"> {{field-on:bible}} </w:t>
        <w:br/>
        <w:t>Du wirst weit machen meine Schritte unter mirUnd meine Knöchel wanken nicht.</w:t>
        <w:br/>
        <w:br/>
        <w:t xml:space="preserve">{{field-off:bible}} </w:t>
        <w:br/>
        <w:t>[[@BibleTOBIBLE:Ps 18:38]]</w:t>
      </w:r>
      <w:r>
        <w:rPr>
          <w:b/>
        </w:rPr>
        <w:t>38</w:t>
      </w:r>
      <w:r>
        <w:rPr/>
        <w:t xml:space="preserve"> {{field-on:bible}} </w:t>
        <w:br/>
        <w:t>Ich werde nachjagen meinen Feinden und sie erreichenUnd werde nicht umkehren, bis ich sie zerstört habe.</w:t>
        <w:br/>
        <w:t xml:space="preserve">{{field-off:bible}} </w:t>
        <w:br/>
        <w:t>[[@BibleTOBIBLE:Ps 18:39]]</w:t>
      </w:r>
      <w:r>
        <w:rPr>
          <w:b/>
        </w:rPr>
        <w:t>39</w:t>
      </w:r>
      <w:r>
        <w:rPr/>
        <w:t xml:space="preserve"> {{field-on:bible}} </w:t>
        <w:br/>
        <w:t>Ich werde sie zerschmettern und sie werden sich nicht erheben können,Sie werden unter meine Füße fallen!</w:t>
        <w:br/>
        <w:t xml:space="preserve">{{field-off:bible}} </w:t>
        <w:br/>
        <w:t>[[@BibleTOBIBLE:Ps 18:40]]</w:t>
      </w:r>
      <w:r>
        <w:rPr>
          <w:b/>
        </w:rPr>
        <w:t>40</w:t>
      </w:r>
      <w:r>
        <w:rPr/>
        <w:t xml:space="preserve"> {{field-on:bible}} </w:t>
        <w:br/>
        <w:t xml:space="preserve">Und du gürtetest mich mit Kraft für den Kampf,Du wirst beugen </w:t>
      </w:r>
      <w:r>
        <w:rPr>
          <w:b/>
          <w:color w:val="808080"/>
        </w:rPr>
        <w:t>[</w:t>
      </w:r>
      <w:r>
        <w:rPr/>
        <w:t>die</w:t>
      </w:r>
      <w:r>
        <w:rPr>
          <w:b/>
          <w:color w:val="808080"/>
        </w:rPr>
        <w:t>]</w:t>
      </w:r>
      <w:r>
        <w:rPr/>
        <w:t xml:space="preserve">, die sich </w:t>
      </w:r>
      <w:r>
        <w:rPr>
          <w:b/>
          <w:color w:val="808080"/>
        </w:rPr>
        <w:t>[</w:t>
      </w:r>
      <w:r>
        <w:rPr/>
        <w:t>gegen</w:t>
      </w:r>
      <w:r>
        <w:rPr>
          <w:b/>
          <w:color w:val="808080"/>
        </w:rPr>
        <w:t>]</w:t>
      </w:r>
      <w:r>
        <w:rPr/>
        <w:t xml:space="preserve"> mich erheben, unter mich!</w:t>
        <w:br/>
        <w:t xml:space="preserve">{{field-off:bible}} </w:t>
        <w:br/>
        <w:t>[[@BibleTOBIBLE:Ps 18:41]]</w:t>
      </w:r>
      <w:r>
        <w:rPr>
          <w:b/>
        </w:rPr>
        <w:t>41</w:t>
      </w:r>
      <w:r>
        <w:rPr/>
        <w:t xml:space="preserve"> {{field-on:bible}} </w:t>
        <w:br/>
        <w:t xml:space="preserve">Und meine Feinde – du gabst mir </w:t>
      </w:r>
      <w:r>
        <w:rPr>
          <w:b/>
          <w:color w:val="808080"/>
        </w:rPr>
        <w:t>[</w:t>
      </w:r>
      <w:r>
        <w:rPr/>
        <w:t>ihren</w:t>
      </w:r>
      <w:r>
        <w:rPr>
          <w:b/>
          <w:color w:val="808080"/>
        </w:rPr>
        <w:t>]</w:t>
      </w:r>
      <w:r>
        <w:rPr/>
        <w:t xml:space="preserve"> Rücken;</w:t>
      </w:r>
      <w:r>
        <w:rPr>
          <w:rStyle w:val="Funotenanker"/>
        </w:rPr>
        <w:footnoteReference w:customMarkFollows="1" w:id="833"/>
        <w:t>p</w:t>
      </w:r>
      <w:r>
        <w:rPr/>
        <w:t>Meine Hasser werde ich vernichten.</w:t>
        <w:br/>
        <w:t xml:space="preserve">{{field-off:bible}} </w:t>
        <w:br/>
        <w:t>[[@BibleTOBIBLE:Ps 18:42]]</w:t>
      </w:r>
      <w:r>
        <w:rPr>
          <w:b/>
        </w:rPr>
        <w:t>42</w:t>
      </w:r>
      <w:r>
        <w:rPr/>
        <w:t xml:space="preserve"> {{field-on:bible}} </w:t>
        <w:br/>
        <w:t xml:space="preserve">Sie werden schreien, doch es </w:t>
      </w:r>
      <w:r>
        <w:rPr>
          <w:b/>
          <w:color w:val="808080"/>
        </w:rPr>
        <w:t>[</w:t>
      </w:r>
      <w:r>
        <w:rPr/>
        <w:t>wird für sie</w:t>
      </w:r>
      <w:r>
        <w:rPr>
          <w:b/>
          <w:color w:val="808080"/>
        </w:rPr>
        <w:t>]</w:t>
      </w:r>
      <w:r>
        <w:rPr/>
        <w:t xml:space="preserve"> nicht geben einen Retter,Zu </w:t>
      </w:r>
      <w:r>
        <w:rPr>
          <w:smallCaps/>
          <w:color w:val="FF0000"/>
        </w:rPr>
        <w:t>JHWH</w:t>
      </w:r>
      <w:r>
        <w:rPr/>
        <w:t>,</w:t>
      </w:r>
      <w:r>
        <w:rPr>
          <w:rStyle w:val="Funotenanker"/>
        </w:rPr>
        <w:footnoteReference w:customMarkFollows="1" w:id="834"/>
        <w:t>q</w:t>
      </w:r>
      <w:r>
        <w:rPr/>
        <w:t xml:space="preserve"> aber er antwortete ihnen nicht.</w:t>
      </w:r>
      <w:r>
        <w:rPr>
          <w:rStyle w:val="Funotenanker"/>
        </w:rPr>
        <w:footnoteReference w:customMarkFollows="1" w:id="835"/>
        <w:t>r</w:t>
      </w:r>
      <w:r>
        <w:rPr/>
        <w:t xml:space="preserve"> </w:t>
        <w:br/>
        <w:t xml:space="preserve">{{field-off:bible}} </w:t>
        <w:br/>
        <w:t>[[@BibleTOBIBLE:Ps 18:43]]</w:t>
      </w:r>
      <w:r>
        <w:rPr>
          <w:b/>
        </w:rPr>
        <w:t>43</w:t>
      </w:r>
      <w:r>
        <w:rPr/>
        <w:t xml:space="preserve"> {{field-on:bible}} </w:t>
        <w:br/>
        <w:t xml:space="preserve">Ich werde sie zermalmen wie Staub auf dem </w:t>
      </w:r>
      <w:r>
        <w:rPr>
          <w:strike/>
          <w:color w:val="808080"/>
        </w:rPr>
        <w:t>{Gesicht des}</w:t>
      </w:r>
      <w:r>
        <w:rPr/>
        <w:t xml:space="preserve"> Weg</w:t>
      </w:r>
      <w:r>
        <w:rPr>
          <w:strike/>
          <w:color w:val="808080"/>
        </w:rPr>
        <w:t>{es}</w:t>
      </w:r>
      <w:r>
        <w:rPr/>
        <w:t xml:space="preserve">,Wie Kot </w:t>
      </w:r>
      <w:r>
        <w:rPr>
          <w:b/>
          <w:color w:val="808080"/>
        </w:rPr>
        <w:t>[</w:t>
      </w:r>
      <w:r>
        <w:rPr/>
        <w:t>auf</w:t>
      </w:r>
      <w:r>
        <w:rPr>
          <w:b/>
          <w:color w:val="808080"/>
        </w:rPr>
        <w:t>]</w:t>
      </w:r>
      <w:r>
        <w:rPr/>
        <w:t xml:space="preserve"> der Straße werde ich sie ausschütten!</w:t>
        <w:br/>
        <w:br/>
        <w:t xml:space="preserve">{{field-off:bible}} </w:t>
        <w:br/>
        <w:t>[[@BibleTOBIBLE:Ps 18:44]]</w:t>
      </w:r>
      <w:r>
        <w:rPr>
          <w:b/>
        </w:rPr>
        <w:t>44</w:t>
      </w:r>
      <w:r>
        <w:rPr/>
        <w:t xml:space="preserve"> {{field-on:bible}} </w:t>
        <w:br/>
        <w:t xml:space="preserve">Du wirst mich retten aus den Auseinandersetzungen des Volkes,Du wirst mich einsetzen als Haupt der Heiden,Ein Volk, </w:t>
      </w:r>
      <w:r>
        <w:rPr>
          <w:b/>
          <w:color w:val="808080"/>
        </w:rPr>
        <w:t>[</w:t>
      </w:r>
      <w:r>
        <w:rPr/>
        <w:t>das</w:t>
      </w:r>
      <w:r>
        <w:rPr>
          <w:b/>
          <w:color w:val="808080"/>
        </w:rPr>
        <w:t>]</w:t>
      </w:r>
      <w:r>
        <w:rPr/>
        <w:t xml:space="preserve"> ich nicht kenne </w:t>
      </w:r>
      <w:r>
        <w:rPr>
          <w:color w:val="808080"/>
        </w:rPr>
        <w:t>(kannte)</w:t>
      </w:r>
      <w:r>
        <w:rPr/>
        <w:t>, wird mir dienen.</w:t>
        <w:br/>
        <w:t xml:space="preserve">{{field-off:bible}} </w:t>
        <w:br/>
        <w:t>[[@BibleTOBIBLE:Ps 18:45]]</w:t>
      </w:r>
      <w:r>
        <w:rPr>
          <w:b/>
        </w:rPr>
        <w:t>45</w:t>
      </w:r>
      <w:r>
        <w:rPr/>
        <w:t xml:space="preserve"> {{field-on:bible}} </w:t>
        <w:br/>
        <w:t xml:space="preserve">Auf Gehörtes des Ohrs </w:t>
      </w:r>
      <w:r>
        <w:rPr>
          <w:b/>
          <w:color w:val="808080"/>
        </w:rPr>
        <w:t>[</w:t>
      </w:r>
      <w:r>
        <w:rPr/>
        <w:t>hin</w:t>
      </w:r>
      <w:r>
        <w:rPr>
          <w:b/>
          <w:color w:val="808080"/>
        </w:rPr>
        <w:t>]</w:t>
      </w:r>
      <w:r>
        <w:rPr/>
        <w:t xml:space="preserve"> werden sie auf mich hören,</w:t>
      </w:r>
      <w:r>
        <w:rPr>
          <w:strike/>
          <w:color w:val="808080"/>
        </w:rPr>
        <w:t>{Kinder von }</w:t>
      </w:r>
      <w:r>
        <w:rPr/>
        <w:t>Ausländer</w:t>
      </w:r>
      <w:r>
        <w:rPr>
          <w:strike/>
          <w:color w:val="808080"/>
        </w:rPr>
        <w:t>{n}</w:t>
      </w:r>
      <w:r>
        <w:rPr/>
        <w:t xml:space="preserve"> werden mir </w:t>
      </w:r>
      <w:r>
        <w:rPr>
          <w:b/>
          <w:color w:val="808080"/>
        </w:rPr>
        <w:t>[</w:t>
      </w:r>
      <w:r>
        <w:rPr/>
        <w:t>Ergebung</w:t>
      </w:r>
      <w:r>
        <w:rPr>
          <w:b/>
          <w:color w:val="808080"/>
        </w:rPr>
        <w:t>]</w:t>
      </w:r>
      <w:r>
        <w:rPr/>
        <w:t xml:space="preserve"> heucheln </w:t>
      </w:r>
      <w:r>
        <w:rPr>
          <w:color w:val="808080"/>
        </w:rPr>
        <w:t>(mir schmeicheln)</w:t>
      </w:r>
      <w:r>
        <w:rPr/>
        <w:t>,</w:t>
        <w:br/>
        <w:t xml:space="preserve">{{field-off:bible}} </w:t>
        <w:br/>
        <w:t>[[@BibleTOBIBLE:Ps 18:46]]</w:t>
      </w:r>
      <w:r>
        <w:rPr>
          <w:b/>
        </w:rPr>
        <w:t>46</w:t>
      </w:r>
      <w:r>
        <w:rPr/>
        <w:t xml:space="preserve"> {{field-on:bible}} </w:t>
        <w:br/>
      </w:r>
      <w:r>
        <w:rPr>
          <w:strike/>
          <w:color w:val="808080"/>
        </w:rPr>
        <w:t>{Kinder von }</w:t>
      </w:r>
      <w:r>
        <w:rPr/>
        <w:t>Ausländer</w:t>
      </w:r>
      <w:r>
        <w:rPr>
          <w:strike/>
          <w:color w:val="808080"/>
        </w:rPr>
        <w:t>{n}</w:t>
      </w:r>
      <w:r>
        <w:rPr/>
        <w:t xml:space="preserve"> werden vergehen</w:t>
        <w:br/>
        <w:t xml:space="preserve">Und sich </w:t>
      </w:r>
      <w:r>
        <w:rPr>
          <w:b/>
          <w:color w:val="808080"/>
        </w:rPr>
        <w:t>[</w:t>
      </w:r>
      <w:r>
        <w:rPr/>
        <w:t>selbst</w:t>
      </w:r>
      <w:r>
        <w:rPr>
          <w:b/>
          <w:color w:val="808080"/>
        </w:rPr>
        <w:t>]</w:t>
      </w:r>
      <w:r>
        <w:rPr/>
        <w:t xml:space="preserve"> gürten mit ihren Banden.</w:t>
        <w:br/>
        <w:br/>
        <w:t xml:space="preserve">{{field-off:bible}} </w:t>
        <w:br/>
        <w:t>[[@BibleTOBIBLE:Ps 18:47]]</w:t>
      </w:r>
      <w:r>
        <w:rPr>
          <w:b/>
        </w:rPr>
        <w:t>47</w:t>
      </w:r>
      <w:r>
        <w:rPr/>
        <w:t xml:space="preserve"> {{field-on:bible}} </w:t>
        <w:br/>
      </w:r>
      <w:r>
        <w:rPr>
          <w:b/>
          <w:color w:val="808080"/>
        </w:rPr>
        <w:t>[</w:t>
      </w:r>
      <w:r>
        <w:rPr/>
        <w:t>So wahr</w:t>
      </w:r>
      <w:r>
        <w:rPr>
          <w:b/>
          <w:color w:val="808080"/>
        </w:rPr>
        <w:t>]</w:t>
      </w:r>
      <w:r>
        <w:rPr/>
        <w:t xml:space="preserve"> Gott lebt: Gesegnet </w:t>
      </w:r>
      <w:r>
        <w:rPr>
          <w:b/>
          <w:color w:val="808080"/>
        </w:rPr>
        <w:t>[</w:t>
      </w:r>
      <w:r>
        <w:rPr/>
        <w:t>sei</w:t>
      </w:r>
      <w:r>
        <w:rPr>
          <w:b/>
          <w:color w:val="808080"/>
        </w:rPr>
        <w:t>]</w:t>
      </w:r>
      <w:r>
        <w:rPr/>
        <w:t xml:space="preserve"> mein FelsUnd erhoben werden soll der Gott meiner Rettung,</w:t>
        <w:br/>
        <w:t xml:space="preserve">{{field-off:bible}} </w:t>
        <w:br/>
        <w:t>[[@BibleTOBIBLE:Ps 18:48]]</w:t>
      </w:r>
      <w:r>
        <w:rPr>
          <w:b/>
        </w:rPr>
        <w:t>48</w:t>
      </w:r>
      <w:r>
        <w:rPr/>
        <w:t xml:space="preserve"> {{field-on:bible}} </w:t>
        <w:br/>
        <w:t xml:space="preserve">Der Gott, </w:t>
      </w:r>
      <w:r>
        <w:rPr>
          <w:b/>
          <w:color w:val="808080"/>
        </w:rPr>
        <w:t>[</w:t>
      </w:r>
      <w:r>
        <w:rPr/>
        <w:t>der</w:t>
      </w:r>
      <w:r>
        <w:rPr>
          <w:b/>
          <w:color w:val="808080"/>
        </w:rPr>
        <w:t>]</w:t>
      </w:r>
      <w:r>
        <w:rPr/>
        <w:t xml:space="preserve"> mir Rache gab </w:t>
      </w:r>
      <w:r>
        <w:rPr>
          <w:color w:val="808080"/>
        </w:rPr>
        <w:t>(gibt)</w:t>
      </w:r>
      <w:r>
        <w:rPr/>
        <w:t>Und Völker unter mich unterjocht hat,</w:t>
        <w:br/>
        <w:t xml:space="preserve">{{field-off:bible}} </w:t>
        <w:br/>
        <w:t>[[@BibleTOBIBLE:Ps 18:49]]</w:t>
      </w:r>
      <w:r>
        <w:rPr>
          <w:b/>
        </w:rPr>
        <w:t>49</w:t>
      </w:r>
      <w:r>
        <w:rPr/>
        <w:t xml:space="preserve"> {{field-on:bible}} </w:t>
        <w:br/>
        <w:t xml:space="preserve">Der mich meinen Feinden rettet </w:t>
      </w:r>
      <w:r>
        <w:rPr>
          <w:color w:val="808080"/>
        </w:rPr>
        <w:t>(entkommen lässt)</w:t>
      </w:r>
      <w:r>
        <w:rPr/>
        <w:t>,Mich erhöhen wird über die, die sich gegen mich erheben,Der du mich von dem gewalttätigen Mann befreien wirst.</w:t>
        <w:br/>
        <w:br/>
        <w:t xml:space="preserve">{{field-off:bible}} </w:t>
        <w:br/>
        <w:t>[[@BibleTOBIBLE:Ps 18:50]]</w:t>
      </w:r>
      <w:r>
        <w:rPr>
          <w:b/>
        </w:rPr>
        <w:t>50</w:t>
      </w:r>
      <w:r>
        <w:rPr/>
        <w:t xml:space="preserve"> {{field-on:bible}} </w:t>
        <w:br/>
        <w:t xml:space="preserve">Darum will ich dich preisen, </w:t>
      </w:r>
      <w:r>
        <w:rPr>
          <w:smallCaps/>
          <w:color w:val="FF0000"/>
        </w:rPr>
        <w:t>JHWH</w:t>
      </w:r>
      <w:r>
        <w:rPr/>
        <w:t xml:space="preserve">, </w:t>
      </w:r>
      <w:r>
        <w:rPr>
          <w:b/>
          <w:color w:val="808080"/>
        </w:rPr>
        <w:t>[</w:t>
      </w:r>
      <w:r>
        <w:rPr/>
        <w:t>mitten</w:t>
      </w:r>
      <w:r>
        <w:rPr>
          <w:b/>
          <w:color w:val="808080"/>
        </w:rPr>
        <w:t>]</w:t>
      </w:r>
      <w:r>
        <w:rPr/>
        <w:t xml:space="preserve"> unter den Heiden,Und deinem Namen singen,</w:t>
        <w:br/>
        <w:t xml:space="preserve">{{field-off:bible}} </w:t>
        <w:br/>
        <w:t>[[@BibleTOBIBLE:Ps 18:51]]</w:t>
      </w:r>
      <w:r>
        <w:rPr>
          <w:b/>
        </w:rPr>
        <w:t>51</w:t>
      </w:r>
      <w:r>
        <w:rPr/>
        <w:t xml:space="preserve"> {{field-on:bible}} </w:t>
        <w:br/>
        <w:t>Der groß macht das Heil seines KönigsUnd seinem Gesalbten Bundestreue erweist,David und seinen Nachkommen auf ewig.</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836"/>
        <w:t>Status</w:t>
      </w:r>
      <w:r>
        <w:rPr/>
        <w:t xml:space="preserve"> Für den Chorleiter </w:t>
      </w:r>
      <w:r>
        <w:rPr>
          <w:color w:val="808080"/>
        </w:rPr>
        <w:t>(Dirigenten, Singenden, Musizierenden)</w:t>
      </w:r>
      <w:r>
        <w:rPr/>
        <w:t>.</w:t>
      </w:r>
      <w:r>
        <w:rPr>
          <w:rStyle w:val="Funotenanker"/>
        </w:rPr>
        <w:footnoteReference w:customMarkFollows="1" w:id="837"/>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838"/>
        <w:t>b</w:t>
      </w:r>
      <w:r>
        <w:rPr/>
        <w:t xml:space="preserve"> </w:t>
      </w:r>
      <w:r>
        <w:rPr>
          <w:color w:val="808080"/>
        </w:rPr>
        <w:t>(Die Himmel verkünden)</w:t>
      </w:r>
      <w:r>
        <w:rPr/>
        <w:t xml:space="preserve"> </w:t>
      </w:r>
      <w:r>
        <w:rPr>
          <w:rStyle w:val="Funotenanker"/>
        </w:rPr>
        <w:footnoteReference w:customMarkFollows="1" w:id="839"/>
        <w:t>c</w:t>
      </w:r>
      <w:r>
        <w:rPr/>
        <w:t xml:space="preserve"> die Herrlichkeit </w:t>
      </w:r>
      <w:r>
        <w:rPr>
          <w:color w:val="808080"/>
        </w:rPr>
        <w:t>(Lichtglanz, Glorie)</w:t>
      </w:r>
      <w:r>
        <w:rPr/>
        <w:t xml:space="preserve"> </w:t>
      </w:r>
      <w:r>
        <w:rPr>
          <w:rStyle w:val="Funotenanker"/>
        </w:rPr>
        <w:footnoteReference w:customMarkFollows="1" w:id="840"/>
        <w:t>d</w:t>
      </w:r>
      <w:r>
        <w:rPr/>
        <w:t xml:space="preserve"> Gottes„ und das Walten </w:t>
      </w:r>
      <w:r>
        <w:rPr>
          <w:color w:val="808080"/>
        </w:rPr>
        <w:t>(Werk)</w:t>
      </w:r>
      <w:r>
        <w:rPr/>
        <w:t xml:space="preserve"> </w:t>
      </w:r>
      <w:r>
        <w:rPr>
          <w:rStyle w:val="Funotenanker"/>
        </w:rPr>
        <w:footnoteReference w:customMarkFollows="1" w:id="841"/>
        <w:t>e</w:t>
      </w:r>
      <w:r>
        <w:rPr/>
        <w:t xml:space="preserve"> seiner Hände </w:t>
      </w:r>
      <w:r>
        <w:rPr>
          <w:color w:val="808080"/>
        </w:rPr>
        <w:t>(sein Walten)</w:t>
      </w:r>
      <w:r>
        <w:rPr/>
        <w:t xml:space="preserve"> </w:t>
      </w:r>
      <w:r>
        <w:rPr>
          <w:rStyle w:val="Funotenanker"/>
        </w:rPr>
        <w:footnoteReference w:customMarkFollows="1" w:id="842"/>
        <w:t>f</w:t>
      </w:r>
      <w:r>
        <w:rPr/>
        <w:t xml:space="preserve"> macht kund das Firmament </w:t>
      </w:r>
      <w:r>
        <w:rPr>
          <w:color w:val="808080"/>
        </w:rPr>
        <w:t>(Himmelsgewölbe)</w:t>
      </w:r>
      <w:r>
        <w:rPr/>
        <w:t xml:space="preserve"> </w:t>
      </w:r>
      <w:r>
        <w:rPr>
          <w:rStyle w:val="Funotenanker"/>
        </w:rPr>
        <w:footnoteReference w:customMarkFollows="1" w:id="843"/>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844"/>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845"/>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846"/>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847"/>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848"/>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849"/>
        <w:t>m</w:t>
      </w:r>
      <w:r>
        <w:rPr/>
        <w:t xml:space="preserve"> ihr Reden.“Der Sonne </w:t>
      </w:r>
      <w:r>
        <w:rPr>
          <w:color w:val="808080"/>
        </w:rPr>
        <w:t>(dem Sonnenball)</w:t>
      </w:r>
      <w:r>
        <w:rPr/>
        <w:t xml:space="preserve"> </w:t>
      </w:r>
      <w:r>
        <w:rPr>
          <w:rStyle w:val="Funotenanker"/>
        </w:rPr>
        <w:footnoteReference w:customMarkFollows="1" w:id="850"/>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851"/>
        <w:t>o</w:t>
      </w:r>
      <w:r>
        <w:rPr/>
        <w:t xml:space="preserve"> ein Zelt aus </w:t>
      </w:r>
      <w:r>
        <w:rPr>
          <w:color w:val="808080"/>
        </w:rPr>
        <w:t>(an)</w:t>
      </w:r>
      <w:r>
        <w:rPr/>
        <w:t xml:space="preserve"> ihm</w:t>
      </w:r>
      <w:r>
        <w:rPr>
          <w:rStyle w:val="Funotenanker"/>
        </w:rPr>
        <w:footnoteReference w:customMarkFollows="1" w:id="852"/>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853"/>
        <w:t>q</w:t>
      </w:r>
      <w:r>
        <w:rPr/>
        <w:t xml:space="preserve"> aus seinem Brautzelt </w:t>
      </w:r>
      <w:r>
        <w:rPr>
          <w:color w:val="808080"/>
        </w:rPr>
        <w:t>(Zelt)</w:t>
      </w:r>
      <w:r>
        <w:rPr/>
        <w:t xml:space="preserve"> </w:t>
      </w:r>
      <w:r>
        <w:rPr>
          <w:rStyle w:val="Funotenanker"/>
        </w:rPr>
        <w:footnoteReference w:customMarkFollows="1" w:id="854"/>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855"/>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856"/>
        <w:t>t</w:t>
      </w:r>
      <w:r>
        <w:rPr/>
        <w:t xml:space="preserve"> des Himmels </w:t>
      </w:r>
      <w:r>
        <w:rPr>
          <w:color w:val="808080"/>
        </w:rPr>
        <w:t>(der Himmel</w:t>
      </w:r>
      <w:r>
        <w:rPr/>
        <w:t xml:space="preserve"> </w:t>
      </w:r>
      <w:r>
        <w:rPr>
          <w:rStyle w:val="Funotenanker"/>
        </w:rPr>
        <w:footnoteReference w:customMarkFollows="1" w:id="857"/>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858"/>
        <w:t>v</w:t>
      </w:r>
      <w:r>
        <w:rPr/>
        <w:t xml:space="preserve"> verborgen.“{{field-off:bible}} </w:t>
        <w:br/>
        <w:t>[[@BibleTOBIBLE:Ps 19:8]]</w:t>
      </w:r>
      <w:r>
        <w:rPr>
          <w:b/>
        </w:rPr>
        <w:t>8</w:t>
      </w:r>
      <w:r>
        <w:rPr/>
        <w:t xml:space="preserve"> {{field-on:bible}}Das Gesetz</w:t>
      </w:r>
      <w:r>
        <w:rPr>
          <w:rStyle w:val="Funotenanker"/>
        </w:rPr>
        <w:footnoteReference w:customMarkFollows="1" w:id="859"/>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860"/>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861"/>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862"/>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863"/>
        <w:t>aa</w:t>
      </w:r>
      <w:r>
        <w:rPr/>
        <w:t xml:space="preserve"> - macht die Augen hell</w:t>
      </w:r>
      <w:r>
        <w:rPr>
          <w:rStyle w:val="Funotenanker"/>
        </w:rPr>
        <w:footnoteReference w:customMarkFollows="1" w:id="864"/>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865"/>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866"/>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867"/>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868"/>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869"/>
        <w:t>ag</w:t>
      </w:r>
      <w:r>
        <w:rPr/>
        <w:t xml:space="preserve">,“{{field-off:bible}} </w:t>
        <w:br/>
        <w:t>[[@BibleTOBIBLE:Ps 19:12]]</w:t>
      </w:r>
      <w:r>
        <w:rPr>
          <w:b/>
        </w:rPr>
        <w:t>12</w:t>
      </w:r>
      <w:r>
        <w:rPr/>
        <w:t xml:space="preserve"> {{field-on:bible}}wird auch</w:t>
      </w:r>
      <w:r>
        <w:rPr>
          <w:rStyle w:val="Funotenanker"/>
        </w:rPr>
        <w:footnoteReference w:customMarkFollows="1" w:id="870"/>
        <w:t>ah</w:t>
      </w:r>
      <w:r>
        <w:rPr/>
        <w:t xml:space="preserve"> dein Sklave</w:t>
      </w:r>
      <w:r>
        <w:rPr>
          <w:rStyle w:val="Funotenanker"/>
        </w:rPr>
        <w:footnoteReference w:customMarkFollows="1" w:id="871"/>
        <w:t>ai</w:t>
      </w:r>
      <w:r>
        <w:rPr/>
        <w:t xml:space="preserve"> gewarnt </w:t>
      </w:r>
      <w:r>
        <w:rPr>
          <w:color w:val="808080"/>
        </w:rPr>
        <w:t>(erleuchtet)</w:t>
      </w:r>
      <w:r>
        <w:rPr/>
        <w:t xml:space="preserve"> </w:t>
      </w:r>
      <w:r>
        <w:rPr>
          <w:rStyle w:val="Funotenanker"/>
        </w:rPr>
        <w:footnoteReference w:customMarkFollows="1" w:id="872"/>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873"/>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874"/>
        <w:t>al</w:t>
      </w:r>
      <w:r>
        <w:rPr/>
        <w:t xml:space="preserve"> Versehen </w:t>
      </w:r>
      <w:r>
        <w:rPr>
          <w:color w:val="808080"/>
        </w:rPr>
        <w:t>(versehentliche Fehler)</w:t>
      </w:r>
      <w:r>
        <w:rPr/>
        <w:t xml:space="preserve"> </w:t>
      </w:r>
      <w:r>
        <w:rPr>
          <w:rStyle w:val="Funotenanker"/>
        </w:rPr>
        <w:footnoteReference w:customMarkFollows="1" w:id="875"/>
        <w:t>am</w:t>
      </w:r>
      <w:r>
        <w:rPr/>
        <w:t xml:space="preserve"> - wer bemerkt sie</w:t>
      </w:r>
      <w:r>
        <w:rPr>
          <w:rStyle w:val="Funotenanker"/>
        </w:rPr>
        <w:footnoteReference w:customMarkFollows="1" w:id="876"/>
        <w:t>an</w:t>
      </w:r>
      <w:r>
        <w:rPr/>
        <w:t xml:space="preserve">?„ Von den Verborgenen </w:t>
      </w:r>
      <w:r>
        <w:rPr>
          <w:color w:val="808080"/>
        </w:rPr>
        <w:t>(ungewollte Sünden)</w:t>
      </w:r>
      <w:r>
        <w:rPr/>
        <w:t xml:space="preserve"> </w:t>
      </w:r>
      <w:r>
        <w:rPr>
          <w:rStyle w:val="Funotenanker"/>
        </w:rPr>
        <w:footnoteReference w:customMarkFollows="1" w:id="877"/>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878"/>
        <w:t>ap</w:t>
      </w:r>
      <w:r>
        <w:rPr/>
        <w:t xml:space="preserve"> halte zurück deinen Sklaven,</w:t>
      </w:r>
      <w:r>
        <w:rPr>
          <w:rStyle w:val="Funotenanker"/>
        </w:rPr>
        <w:footnoteReference w:customMarkFollows="1" w:id="879"/>
        <w:t>aq</w:t>
      </w:r>
      <w:r>
        <w:rPr/>
        <w:t xml:space="preserve">„ Lass sie mich nicht beherrschen!“Dann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880"/>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sich-Äußern meines Herzens </w:t>
      </w:r>
      <w:r>
        <w:rPr>
          <w:color w:val="808080"/>
        </w:rPr>
        <w:t>(meine Äußerungen)</w:t>
      </w:r>
      <w:r>
        <w:rPr/>
        <w:t xml:space="preserve"> vor deinem Gesicht </w:t>
      </w:r>
      <w:r>
        <w:rPr>
          <w:color w:val="808080"/>
        </w:rPr>
        <w:t>(vor dir)</w:t>
      </w:r>
      <w:r>
        <w:rPr/>
        <w:t xml:space="preserve"> </w:t>
      </w:r>
      <w:r>
        <w:rPr>
          <w:rStyle w:val="Funotenanker"/>
        </w:rPr>
        <w:footnoteReference w:customMarkFollows="1" w:id="881"/>
        <w:t>as</w:t>
      </w:r>
      <w:r>
        <w:rPr/>
        <w:t xml:space="preserve"> - </w:t>
      </w:r>
      <w:r>
        <w:rPr>
          <w:smallCaps/>
          <w:color w:val="FF0000"/>
        </w:rPr>
        <w:t>JHWH</w:t>
      </w:r>
      <w:r>
        <w:rPr/>
        <w:t xml:space="preserve">,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882"/>
        <w:t>Status</w:t>
      </w:r>
      <w:r>
        <w:rPr/>
        <w:t xml:space="preserve"> ''Für den Chorleiter </w:t>
      </w:r>
      <w:r>
        <w:rPr>
          <w:color w:val="808080"/>
        </w:rPr>
        <w:t>(Dirigenten, Singenden, Musizierenden)</w:t>
      </w:r>
      <w:r>
        <w:rPr/>
        <w:t>''.</w:t>
      </w:r>
      <w:r>
        <w:rPr>
          <w:rStyle w:val="Funotenanker"/>
        </w:rPr>
        <w:footnoteReference w:customMarkFollows="1" w:id="883"/>
        <w:t>a</w:t>
      </w:r>
      <w:r>
        <w:rPr/>
        <w:t xml:space="preserve"> ''Nach „Hirschkuh der Mörgenröte“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„Hirschkuh der Morgenröte“)</w:t>
      </w:r>
      <w:r>
        <w:rPr/>
        <w:t>.''</w:t>
      </w:r>
      <w:r>
        <w:rPr>
          <w:rStyle w:val="Funotenanker"/>
        </w:rPr>
        <w:footnoteReference w:customMarkFollows="1" w:id="884"/>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22:2]]</w:t>
      </w:r>
      <w:r>
        <w:rPr>
          <w:b/>
        </w:rPr>
        <w:t>2</w:t>
      </w:r>
      <w:r>
        <w:rPr/>
        <w:t xml:space="preserve"> {{field-on:bible}} </w:t>
        <w:br/>
        <w:t xml:space="preserve">Mein Gott, mein Gott, warum hast du mich verlassen, </w:t>
      </w:r>
      <w:r>
        <w:rPr>
          <w:b/>
          <w:color w:val="808080"/>
        </w:rPr>
        <w:t>[</w:t>
      </w:r>
      <w:r>
        <w:rPr/>
        <w:t>Warum</w:t>
      </w:r>
      <w:r>
        <w:rPr>
          <w:b/>
          <w:color w:val="808080"/>
        </w:rPr>
        <w:t>]</w:t>
      </w:r>
      <w:r>
        <w:rPr/>
        <w:t xml:space="preserve"> </w:t>
      </w:r>
      <w:r>
        <w:rPr>
          <w:b/>
          <w:color w:val="808080"/>
        </w:rPr>
        <w:t>[</w:t>
      </w:r>
      <w:r>
        <w:rPr/>
        <w:t>bist du</w:t>
      </w:r>
      <w:r>
        <w:rPr>
          <w:b/>
          <w:color w:val="808080"/>
        </w:rPr>
        <w:t>]</w:t>
      </w:r>
      <w:r>
        <w:rPr/>
        <w:t xml:space="preserve"> fern von meiner Rettung </w:t>
      </w:r>
      <w:r>
        <w:rPr>
          <w:color w:val="808080"/>
        </w:rPr>
        <w:t>(von meinem Schreien)</w:t>
      </w:r>
      <w:r>
        <w:rPr/>
        <w:t>,</w:t>
      </w:r>
      <w:r>
        <w:rPr>
          <w:rStyle w:val="Funotenanker"/>
        </w:rPr>
        <w:footnoteReference w:customMarkFollows="1" w:id="885"/>
        <w:t>c</w:t>
      </w:r>
      <w:r>
        <w:rPr/>
        <w:t xml:space="preserve"> </w:t>
      </w:r>
      <w:r>
        <w:rPr>
          <w:b/>
          <w:color w:val="808080"/>
        </w:rPr>
        <w:t>[</w:t>
      </w:r>
      <w:r>
        <w:rPr/>
        <w:t>von den</w:t>
      </w:r>
      <w:r>
        <w:rPr>
          <w:b/>
          <w:color w:val="808080"/>
        </w:rPr>
        <w:t>]</w:t>
      </w:r>
      <w:r>
        <w:rPr/>
        <w:t xml:space="preserve"> den Worten meiner Klage </w:t>
      </w:r>
      <w:r>
        <w:rPr>
          <w:color w:val="808080"/>
        </w:rPr>
        <w:t xml:space="preserve">([warum] </w:t>
      </w:r>
      <w:r>
        <w:rPr>
          <w:b/>
          <w:color w:val="808080"/>
        </w:rPr>
        <w:t>[</w:t>
      </w:r>
      <w:r>
        <w:rPr>
          <w:color w:val="808080"/>
        </w:rPr>
        <w:t>sind</w:t>
      </w:r>
      <w:r>
        <w:rPr>
          <w:b/>
          <w:color w:val="808080"/>
        </w:rPr>
        <w:t>]</w:t>
      </w:r>
      <w:r>
        <w:rPr>
          <w:color w:val="808080"/>
        </w:rPr>
        <w:t xml:space="preserve"> die Worte meiner Klage fern von meiner Rettung; [warum] </w:t>
      </w:r>
      <w:r>
        <w:rPr>
          <w:b/>
          <w:color w:val="808080"/>
        </w:rPr>
        <w:t>[</w:t>
      </w:r>
      <w:r>
        <w:rPr>
          <w:color w:val="808080"/>
        </w:rPr>
        <w:t>bist du</w:t>
      </w:r>
      <w:r>
        <w:rPr>
          <w:b/>
          <w:color w:val="808080"/>
        </w:rPr>
        <w:t>]</w:t>
      </w:r>
      <w:r>
        <w:rPr>
          <w:color w:val="808080"/>
        </w:rPr>
        <w:t xml:space="preserve"> fern von meiner Rettung, [fern von] </w:t>
      </w:r>
      <w:r>
        <w:rPr>
          <w:b/>
          <w:color w:val="808080"/>
        </w:rPr>
        <w:t>[</w:t>
      </w:r>
      <w:r>
        <w:rPr>
          <w:color w:val="808080"/>
        </w:rPr>
        <w:t>meinen</w:t>
      </w:r>
      <w:r>
        <w:rPr>
          <w:b/>
          <w:color w:val="808080"/>
        </w:rPr>
        <w:t>]</w:t>
      </w:r>
      <w:r>
        <w:rPr>
          <w:color w:val="808080"/>
        </w:rPr>
        <w:t xml:space="preserve"> Worten, oh du meine Hilfe)</w:t>
      </w:r>
      <w:r>
        <w:rPr/>
        <w:t>?</w:t>
        <w:br/>
        <w:t xml:space="preserve">{{field-off:bible}} </w:t>
        <w:br/>
        <w:t>[[@BibleTOBIBLE:Ps 22:3]]</w:t>
      </w:r>
      <w:r>
        <w:rPr>
          <w:b/>
        </w:rPr>
        <w:t>3</w:t>
      </w:r>
      <w:r>
        <w:rPr/>
        <w:t xml:space="preserve"> {{field-on:bible}} </w:t>
        <w:br/>
        <w:t xml:space="preserve">Meine Gottheit, ich rufe Tag - doch du antwortest nicht </w:t>
      </w:r>
      <w:r>
        <w:rPr>
          <w:color w:val="808080"/>
        </w:rPr>
        <w:t>(erhörst mich nicht)</w:t>
      </w:r>
      <w:r>
        <w:rPr/>
        <w:t xml:space="preserve"> ,</w:t>
      </w:r>
      <w:r>
        <w:rPr>
          <w:rStyle w:val="Funotenanker"/>
        </w:rPr>
        <w:footnoteReference w:customMarkFollows="1" w:id="886"/>
        <w:t>d</w:t>
      </w:r>
      <w:r>
        <w:rPr/>
        <w:t xml:space="preserve"> Und Nacht - doch </w:t>
      </w:r>
      <w:r>
        <w:rPr>
          <w:b/>
          <w:color w:val="808080"/>
        </w:rPr>
        <w:t>[</w:t>
      </w:r>
      <w:r>
        <w:rPr/>
        <w:t>es gibt</w:t>
      </w:r>
      <w:r>
        <w:rPr>
          <w:b/>
          <w:color w:val="808080"/>
        </w:rPr>
        <w:t>]</w:t>
      </w:r>
      <w:r>
        <w:rPr/>
        <w:t xml:space="preserve"> nicht Ruhe für mich.</w:t>
      </w:r>
      <w:r>
        <w:rPr>
          <w:rStyle w:val="Funotenanker"/>
        </w:rPr>
        <w:footnoteReference w:customMarkFollows="1" w:id="887"/>
        <w:t>e</w:t>
      </w:r>
      <w:r>
        <w:rPr/>
        <w:t xml:space="preserve"> </w:t>
        <w:br/>
        <w:br/>
        <w:t xml:space="preserve">{{field-off:bible}} </w:t>
        <w:br/>
        <w:t>[[@BibleTOBIBLE:Ps 22:4]]</w:t>
      </w:r>
      <w:r>
        <w:rPr>
          <w:b/>
        </w:rPr>
        <w:t>4</w:t>
      </w:r>
      <w:r>
        <w:rPr/>
        <w:t xml:space="preserve"> {{field-on:bible}} </w:t>
        <w:br/>
      </w:r>
      <w:r>
        <w:rPr>
          <w:b/>
          <w:color w:val="808080"/>
        </w:rPr>
        <w:t>[</w:t>
      </w:r>
      <w:r>
        <w:rPr/>
        <w:t>Auf</w:t>
      </w:r>
      <w:r>
        <w:rPr>
          <w:b/>
          <w:color w:val="808080"/>
        </w:rPr>
        <w:t>]</w:t>
      </w:r>
      <w:r>
        <w:rPr/>
        <w:t xml:space="preserve"> </w:t>
      </w:r>
      <w:r>
        <w:rPr>
          <w:rStyle w:val="Funotenanker"/>
        </w:rPr>
        <w:footnoteReference w:customMarkFollows="1" w:id="888"/>
        <w:t>f</w:t>
      </w:r>
      <w:r>
        <w:rPr/>
        <w:t xml:space="preserve"> dich - den Heiligen,Der du thronst über den Lobgesängen Israels</w:t>
      </w:r>
      <w:r>
        <w:rPr>
          <w:rStyle w:val="Funotenanker"/>
        </w:rPr>
        <w:footnoteReference w:customMarkFollows="1" w:id="889"/>
        <w:t>g</w:t>
      </w:r>
      <w:r>
        <w:rPr/>
        <w:t xml:space="preserve"> </w:t>
      </w:r>
      <w:r>
        <w:rPr>
          <w:color w:val="808080"/>
        </w:rPr>
        <w:t>(Dabei thronst du doch als der Heilige / über den Lobgesängen Israels; Dabei bist du doch heilig/der Heilige, / thronst über den Lobgesängen Israels)</w:t>
      </w:r>
      <w:r>
        <w:rPr/>
        <w:t xml:space="preserve"> - </w:t>
        <w:br/>
        <w:t xml:space="preserve">{{field-off:bible}} </w:t>
        <w:br/>
        <w:t>[[@BibleTOBIBLE:Ps 22:5]]</w:t>
      </w:r>
      <w:r>
        <w:rPr>
          <w:b/>
        </w:rPr>
        <w:t>5</w:t>
      </w:r>
      <w:r>
        <w:rPr/>
        <w:t xml:space="preserve"> {{field-on:bible}} </w:t>
        <w:br/>
        <w:t xml:space="preserve">Auf dich vertrauten </w:t>
      </w:r>
      <w:r>
        <w:rPr>
          <w:b/>
          <w:color w:val="808080"/>
        </w:rPr>
        <w:t>[</w:t>
      </w:r>
      <w:r>
        <w:rPr/>
        <w:t>doch schon</w:t>
      </w:r>
      <w:r>
        <w:rPr>
          <w:b/>
          <w:color w:val="808080"/>
        </w:rPr>
        <w:t>]</w:t>
      </w:r>
      <w:r>
        <w:rPr/>
        <w:t xml:space="preserve"> unsere Vorfahren:</w:t>
        <w:br/>
        <w:t>Sie vertrauten - und du hast sie befreit.</w:t>
        <w:br/>
        <w:t xml:space="preserve">{{field-off:bible}} </w:t>
        <w:br/>
        <w:t>[[@BibleTOBIBLE:Ps 22:6]]</w:t>
      </w:r>
      <w:r>
        <w:rPr>
          <w:b/>
        </w:rPr>
        <w:t>6</w:t>
      </w:r>
      <w:r>
        <w:rPr/>
        <w:t xml:space="preserve"> {{field-on:bible}} </w:t>
        <w:br/>
        <w:t>Zu dir schrien sie - und wurden gerettet, Auf dich vertrauten sie - und wurden nicht zuschanden.</w:t>
        <w:br/>
        <w:br/>
        <w:t xml:space="preserve">{{field-off:bible}} </w:t>
        <w:br/>
        <w:t>[[@BibleTOBIBLE:Ps 22:7]]</w:t>
      </w:r>
      <w:r>
        <w:rPr>
          <w:b/>
        </w:rPr>
        <w:t>7</w:t>
      </w:r>
      <w:r>
        <w:rPr/>
        <w:t xml:space="preserve"> {{field-on:bible}} </w:t>
        <w:br/>
        <w:t xml:space="preserve">Ich aber bin ein Wurm und kein Mensch </w:t>
      </w:r>
      <w:r>
        <w:rPr>
          <w:color w:val="808080"/>
        </w:rPr>
        <w:t>(Bin ich etwa ein Wurm und kein Mensch!? / Bin ja der Leute Spott...)</w:t>
      </w:r>
      <w:r>
        <w:rPr/>
        <w:t>Der Leute Spott und verachtet vom Volk.</w:t>
        <w:br/>
        <w:t xml:space="preserve">{{field-off:bible}} </w:t>
        <w:br/>
        <w:t>[[@BibleTOBIBLE:Ps 22:8]]</w:t>
      </w:r>
      <w:r>
        <w:rPr>
          <w:b/>
        </w:rPr>
        <w:t>8</w:t>
      </w:r>
      <w:r>
        <w:rPr/>
        <w:t xml:space="preserve"> {{field-on:bible}} </w:t>
        <w:br/>
        <w:t>Alle, die mich sehen, verhöhnen mich, Reißen die Lippe</w:t>
      </w:r>
      <w:r>
        <w:rPr>
          <w:b/>
          <w:color w:val="808080"/>
        </w:rPr>
        <w:t>[</w:t>
      </w:r>
      <w:r>
        <w:rPr/>
        <w:t>n</w:t>
      </w:r>
      <w:r>
        <w:rPr>
          <w:b/>
          <w:color w:val="808080"/>
        </w:rPr>
        <w:t>]</w:t>
      </w:r>
      <w:r>
        <w:rPr/>
        <w:t xml:space="preserve"> auf, schütteln den Kopf</w:t>
      </w:r>
      <w:r>
        <w:rPr>
          <w:rStyle w:val="Funotenanker"/>
        </w:rPr>
        <w:footnoteReference w:customMarkFollows="1" w:id="890"/>
        <w:t>h</w:t>
      </w:r>
      <w:r>
        <w:rPr/>
        <w:t xml:space="preserve"> </w:t>
      </w:r>
      <w:r>
        <w:rPr>
          <w:b/>
          <w:color w:val="808080"/>
        </w:rPr>
        <w:t>[</w:t>
      </w:r>
      <w:r>
        <w:rPr/>
        <w:t>und spotten:</w:t>
      </w:r>
      <w:r>
        <w:rPr>
          <w:b/>
          <w:color w:val="808080"/>
        </w:rPr>
        <w:t>]</w:t>
      </w:r>
      <w:r>
        <w:rPr/>
        <w:t xml:space="preserve"> </w:t>
      </w:r>
      <w:r>
        <w:rPr>
          <w:rStyle w:val="Funotenanker"/>
        </w:rPr>
        <w:footnoteReference w:customMarkFollows="1" w:id="891"/>
        <w:t>i</w:t>
      </w:r>
      <w:r>
        <w:rPr/>
        <w:t xml:space="preserve"> </w:t>
        <w:br/>
        <w:t xml:space="preserve">{{field-off:bible}} </w:t>
        <w:br/>
        <w:t>[[@BibleTOBIBLE:Ps 22:9]]</w:t>
      </w:r>
      <w:r>
        <w:rPr>
          <w:b/>
        </w:rPr>
        <w:t>9</w:t>
      </w:r>
      <w:r>
        <w:rPr/>
        <w:t xml:space="preserve"> {{field-on:bible}} </w:t>
        <w:br/>
        <w:t xml:space="preserve">„Wälze </w:t>
      </w:r>
      <w:r>
        <w:rPr>
          <w:color w:val="808080"/>
        </w:rPr>
        <w:t>(Er hat gewälzt)</w:t>
      </w:r>
      <w:r>
        <w:rPr/>
        <w:t xml:space="preserve"> </w:t>
      </w:r>
      <w:r>
        <w:rPr>
          <w:b/>
          <w:color w:val="808080"/>
        </w:rPr>
        <w:t>[</w:t>
      </w:r>
      <w:r>
        <w:rPr/>
        <w:t xml:space="preserve">es </w:t>
      </w:r>
      <w:r>
        <w:rPr>
          <w:color w:val="808080"/>
        </w:rPr>
        <w:t>(dich)</w:t>
      </w:r>
      <w:r>
        <w:rPr>
          <w:b/>
          <w:color w:val="808080"/>
        </w:rPr>
        <w:t>]</w:t>
      </w:r>
      <w:r>
        <w:rPr/>
        <w:t xml:space="preserve"> </w:t>
      </w:r>
      <w:r>
        <w:rPr>
          <w:rStyle w:val="Funotenanker"/>
        </w:rPr>
        <w:footnoteReference w:customMarkFollows="1" w:id="892"/>
        <w:t>j</w:t>
      </w:r>
      <w:r>
        <w:rPr/>
        <w:t xml:space="preserve"> auf </w:t>
      </w:r>
      <w:r>
        <w:rPr>
          <w:smallCaps/>
          <w:color w:val="FF0000"/>
        </w:rPr>
        <w:t>JHWH</w:t>
      </w:r>
      <w:r>
        <w:rPr/>
        <w:t xml:space="preserve">! Der wird </w:t>
      </w:r>
      <w:r>
        <w:rPr>
          <w:color w:val="808080"/>
        </w:rPr>
        <w:t>(soll)</w:t>
      </w:r>
      <w:r>
        <w:rPr/>
        <w:t xml:space="preserve"> ihn retten, Der wird </w:t>
      </w:r>
      <w:r>
        <w:rPr>
          <w:color w:val="808080"/>
        </w:rPr>
        <w:t>(soll)</w:t>
      </w:r>
      <w:r>
        <w:rPr/>
        <w:t xml:space="preserve"> ihn befreien - er hat ja Gefallen an ihm </w:t>
      </w:r>
      <w:r>
        <w:rPr>
          <w:color w:val="808080"/>
        </w:rPr>
        <w:t>(er ist ja so gläubig)</w:t>
      </w:r>
      <w:r>
        <w:rPr/>
        <w:t>!“</w:t>
      </w:r>
      <w:r>
        <w:rPr>
          <w:rStyle w:val="Funotenanker"/>
        </w:rPr>
        <w:footnoteReference w:customMarkFollows="1" w:id="893"/>
        <w:t>k</w:t>
      </w:r>
      <w:r>
        <w:rPr/>
        <w:t xml:space="preserve"> </w:t>
        <w:br/>
        <w:br/>
        <w:t xml:space="preserve">{{field-off:bible}} </w:t>
        <w:br/>
        <w:t>[[@BibleTOBIBLE:Ps 22:10]]</w:t>
      </w:r>
      <w:r>
        <w:rPr>
          <w:b/>
        </w:rPr>
        <w:t>10</w:t>
      </w:r>
      <w:r>
        <w:rPr/>
        <w:t xml:space="preserve"> {{field-on:bible}} </w:t>
        <w:br/>
        <w:t xml:space="preserve">Ach! </w:t>
      </w:r>
      <w:r>
        <w:rPr>
          <w:color w:val="808080"/>
        </w:rPr>
        <w:t>(So ists!, Denn)</w:t>
      </w:r>
      <w:r>
        <w:rPr/>
        <w:t xml:space="preserve"> Du </w:t>
      </w:r>
      <w:r>
        <w:rPr>
          <w:b/>
          <w:color w:val="808080"/>
        </w:rPr>
        <w:t>[</w:t>
      </w:r>
      <w:r>
        <w:rPr/>
        <w:t>warst</w:t>
      </w:r>
      <w:r>
        <w:rPr>
          <w:b/>
          <w:color w:val="808080"/>
        </w:rPr>
        <w:t>]</w:t>
      </w:r>
      <w:r>
        <w:rPr/>
        <w:t xml:space="preserve"> es </w:t>
      </w:r>
      <w:r>
        <w:rPr>
          <w:b/>
          <w:color w:val="808080"/>
        </w:rPr>
        <w:t>[</w:t>
      </w:r>
      <w:r>
        <w:rPr/>
        <w:t>doch</w:t>
      </w:r>
      <w:r>
        <w:rPr>
          <w:b/>
          <w:color w:val="808080"/>
        </w:rPr>
        <w:t>]</w:t>
      </w:r>
      <w:r>
        <w:rPr/>
        <w:t>, der mich aus dem Schoß hervorbrechen ließ,</w:t>
      </w:r>
      <w:r>
        <w:rPr>
          <w:rStyle w:val="Funotenanker"/>
        </w:rPr>
        <w:footnoteReference w:customMarkFollows="1" w:id="894"/>
        <w:t>l</w:t>
      </w:r>
      <w:r>
        <w:rPr/>
        <w:t xml:space="preserve">Der mir Vertrauen einflößte </w:t>
      </w:r>
      <w:r>
        <w:rPr>
          <w:color w:val="808080"/>
        </w:rPr>
        <w:t>(dem ich vertraute)</w:t>
      </w:r>
      <w:r>
        <w:rPr/>
        <w:t xml:space="preserve"> </w:t>
      </w:r>
      <w:r>
        <w:rPr>
          <w:rStyle w:val="Funotenanker"/>
        </w:rPr>
        <w:footnoteReference w:customMarkFollows="1" w:id="895"/>
        <w:t>m</w:t>
      </w:r>
      <w:r>
        <w:rPr/>
        <w:t xml:space="preserve"> </w:t>
      </w:r>
      <w:r>
        <w:rPr>
          <w:b/>
          <w:color w:val="808080"/>
        </w:rPr>
        <w:t>[</w:t>
      </w:r>
      <w:r>
        <w:rPr/>
        <w:t>schon</w:t>
      </w:r>
      <w:r>
        <w:rPr>
          <w:b/>
          <w:color w:val="808080"/>
        </w:rPr>
        <w:t>]</w:t>
      </w:r>
      <w:r>
        <w:rPr/>
        <w:t xml:space="preserve"> an der Brust meiner Mutter.</w:t>
        <w:br/>
        <w:t xml:space="preserve">{{field-off:bible}} </w:t>
        <w:br/>
        <w:t>[[@BibleTOBIBLE:Ps 22:11]]</w:t>
      </w:r>
      <w:r>
        <w:rPr>
          <w:b/>
        </w:rPr>
        <w:t>11</w:t>
      </w:r>
      <w:r>
        <w:rPr/>
        <w:t xml:space="preserve"> {{field-on:bible}} </w:t>
        <w:br/>
        <w:t xml:space="preserve">Auf dich bin ich geworfen </w:t>
      </w:r>
      <w:r>
        <w:rPr>
          <w:b/>
          <w:color w:val="808080"/>
        </w:rPr>
        <w:t>[</w:t>
      </w:r>
      <w:r>
        <w:rPr/>
        <w:t>schon</w:t>
      </w:r>
      <w:r>
        <w:rPr>
          <w:b/>
          <w:color w:val="808080"/>
        </w:rPr>
        <w:t>]</w:t>
      </w:r>
      <w:r>
        <w:rPr/>
        <w:t xml:space="preserve"> vom Mutterleib an,</w:t>
      </w:r>
      <w:r>
        <w:rPr>
          <w:rStyle w:val="Funotenanker"/>
        </w:rPr>
        <w:footnoteReference w:customMarkFollows="1" w:id="896"/>
        <w:t>n</w:t>
      </w:r>
      <w:r>
        <w:rPr/>
        <w:t xml:space="preserve"> </w:t>
      </w:r>
      <w:r>
        <w:rPr>
          <w:b/>
          <w:color w:val="808080"/>
        </w:rPr>
        <w:t>[</w:t>
      </w:r>
      <w:r>
        <w:rPr/>
        <w:t>Schon</w:t>
      </w:r>
      <w:r>
        <w:rPr>
          <w:b/>
          <w:color w:val="808080"/>
        </w:rPr>
        <w:t>]</w:t>
      </w:r>
      <w:r>
        <w:rPr/>
        <w:t xml:space="preserve"> von meiner Mutter Schoß an bist du mein Gott.</w:t>
        <w:br/>
        <w:br/>
        <w:t xml:space="preserve">{{field-off:bible}} </w:t>
        <w:br/>
        <w:t>[[@BibleTOBIBLE:Ps 22:12]]</w:t>
      </w:r>
      <w:r>
        <w:rPr>
          <w:b/>
        </w:rPr>
        <w:t>12</w:t>
      </w:r>
      <w:r>
        <w:rPr/>
        <w:t xml:space="preserve"> {{field-on:bible}} </w:t>
        <w:br/>
        <w:t xml:space="preserve">Sei nicht fern von mir, Denn die Enge </w:t>
      </w:r>
      <w:r>
        <w:rPr>
          <w:color w:val="808080"/>
        </w:rPr>
        <w:t>(Bedrängnis)</w:t>
      </w:r>
      <w:r>
        <w:rPr/>
        <w:t xml:space="preserve"> </w:t>
      </w:r>
      <w:r>
        <w:rPr>
          <w:b/>
          <w:color w:val="808080"/>
        </w:rPr>
        <w:t>[</w:t>
      </w:r>
      <w:r>
        <w:rPr/>
        <w:t>ist</w:t>
      </w:r>
      <w:r>
        <w:rPr>
          <w:b/>
          <w:color w:val="808080"/>
        </w:rPr>
        <w:t>]</w:t>
      </w:r>
      <w:r>
        <w:rPr/>
        <w:t xml:space="preserve"> nahe;</w:t>
      </w:r>
      <w:r>
        <w:rPr>
          <w:rStyle w:val="Funotenanker"/>
        </w:rPr>
        <w:footnoteReference w:customMarkFollows="1" w:id="897"/>
        <w:t>o</w:t>
      </w:r>
      <w:r>
        <w:rPr/>
        <w:t xml:space="preserve"> </w:t>
      </w:r>
      <w:r>
        <w:rPr>
          <w:b/>
          <w:color w:val="808080"/>
        </w:rPr>
        <w:t>[</w:t>
      </w:r>
      <w:r>
        <w:rPr/>
        <w:t>Denn</w:t>
      </w:r>
      <w:r>
        <w:rPr>
          <w:b/>
          <w:color w:val="808080"/>
        </w:rPr>
        <w:t>]</w:t>
      </w:r>
      <w:r>
        <w:rPr/>
        <w:t xml:space="preserve"> kein Beschützer ist da.</w:t>
        <w:br/>
        <w:t xml:space="preserve">{{field-off:bible}} </w:t>
        <w:br/>
        <w:t>[[@BibleTOBIBLE:Ps 22:13]]</w:t>
      </w:r>
      <w:r>
        <w:rPr>
          <w:b/>
        </w:rPr>
        <w:t>13</w:t>
      </w:r>
      <w:r>
        <w:rPr/>
        <w:t xml:space="preserve"> {{field-on:bible}} </w:t>
        <w:br/>
        <w:t xml:space="preserve">Es umgeben mich mächtige </w:t>
      </w:r>
      <w:r>
        <w:rPr>
          <w:color w:val="808080"/>
        </w:rPr>
        <w:t>(zahlreiche)</w:t>
      </w:r>
      <w:r>
        <w:rPr/>
        <w:t xml:space="preserve"> Stiere, Gewaltige Baschan</w:t>
      </w:r>
      <w:r>
        <w:rPr>
          <w:b/>
          <w:color w:val="808080"/>
        </w:rPr>
        <w:t>[</w:t>
      </w:r>
      <w:r>
        <w:rPr/>
        <w:t>stiere</w:t>
      </w:r>
      <w:r>
        <w:rPr>
          <w:b/>
          <w:color w:val="808080"/>
        </w:rPr>
        <w:t>]</w:t>
      </w:r>
      <w:r>
        <w:rPr/>
        <w:t xml:space="preserve"> </w:t>
      </w:r>
      <w:r>
        <w:rPr>
          <w:rStyle w:val="Funotenanker"/>
        </w:rPr>
        <w:footnoteReference w:customMarkFollows="1" w:id="898"/>
        <w:t>p</w:t>
      </w:r>
      <w:r>
        <w:rPr/>
        <w:t xml:space="preserve"> umringen mich.</w:t>
        <w:br/>
        <w:t xml:space="preserve">{{field-off:bible}} </w:t>
        <w:br/>
        <w:t>[[@BibleTOBIBLE:Ps 22:14]]</w:t>
      </w:r>
      <w:r>
        <w:rPr>
          <w:b/>
        </w:rPr>
        <w:t>14</w:t>
      </w:r>
      <w:r>
        <w:rPr/>
        <w:t xml:space="preserve"> {{field-on:bible}} </w:t>
        <w:br/>
        <w:t xml:space="preserve">Es sperren ihr Maul auf gegen michReißende, brüllende Löwen </w:t>
      </w:r>
      <w:r>
        <w:rPr>
          <w:color w:val="808080"/>
        </w:rPr>
        <w:t xml:space="preserve">(Sie sperren ihr Maul gegen mich auf / </w:t>
      </w:r>
      <w:r>
        <w:rPr>
          <w:b/>
          <w:color w:val="808080"/>
        </w:rPr>
        <w:t>[</w:t>
      </w:r>
      <w:r>
        <w:rPr>
          <w:color w:val="808080"/>
        </w:rPr>
        <w:t>wie</w:t>
      </w:r>
      <w:r>
        <w:rPr>
          <w:b/>
          <w:color w:val="808080"/>
        </w:rPr>
        <w:t>]</w:t>
      </w:r>
      <w:r>
        <w:rPr>
          <w:color w:val="808080"/>
        </w:rPr>
        <w:t xml:space="preserve"> ein reißender, brüllender Löwe)</w:t>
      </w:r>
      <w:r>
        <w:rPr/>
        <w:t>.</w:t>
      </w:r>
      <w:r>
        <w:rPr>
          <w:rStyle w:val="Funotenanker"/>
        </w:rPr>
        <w:footnoteReference w:customMarkFollows="1" w:id="899"/>
        <w:t>q</w:t>
      </w:r>
      <w:r>
        <w:rPr/>
        <w:t xml:space="preserve"> </w:t>
        <w:br/>
        <w:br/>
        <w:t xml:space="preserve">{{field-off:bible}} </w:t>
        <w:br/>
        <w:t>[[@BibleTOBIBLE:Ps 22:15]]</w:t>
      </w:r>
      <w:r>
        <w:rPr>
          <w:b/>
        </w:rPr>
        <w:t>15</w:t>
      </w:r>
      <w:r>
        <w:rPr/>
        <w:t xml:space="preserve"> {{field-on:bible}} </w:t>
        <w:br/>
        <w:t xml:space="preserve">Wie Wasser bin ich ausgeschüttet,Und es sind gelöst all meine Gebeine. </w:t>
        <w:br/>
        <w:t xml:space="preserve">Es ist mein Herz wie </w:t>
      </w:r>
      <w:r>
        <w:rPr>
          <w:strike/>
          <w:color w:val="808080"/>
        </w:rPr>
        <w:t>{das}</w:t>
      </w:r>
      <w:r>
        <w:rPr/>
        <w:t xml:space="preserve"> </w:t>
      </w:r>
      <w:r>
        <w:rPr>
          <w:rStyle w:val="Funotenanker"/>
        </w:rPr>
        <w:footnoteReference w:customMarkFollows="1" w:id="900"/>
        <w:t>r</w:t>
      </w:r>
      <w:r>
        <w:rPr/>
        <w:t xml:space="preserve"> Wachs -Es zerschmilzt in meiner Brust.</w:t>
      </w:r>
      <w:r>
        <w:rPr>
          <w:rStyle w:val="Funotenanker"/>
        </w:rPr>
        <w:footnoteReference w:customMarkFollows="1" w:id="901"/>
        <w:t>s</w:t>
      </w:r>
      <w:r>
        <w:rPr/>
        <w:t xml:space="preserve"> </w:t>
        <w:br/>
        <w:t xml:space="preserve">{{field-off:bible}} </w:t>
        <w:br/>
        <w:t>[[@BibleTOBIBLE:Ps 22:16]]</w:t>
      </w:r>
      <w:r>
        <w:rPr>
          <w:b/>
        </w:rPr>
        <w:t>16</w:t>
      </w:r>
      <w:r>
        <w:rPr/>
        <w:t xml:space="preserve"> {{field-on:bible}} </w:t>
        <w:br/>
        <w:t xml:space="preserve">Trocken wie eine </w:t>
      </w:r>
      <w:r>
        <w:rPr>
          <w:b/>
          <w:color w:val="808080"/>
        </w:rPr>
        <w:t>[</w:t>
      </w:r>
      <w:r>
        <w:rPr/>
        <w:t>Ton</w:t>
      </w:r>
      <w:r>
        <w:rPr>
          <w:b/>
          <w:color w:val="808080"/>
        </w:rPr>
        <w:t>]</w:t>
      </w:r>
      <w:r>
        <w:rPr/>
        <w:t xml:space="preserve">scherbe ist meine Kraft </w:t>
      </w:r>
      <w:r>
        <w:rPr>
          <w:color w:val="808080"/>
        </w:rPr>
        <w:t>(Kehle)</w:t>
      </w:r>
      <w:r>
        <w:rPr/>
        <w:t>,</w:t>
      </w:r>
      <w:r>
        <w:rPr>
          <w:rStyle w:val="Funotenanker"/>
        </w:rPr>
        <w:footnoteReference w:customMarkFollows="1" w:id="902"/>
        <w:t>t</w:t>
      </w:r>
      <w:r>
        <w:rPr/>
        <w:t xml:space="preserve"> Meine Zunge klebt mir am Gaumen.</w:t>
      </w:r>
      <w:r>
        <w:rPr>
          <w:rStyle w:val="Funotenanker"/>
        </w:rPr>
        <w:footnoteReference w:customMarkFollows="1" w:id="903"/>
        <w:t>u</w:t>
      </w:r>
      <w:r>
        <w:rPr/>
        <w:t xml:space="preserve"> </w:t>
        <w:br/>
      </w:r>
      <w:r>
        <w:rPr>
          <w:b/>
          <w:color w:val="808080"/>
        </w:rPr>
        <w:t>[</w:t>
      </w:r>
      <w:r>
        <w:rPr/>
        <w:t>Bald</w:t>
      </w:r>
      <w:r>
        <w:rPr>
          <w:b/>
          <w:color w:val="808080"/>
        </w:rPr>
        <w:t>]</w:t>
      </w:r>
      <w:r>
        <w:rPr/>
        <w:t xml:space="preserve"> wirst du mich in den Staub des Todes legen</w:t>
      </w:r>
      <w:r>
        <w:rPr>
          <w:rStyle w:val="Funotenanker"/>
        </w:rPr>
        <w:footnoteReference w:customMarkFollows="1" w:id="904"/>
        <w:t>v</w:t>
      </w:r>
      <w:r>
        <w:rPr/>
        <w:t xml:space="preserve"> können </w:t>
      </w:r>
      <w:r>
        <w:rPr>
          <w:color w:val="808080"/>
        </w:rPr>
        <w:t>(Willst du mich in den Staub des Todes legen?)</w:t>
      </w:r>
      <w:r>
        <w:rPr/>
        <w:t>.</w:t>
        <w:br/>
        <w:br/>
        <w:t xml:space="preserve">{{field-off:bible}} </w:t>
        <w:br/>
        <w:t>[[@BibleTOBIBLE:Ps 22:17]]</w:t>
      </w:r>
      <w:r>
        <w:rPr>
          <w:b/>
        </w:rPr>
        <w:t>17</w:t>
      </w:r>
      <w:r>
        <w:rPr/>
        <w:t xml:space="preserve"> {{field-on:bible}} </w:t>
        <w:br/>
        <w:t xml:space="preserve">Ach!, Es umgeben mich Hunde, Eine Rotte von Übeltätern umzingelt </w:t>
      </w:r>
      <w:r>
        <w:rPr>
          <w:color w:val="808080"/>
        </w:rPr>
        <w:t>(umkreist)</w:t>
      </w:r>
      <w:r>
        <w:rPr/>
        <w:t xml:space="preserve"> mich. </w:t>
        <w:br/>
        <w:t xml:space="preserve">Aufgegraben sind </w:t>
      </w:r>
      <w:r>
        <w:rPr>
          <w:color w:val="808080"/>
        </w:rPr>
        <w:t xml:space="preserve">([wie] {der} </w:t>
      </w:r>
      <w:r>
        <w:rPr>
          <w:b/>
          <w:color w:val="808080"/>
        </w:rPr>
        <w:t>[</w:t>
      </w:r>
      <w:r>
        <w:rPr>
          <w:color w:val="808080"/>
        </w:rPr>
        <w:t>ein</w:t>
      </w:r>
      <w:r>
        <w:rPr>
          <w:b/>
          <w:color w:val="808080"/>
        </w:rPr>
        <w:t>]</w:t>
      </w:r>
      <w:r>
        <w:rPr>
          <w:color w:val="808080"/>
        </w:rPr>
        <w:t xml:space="preserve"> Löwe, gebunden sind)</w:t>
      </w:r>
      <w:r>
        <w:rPr/>
        <w:t xml:space="preserve"> </w:t>
      </w:r>
      <w:r>
        <w:rPr>
          <w:rStyle w:val="Funotenanker"/>
        </w:rPr>
        <w:footnoteReference w:customMarkFollows="1" w:id="905"/>
        <w:t>w</w:t>
      </w:r>
      <w:r>
        <w:rPr/>
        <w:t xml:space="preserve"> meine Hände und Füße.</w:t>
        <w:br/>
        <w:t xml:space="preserve">{{field-off:bible}} </w:t>
        <w:br/>
        <w:t>[[@BibleTOBIBLE:Ps 22:18]]</w:t>
      </w:r>
      <w:r>
        <w:rPr>
          <w:b/>
        </w:rPr>
        <w:t>18</w:t>
      </w:r>
      <w:r>
        <w:rPr/>
        <w:t xml:space="preserve"> {{field-on:bible}} </w:t>
        <w:br/>
        <w:t>Zählen kann ich all meine Knochen.</w:t>
      </w:r>
      <w:r>
        <w:rPr>
          <w:rStyle w:val="Funotenanker"/>
        </w:rPr>
        <w:footnoteReference w:customMarkFollows="1" w:id="906"/>
        <w:t>x</w:t>
      </w:r>
      <w:r>
        <w:rPr/>
        <w:t xml:space="preserve"> </w:t>
        <w:br/>
        <w:t>Und sie wollen sich weiden, sich an mir ergötzen,</w:t>
        <w:br/>
        <w:t xml:space="preserve">{{field-off:bible}} </w:t>
        <w:br/>
        <w:t>[[@BibleTOBIBLE:Ps 22:19]]</w:t>
      </w:r>
      <w:r>
        <w:rPr>
          <w:b/>
        </w:rPr>
        <w:t>19</w:t>
      </w:r>
      <w:r>
        <w:rPr/>
        <w:t xml:space="preserve"> {{field-on:bible}} </w:t>
        <w:br/>
        <w:t>Sie wollen meine Kleider unter sich aufteilenUnd das Los um mein Gewand werfen!</w:t>
      </w:r>
      <w:r>
        <w:rPr>
          <w:rStyle w:val="Funotenanker"/>
        </w:rPr>
        <w:footnoteReference w:customMarkFollows="1" w:id="907"/>
        <w:t>y</w:t>
      </w:r>
      <w:r>
        <w:rPr/>
        <w:t xml:space="preserve"> </w:t>
        <w:br/>
        <w:br/>
        <w:t xml:space="preserve">{{field-off:bible}} </w:t>
        <w:br/>
        <w:t>[[@BibleTOBIBLE:Ps 22:20]]</w:t>
      </w:r>
      <w:r>
        <w:rPr>
          <w:b/>
        </w:rPr>
        <w:t>20</w:t>
      </w:r>
      <w:r>
        <w:rPr/>
        <w:t xml:space="preserve"> {{field-on:bible}} </w:t>
        <w:br/>
        <w:t xml:space="preserve">Aber du, </w:t>
      </w:r>
      <w:r>
        <w:rPr>
          <w:smallCaps/>
          <w:color w:val="FF0000"/>
        </w:rPr>
        <w:t>JHWH</w:t>
      </w:r>
      <w:r>
        <w:rPr/>
        <w:t>, sei nicht fern,</w:t>
      </w:r>
      <w:r>
        <w:rPr>
          <w:rStyle w:val="Funotenanker"/>
        </w:rPr>
        <w:footnoteReference w:customMarkFollows="1" w:id="908"/>
        <w:t>z</w:t>
      </w:r>
      <w:r>
        <w:rPr/>
        <w:t>Meine Hilfe, eile zu meiner Hilfe!</w:t>
      </w:r>
      <w:r>
        <w:rPr>
          <w:rStyle w:val="Funotenanker"/>
        </w:rPr>
        <w:footnoteReference w:customMarkFollows="1" w:id="909"/>
        <w:t>aa</w:t>
      </w:r>
      <w:r>
        <w:rPr/>
        <w:t xml:space="preserve"> </w:t>
        <w:br/>
        <w:t xml:space="preserve">{{field-off:bible}} </w:t>
        <w:br/>
        <w:t>[[@BibleTOBIBLE:Ps 22:21]]</w:t>
      </w:r>
      <w:r>
        <w:rPr>
          <w:b/>
        </w:rPr>
        <w:t>21</w:t>
      </w:r>
      <w:r>
        <w:rPr/>
        <w:t xml:space="preserve"> {{field-on:bible}} </w:t>
        <w:br/>
        <w:t>Bewahre vor dem Schwert mein Leben, Vor der Gewalt der Hunde</w:t>
      </w:r>
      <w:r>
        <w:rPr>
          <w:rStyle w:val="Funotenanker"/>
        </w:rPr>
        <w:footnoteReference w:customMarkFollows="1" w:id="910"/>
        <w:t>ab</w:t>
      </w:r>
      <w:r>
        <w:rPr/>
        <w:t xml:space="preserve"> mein Einziges!</w:t>
      </w:r>
      <w:r>
        <w:rPr>
          <w:rStyle w:val="Funotenanker"/>
        </w:rPr>
        <w:footnoteReference w:customMarkFollows="1" w:id="911"/>
        <w:t>ac</w:t>
      </w:r>
      <w:r>
        <w:rPr/>
        <w:t xml:space="preserve"> </w:t>
        <w:br/>
        <w:t xml:space="preserve">{{field-off:bible}} </w:t>
        <w:br/>
        <w:t>[[@BibleTOBIBLE:Ps 22:22]]</w:t>
      </w:r>
      <w:r>
        <w:rPr>
          <w:b/>
        </w:rPr>
        <w:t>22</w:t>
      </w:r>
      <w:r>
        <w:rPr/>
        <w:t xml:space="preserve"> {{field-on:bible}} </w:t>
        <w:br/>
        <w:t>Rette mich aus dem Rachen der Löwen,</w:t>
      </w:r>
      <w:r>
        <w:rPr>
          <w:rStyle w:val="Funotenanker"/>
        </w:rPr>
        <w:footnoteReference w:customMarkFollows="1" w:id="912"/>
        <w:t>ad</w:t>
      </w:r>
      <w:r>
        <w:rPr/>
        <w:t xml:space="preserve"> Vor den Hörnern der Wildstiere mein Elendes </w:t>
      </w:r>
      <w:r>
        <w:rPr>
          <w:color w:val="808080"/>
        </w:rPr>
        <w:t>(erhöre mich, du erhörst mich/hast mich erhört)</w:t>
      </w:r>
      <w:r>
        <w:rPr/>
        <w:t>.</w:t>
      </w:r>
      <w:r>
        <w:rPr>
          <w:rStyle w:val="Funotenanker"/>
        </w:rPr>
        <w:footnoteReference w:customMarkFollows="1" w:id="913"/>
        <w:t>ae</w:t>
      </w:r>
      <w:r>
        <w:rPr/>
        <w:t xml:space="preserve"> </w:t>
        <w:br/>
        <w:br/>
        <w:t xml:space="preserve">{{field-off:bible}} </w:t>
        <w:br/>
        <w:t>[[@BibleTOBIBLE:Ps 22:23]]</w:t>
      </w:r>
      <w:r>
        <w:rPr>
          <w:b/>
        </w:rPr>
        <w:t>23</w:t>
      </w:r>
      <w:r>
        <w:rPr/>
        <w:t xml:space="preserve"> {{field-on:bible}} </w:t>
        <w:br/>
        <w:t>Ich will deinen Namen</w:t>
      </w:r>
      <w:r>
        <w:rPr>
          <w:rStyle w:val="Funotenanker"/>
        </w:rPr>
        <w:footnoteReference w:customMarkFollows="1" w:id="914"/>
        <w:t>af</w:t>
      </w:r>
      <w:r>
        <w:rPr/>
        <w:t xml:space="preserve"> meinen Brüdern verkünden, In der Kultgemeinde will ich dich preisen:</w:t>
      </w:r>
      <w:r>
        <w:rPr>
          <w:rStyle w:val="Funotenanker"/>
        </w:rPr>
        <w:footnoteReference w:customMarkFollows="1" w:id="915"/>
        <w:t>ag</w:t>
      </w:r>
      <w:r>
        <w:rPr/>
        <w:t xml:space="preserve"> </w:t>
        <w:br/>
        <w:t xml:space="preserve">{{field-off:bible}} </w:t>
        <w:br/>
        <w:t>[[@BibleTOBIBLE:Ps 22:24]]</w:t>
      </w:r>
      <w:r>
        <w:rPr>
          <w:b/>
        </w:rPr>
        <w:t>24</w:t>
      </w:r>
      <w:r>
        <w:rPr/>
        <w:t xml:space="preserve"> {{field-on:bible}} </w:t>
        <w:br/>
        <w:t xml:space="preserve">„Die ihr </w:t>
      </w:r>
      <w:r>
        <w:rPr>
          <w:smallCaps/>
          <w:color w:val="FF0000"/>
        </w:rPr>
        <w:t>JHWH</w:t>
      </w:r>
      <w:r>
        <w:rPr/>
        <w:t xml:space="preserve"> fürchtet </w:t>
      </w:r>
      <w:r>
        <w:rPr>
          <w:color w:val="808080"/>
        </w:rPr>
        <w:t>(verehrt)</w:t>
      </w:r>
      <w:r>
        <w:rPr/>
        <w:t>, preist ihn, Alle Nachkommen Jakobs,</w:t>
      </w:r>
      <w:r>
        <w:rPr>
          <w:rStyle w:val="Funotenanker"/>
        </w:rPr>
        <w:footnoteReference w:customMarkFollows="1" w:id="916"/>
        <w:t>ah</w:t>
      </w:r>
      <w:r>
        <w:rPr/>
        <w:t xml:space="preserve"> ehret ihn, Erschauert</w:t>
      </w:r>
      <w:r>
        <w:rPr>
          <w:rStyle w:val="Funotenanker"/>
        </w:rPr>
        <w:footnoteReference w:customMarkFollows="1" w:id="917"/>
        <w:t>ai</w:t>
      </w:r>
      <w:r>
        <w:rPr/>
        <w:t xml:space="preserve"> vor ihm, alle Nachkommen Israels,</w:t>
        <w:br/>
        <w:t xml:space="preserve">{{field-off:bible}} </w:t>
        <w:br/>
        <w:t>[[@BibleTOBIBLE:Ps 22:25]]</w:t>
      </w:r>
      <w:r>
        <w:rPr>
          <w:b/>
        </w:rPr>
        <w:t>25</w:t>
      </w:r>
      <w:r>
        <w:rPr/>
        <w:t xml:space="preserve"> {{field-on:bible}} </w:t>
        <w:br/>
        <w:t>Denn er hat nicht verachtet und nicht verabscheut Das Elend des Elenden,</w:t>
        <w:br/>
        <w:t>Er hat nicht sein Gesicht vor ihm verborgen,</w:t>
      </w:r>
      <w:r>
        <w:rPr>
          <w:rStyle w:val="Funotenanker"/>
        </w:rPr>
        <w:footnoteReference w:customMarkFollows="1" w:id="918"/>
        <w:t>aj</w:t>
      </w:r>
      <w:r>
        <w:rPr/>
        <w:t>Und als er zu ihm schrie, erhörte er ihn!“</w:t>
        <w:br/>
        <w:br/>
        <w:t xml:space="preserve">{{field-off:bible}} </w:t>
        <w:br/>
        <w:t>[[@BibleTOBIBLE:Ps 22:26]]</w:t>
      </w:r>
      <w:r>
        <w:rPr>
          <w:b/>
        </w:rPr>
        <w:t>26</w:t>
      </w:r>
      <w:r>
        <w:rPr/>
        <w:t xml:space="preserve"> {{field-on:bible}} </w:t>
        <w:br/>
        <w:t xml:space="preserve">Von dir </w:t>
      </w:r>
      <w:r>
        <w:rPr>
          <w:b/>
          <w:color w:val="808080"/>
        </w:rPr>
        <w:t>[</w:t>
      </w:r>
      <w:r>
        <w:rPr/>
        <w:t>wird sein</w:t>
      </w:r>
      <w:r>
        <w:rPr>
          <w:b/>
          <w:color w:val="808080"/>
        </w:rPr>
        <w:t>]</w:t>
      </w:r>
      <w:r>
        <w:rPr/>
        <w:t xml:space="preserve"> mein Lobgesang in großer Kultgemeinde,</w:t>
      </w:r>
      <w:r>
        <w:rPr>
          <w:rStyle w:val="Funotenanker"/>
        </w:rPr>
        <w:footnoteReference w:customMarkFollows="1" w:id="919"/>
        <w:t>ak</w:t>
      </w:r>
      <w:r>
        <w:rPr/>
        <w:t xml:space="preserve"> Meine Gelübde werde ich vor denen erfüllen, die ihn fürchten </w:t>
      </w:r>
      <w:r>
        <w:rPr>
          <w:color w:val="808080"/>
        </w:rPr>
        <w:t>(verehren)</w:t>
      </w:r>
      <w:r>
        <w:rPr/>
        <w:t>:</w:t>
      </w:r>
      <w:r>
        <w:rPr>
          <w:rStyle w:val="Funotenanker"/>
        </w:rPr>
        <w:footnoteReference w:customMarkFollows="1" w:id="920"/>
        <w:t>al</w:t>
      </w:r>
      <w:r>
        <w:rPr/>
        <w:t xml:space="preserve"> </w:t>
        <w:br/>
        <w:t xml:space="preserve">{{field-off:bible}} </w:t>
        <w:br/>
        <w:t>[[@BibleTOBIBLE:Ps 22:27]]</w:t>
      </w:r>
      <w:r>
        <w:rPr>
          <w:b/>
        </w:rPr>
        <w:t>27</w:t>
      </w:r>
      <w:r>
        <w:rPr/>
        <w:t xml:space="preserve"> {{field-on:bible}} </w:t>
        <w:br/>
        <w:t>„Die Elenden</w:t>
      </w:r>
      <w:r>
        <w:rPr>
          <w:rStyle w:val="Funotenanker"/>
        </w:rPr>
        <w:footnoteReference w:customMarkFollows="1" w:id="921"/>
        <w:t>am</w:t>
      </w:r>
      <w:r>
        <w:rPr/>
        <w:t xml:space="preserve"> sollen essen und satt werden </w:t>
      </w:r>
      <w:r>
        <w:rPr>
          <w:color w:val="808080"/>
        </w:rPr>
        <w:t>(sollen sich satt essen)</w:t>
      </w:r>
      <w:r>
        <w:rPr/>
        <w:t xml:space="preserve">,Es sollen </w:t>
      </w:r>
      <w:r>
        <w:rPr>
          <w:smallCaps/>
          <w:color w:val="FF0000"/>
        </w:rPr>
        <w:t>JHWH</w:t>
      </w:r>
      <w:r>
        <w:rPr/>
        <w:t xml:space="preserve"> preisen, die ihn verehren.</w:t>
      </w:r>
      <w:r>
        <w:rPr>
          <w:rStyle w:val="Funotenanker"/>
        </w:rPr>
        <w:footnoteReference w:customMarkFollows="1" w:id="922"/>
        <w:t>an</w:t>
      </w:r>
      <w:r>
        <w:rPr/>
        <w:t xml:space="preserve"> </w:t>
        <w:br/>
        <w:t>Aufleben soll euer Herz für immer!“</w:t>
      </w:r>
      <w:r>
        <w:rPr>
          <w:rStyle w:val="Funotenanker"/>
        </w:rPr>
        <w:footnoteReference w:customMarkFollows="1" w:id="923"/>
        <w:t>ao</w:t>
      </w:r>
      <w:r>
        <w:rPr/>
        <w:t xml:space="preserve"> </w:t>
        <w:br/>
        <w:br/>
        <w:t xml:space="preserve">{{field-off:bible}} </w:t>
        <w:br/>
        <w:t>[[@BibleTOBIBLE:Ps 22:28]]</w:t>
      </w:r>
      <w:r>
        <w:rPr>
          <w:b/>
        </w:rPr>
        <w:t>28</w:t>
      </w:r>
      <w:r>
        <w:rPr/>
        <w:t xml:space="preserve"> {{field-on:bible}} </w:t>
        <w:br/>
        <w:t xml:space="preserve">Es werden </w:t>
      </w:r>
      <w:r>
        <w:rPr>
          <w:color w:val="808080"/>
        </w:rPr>
        <w:t>(sollen)</w:t>
      </w:r>
      <w:r>
        <w:rPr/>
        <w:t xml:space="preserve"> </w:t>
      </w:r>
      <w:r>
        <w:rPr>
          <w:b/>
          <w:color w:val="808080"/>
        </w:rPr>
        <w:t>[</w:t>
      </w:r>
      <w:r>
        <w:rPr/>
        <w:t>davon</w:t>
      </w:r>
      <w:r>
        <w:rPr>
          <w:b/>
          <w:color w:val="808080"/>
        </w:rPr>
        <w:t>]</w:t>
      </w:r>
      <w:r>
        <w:rPr/>
        <w:t xml:space="preserve"> </w:t>
      </w:r>
      <w:r>
        <w:rPr>
          <w:rStyle w:val="Funotenanker"/>
        </w:rPr>
        <w:footnoteReference w:customMarkFollows="1" w:id="924"/>
        <w:t>ap</w:t>
      </w:r>
      <w:r>
        <w:rPr/>
        <w:t xml:space="preserve"> berichten und </w:t>
      </w:r>
      <w:r>
        <w:rPr>
          <w:color w:val="808080"/>
        </w:rPr>
        <w:t xml:space="preserve">(Sie werden </w:t>
      </w:r>
      <w:r>
        <w:rPr>
          <w:b/>
          <w:color w:val="808080"/>
        </w:rPr>
        <w:t>[</w:t>
      </w:r>
      <w:r>
        <w:rPr>
          <w:color w:val="808080"/>
        </w:rPr>
        <w:t>davon</w:t>
      </w:r>
      <w:r>
        <w:rPr>
          <w:b/>
          <w:color w:val="808080"/>
        </w:rPr>
        <w:t>]</w:t>
      </w:r>
      <w:r>
        <w:rPr>
          <w:color w:val="808080"/>
        </w:rPr>
        <w:t xml:space="preserve"> berichten und dann werden)</w:t>
      </w:r>
      <w:r>
        <w:rPr/>
        <w:t xml:space="preserve"> zu </w:t>
      </w:r>
      <w:r>
        <w:rPr>
          <w:smallCaps/>
          <w:color w:val="FF0000"/>
        </w:rPr>
        <w:t>JHWH</w:t>
      </w:r>
      <w:r>
        <w:rPr/>
        <w:t xml:space="preserve"> umkehren Alle Enden der Erde</w:t>
      </w:r>
      <w:r>
        <w:rPr>
          <w:rStyle w:val="Funotenanker"/>
        </w:rPr>
        <w:footnoteReference w:customMarkFollows="1" w:id="925"/>
        <w:t>aq</w:t>
      </w:r>
      <w:r>
        <w:rPr/>
        <w:t xml:space="preserve"> </w:t>
        <w:br/>
        <w:t xml:space="preserve">Und vor dir </w:t>
      </w:r>
      <w:r>
        <w:rPr>
          <w:color w:val="808080"/>
        </w:rPr>
        <w:t>(vor ihm)</w:t>
      </w:r>
      <w:r>
        <w:rPr/>
        <w:t xml:space="preserve"> </w:t>
      </w:r>
      <w:r>
        <w:rPr>
          <w:rStyle w:val="Funotenanker"/>
        </w:rPr>
        <w:footnoteReference w:customMarkFollows="1" w:id="926"/>
        <w:t>ar</w:t>
      </w:r>
      <w:r>
        <w:rPr/>
        <w:t xml:space="preserve"> werden </w:t>
      </w:r>
      <w:r>
        <w:rPr>
          <w:color w:val="808080"/>
        </w:rPr>
        <w:t>(sollen)</w:t>
      </w:r>
      <w:r>
        <w:rPr/>
        <w:t xml:space="preserve"> sich niederwerfen Alle Sippen der Völker </w:t>
      </w:r>
      <w:r>
        <w:rPr>
          <w:b/>
          <w:color w:val="808080"/>
        </w:rPr>
        <w:t>[</w:t>
      </w:r>
      <w:r>
        <w:rPr/>
        <w:t>mit den Worten:</w:t>
      </w:r>
      <w:r>
        <w:rPr>
          <w:b/>
          <w:color w:val="808080"/>
        </w:rPr>
        <w:t>]</w:t>
      </w:r>
      <w:r>
        <w:rPr/>
        <w:t xml:space="preserve"> </w:t>
      </w:r>
      <w:r>
        <w:rPr>
          <w:rStyle w:val="Funotenanker"/>
        </w:rPr>
        <w:footnoteReference w:customMarkFollows="1" w:id="927"/>
        <w:t>as</w:t>
      </w:r>
      <w:r>
        <w:rPr/>
        <w:t xml:space="preserve"> </w:t>
        <w:br/>
        <w:t xml:space="preserve">{{field-off:bible}} </w:t>
        <w:br/>
        <w:t>[[@BibleTOBIBLE:Ps 22:29]]</w:t>
      </w:r>
      <w:r>
        <w:rPr>
          <w:b/>
        </w:rPr>
        <w:t>29</w:t>
      </w:r>
      <w:r>
        <w:rPr/>
        <w:t xml:space="preserve"> {{field-on:bible}} </w:t>
        <w:br/>
        <w:t>„</w:t>
      </w:r>
      <w:r>
        <w:rPr>
          <w:strike/>
          <w:color w:val="808080"/>
        </w:rPr>
        <w:t>{Ja!}</w:t>
      </w:r>
      <w:r>
        <w:rPr/>
        <w:t xml:space="preserve"> </w:t>
      </w:r>
      <w:r>
        <w:rPr>
          <w:color w:val="808080"/>
        </w:rPr>
        <w:t>(Ja!, Denn)</w:t>
      </w:r>
      <w:r>
        <w:rPr/>
        <w:t xml:space="preserve"> </w:t>
      </w:r>
      <w:r>
        <w:rPr>
          <w:smallCaps/>
          <w:color w:val="FF0000"/>
        </w:rPr>
        <w:t>JHWH</w:t>
      </w:r>
      <w:r>
        <w:rPr/>
        <w:t xml:space="preserve">s </w:t>
      </w:r>
      <w:r>
        <w:rPr>
          <w:b/>
          <w:color w:val="808080"/>
        </w:rPr>
        <w:t>[</w:t>
      </w:r>
      <w:r>
        <w:rPr/>
        <w:t xml:space="preserve">ist </w:t>
      </w:r>
      <w:r>
        <w:rPr>
          <w:color w:val="808080"/>
        </w:rPr>
        <w:t>(das)</w:t>
      </w:r>
      <w:r>
        <w:rPr>
          <w:b/>
          <w:color w:val="808080"/>
        </w:rPr>
        <w:t>]</w:t>
      </w:r>
      <w:r>
        <w:rPr/>
        <w:t xml:space="preserve"> das KönigtumUnd er </w:t>
      </w:r>
      <w:r>
        <w:rPr>
          <w:b/>
          <w:color w:val="808080"/>
        </w:rPr>
        <w:t>[</w:t>
      </w:r>
      <w:r>
        <w:rPr/>
        <w:t xml:space="preserve">ist </w:t>
      </w:r>
      <w:r>
        <w:rPr>
          <w:color w:val="808080"/>
        </w:rPr>
        <w:t>(sei)</w:t>
      </w:r>
      <w:r>
        <w:rPr>
          <w:b/>
          <w:color w:val="808080"/>
        </w:rPr>
        <w:t>]</w:t>
      </w:r>
      <w:r>
        <w:rPr/>
        <w:t xml:space="preserve"> Herrscher über die Völker.“</w:t>
        <w:br/>
        <w:t xml:space="preserve">{{field-off:bible}} </w:t>
        <w:br/>
        <w:t>[[@BibleTOBIBLE:Ps 22:30]]</w:t>
      </w:r>
      <w:r>
        <w:rPr>
          <w:b/>
        </w:rPr>
        <w:t>30</w:t>
      </w:r>
      <w:r>
        <w:rPr/>
        <w:t xml:space="preserve"> {{field-on:bible}} </w:t>
        <w:br/>
        <w:t xml:space="preserve">Ja, vor ihm werden sich niederwerfen </w:t>
      </w:r>
      <w:r>
        <w:rPr>
          <w:color w:val="808080"/>
        </w:rPr>
        <w:t>(Es aßen und warfen sich nieder)</w:t>
      </w:r>
      <w:r>
        <w:rPr/>
        <w:t xml:space="preserve"> </w:t>
      </w:r>
      <w:r>
        <w:rPr>
          <w:rStyle w:val="Funotenanker"/>
        </w:rPr>
        <w:footnoteReference w:customMarkFollows="1" w:id="928"/>
        <w:t>at</w:t>
      </w:r>
      <w:r>
        <w:rPr/>
        <w:t xml:space="preserve"> alle Fetten der Erde,Vor seinem Gesicht</w:t>
      </w:r>
      <w:r>
        <w:rPr>
          <w:rStyle w:val="Funotenanker"/>
        </w:rPr>
        <w:footnoteReference w:customMarkFollows="1" w:id="929"/>
        <w:t>au</w:t>
      </w:r>
      <w:r>
        <w:rPr/>
        <w:t xml:space="preserve"> sich alle beugen, die in den Staub sinken. </w:t>
        <w:br/>
        <w:t xml:space="preserve">Und </w:t>
      </w:r>
      <w:r>
        <w:rPr>
          <w:b/>
          <w:color w:val="808080"/>
        </w:rPr>
        <w:t>[</w:t>
      </w:r>
      <w:r>
        <w:rPr/>
        <w:t>wer</w:t>
      </w:r>
      <w:r>
        <w:rPr>
          <w:b/>
          <w:color w:val="808080"/>
        </w:rPr>
        <w:t>]</w:t>
      </w:r>
      <w:r>
        <w:rPr/>
        <w:t xml:space="preserve"> seine Seele nicht am Leben erhalten konnte,</w:t>
        <w:br/>
        <w:t xml:space="preserve">{{field-off:bible}} </w:t>
        <w:br/>
        <w:t>[[@BibleTOBIBLE:Ps 22:31]]</w:t>
      </w:r>
      <w:r>
        <w:rPr>
          <w:b/>
        </w:rPr>
        <w:t>31</w:t>
      </w:r>
      <w:r>
        <w:rPr/>
        <w:t xml:space="preserve"> {{field-on:bible}} </w:t>
        <w:br/>
      </w:r>
      <w:r>
        <w:rPr>
          <w:b/>
          <w:color w:val="808080"/>
        </w:rPr>
        <w:t>[</w:t>
      </w:r>
      <w:r>
        <w:rPr/>
        <w:t>bei dem</w:t>
      </w:r>
      <w:r>
        <w:rPr>
          <w:b/>
          <w:color w:val="808080"/>
        </w:rPr>
        <w:t>]</w:t>
      </w:r>
      <w:r>
        <w:rPr/>
        <w:t xml:space="preserve"> werden </w:t>
      </w:r>
      <w:r>
        <w:rPr>
          <w:b/>
          <w:color w:val="808080"/>
        </w:rPr>
        <w:t>[</w:t>
      </w:r>
      <w:r>
        <w:rPr/>
        <w:t>seine</w:t>
      </w:r>
      <w:r>
        <w:rPr>
          <w:b/>
          <w:color w:val="808080"/>
        </w:rPr>
        <w:t>]</w:t>
      </w:r>
      <w:r>
        <w:rPr/>
        <w:t xml:space="preserve"> Nachkommen ihm dienen.</w:t>
      </w:r>
      <w:r>
        <w:rPr>
          <w:rStyle w:val="Funotenanker"/>
        </w:rPr>
        <w:footnoteReference w:customMarkFollows="1" w:id="930"/>
        <w:t>av</w:t>
      </w:r>
      <w:r>
        <w:rPr/>
        <w:t xml:space="preserve"> </w:t>
        <w:br/>
        <w:t xml:space="preserve">Erzählen wird man vom Herrn der Generation, </w:t>
        <w:br/>
        <w:t xml:space="preserve">{{field-off:bible}} </w:t>
        <w:br/>
        <w:t>[[@BibleTOBIBLE:Ps 22:32]]</w:t>
      </w:r>
      <w:r>
        <w:rPr>
          <w:b/>
        </w:rPr>
        <w:t>32</w:t>
      </w:r>
      <w:r>
        <w:rPr/>
        <w:t xml:space="preserve"> {{field-on:bible}} </w:t>
        <w:br/>
        <w:t>die noch kommen wird</w:t>
      </w:r>
      <w:r>
        <w:rPr>
          <w:rStyle w:val="Funotenanker"/>
        </w:rPr>
        <w:footnoteReference w:customMarkFollows="1" w:id="931"/>
        <w:t>aw</w:t>
      </w:r>
      <w:r>
        <w:rPr/>
        <w:t xml:space="preserve"> Und verkünden seine Gerechtigkeit dem Volk, das noch geboren wird:</w:t>
        <w:br/>
        <w:t xml:space="preserve">„Er hat gehandelt </w:t>
      </w:r>
      <w:r>
        <w:rPr>
          <w:color w:val="808080"/>
        </w:rPr>
        <w:t xml:space="preserve">(hat </w:t>
      </w:r>
      <w:r>
        <w:rPr>
          <w:b/>
          <w:color w:val="808080"/>
        </w:rPr>
        <w:t>[</w:t>
      </w:r>
      <w:r>
        <w:rPr>
          <w:color w:val="808080"/>
        </w:rPr>
        <w:t>es</w:t>
      </w:r>
      <w:r>
        <w:rPr>
          <w:b/>
          <w:color w:val="808080"/>
        </w:rPr>
        <w:t>]</w:t>
      </w:r>
      <w:r>
        <w:rPr>
          <w:color w:val="808080"/>
        </w:rPr>
        <w:t xml:space="preserve"> vollbracht)</w:t>
      </w:r>
      <w:r>
        <w:rPr/>
        <w:t>!“</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932"/>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933"/>
        <w:t>a</w:t>
      </w:r>
      <w:r>
        <w:rPr/>
        <w:t xml:space="preserve"> Nichts fehlt mir </w:t>
      </w:r>
      <w:r>
        <w:rPr>
          <w:color w:val="808080"/>
        </w:rPr>
        <w:t>(wird mir fehlen)</w:t>
      </w:r>
      <w:r>
        <w:rPr/>
        <w:t xml:space="preserve"> </w:t>
      </w:r>
      <w:r>
        <w:rPr>
          <w:rStyle w:val="Funotenanker"/>
        </w:rPr>
        <w:footnoteReference w:customMarkFollows="1" w:id="934"/>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935"/>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936"/>
        <w:t>d</w:t>
      </w:r>
      <w:r>
        <w:rPr/>
        <w:t xml:space="preserve"> ausruhen </w:t>
      </w:r>
      <w:r>
        <w:rPr>
          <w:color w:val="808080"/>
        </w:rPr>
        <w:t>(hinlegen, rasten)</w:t>
      </w:r>
      <w:r>
        <w:rPr/>
        <w:t xml:space="preserve"> kann</w:t>
      </w:r>
      <w:r>
        <w:rPr>
          <w:rStyle w:val="Funotenanker"/>
        </w:rPr>
        <w:footnoteReference w:customMarkFollows="1" w:id="937"/>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938"/>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939"/>
        <w:t>g</w:t>
      </w:r>
      <w:r>
        <w:rPr/>
        <w:t xml:space="preserve"> bringt er zurück </w:t>
      </w:r>
      <w:r>
        <w:rPr>
          <w:color w:val="808080"/>
        </w:rPr>
        <w:t>(wird er erneuern, erfrischt er)</w:t>
      </w:r>
      <w:r>
        <w:rPr/>
        <w:t xml:space="preserve"> </w:t>
      </w:r>
      <w:r>
        <w:rPr>
          <w:rStyle w:val="Funotenanker"/>
        </w:rPr>
        <w:footnoteReference w:customMarkFollows="1" w:id="940"/>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941"/>
        <w:t>i</w:t>
      </w:r>
      <w:r>
        <w:rPr/>
        <w:t xml:space="preserve"> gehe </w:t>
      </w:r>
      <w:r>
        <w:rPr>
          <w:color w:val="808080"/>
        </w:rPr>
        <w:t>(gehen werde/muss/sollte, gerate</w:t>
      </w:r>
      <w:r>
        <w:rPr/>
        <w:t xml:space="preserve"> </w:t>
      </w:r>
      <w:r>
        <w:rPr>
          <w:rStyle w:val="Funotenanker"/>
        </w:rPr>
        <w:footnoteReference w:customMarkFollows="1" w:id="942"/>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943"/>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944"/>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945"/>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946"/>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947"/>
        <w:t>o</w:t>
      </w:r>
      <w:r>
        <w:rPr/>
        <w:t xml:space="preserve"> </w:t>
      </w:r>
      <w:r>
        <w:rPr>
          <w:color w:val="808080"/>
        </w:rPr>
        <w:t>(meines Feindes</w:t>
      </w:r>
      <w:r>
        <w:rPr/>
        <w:t xml:space="preserve"> </w:t>
      </w:r>
      <w:r>
        <w:rPr>
          <w:rStyle w:val="Funotenanker"/>
        </w:rPr>
        <w:footnoteReference w:customMarkFollows="1" w:id="948"/>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949"/>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950"/>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951"/>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952"/>
        <w:t>t</w:t>
      </w:r>
      <w:r>
        <w:rPr/>
        <w:t xml:space="preserve"> </w:t>
      </w:r>
      <w:r>
        <w:rPr>
          <w:color w:val="808080"/>
        </w:rPr>
        <w:t>zurückkehren)</w:t>
      </w:r>
      <w:r>
        <w:rPr/>
        <w:t xml:space="preserve"> </w:t>
      </w:r>
      <w:r>
        <w:rPr>
          <w:rStyle w:val="Funotenanker"/>
        </w:rPr>
        <w:footnoteReference w:customMarkFollows="1" w:id="953"/>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954"/>
        <w:t>Status</w:t>
      </w:r>
      <w:r>
        <w:rPr/>
        <w:t xml:space="preserve"> Ein Psalm </w:t>
      </w:r>
      <w:r>
        <w:rPr>
          <w:color w:val="808080"/>
        </w:rPr>
        <w:t>(begleitetes Lied)</w:t>
      </w:r>
      <w:r>
        <w:rPr/>
        <w:t>. Ein Lied zur Tempelweihe</w:t>
      </w:r>
      <w:r>
        <w:rPr>
          <w:rStyle w:val="Funotenanker"/>
        </w:rPr>
        <w:footnoteReference w:customMarkFollows="1" w:id="955"/>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956"/>
        <w:t>b</w:t>
      </w:r>
      <w:r>
        <w:rPr/>
        <w:t xml:space="preserve"> du mich herausgeschöpft </w:t>
      </w:r>
      <w:r>
        <w:rPr>
          <w:color w:val="808080"/>
        </w:rPr>
        <w:t>(emporgezogen)</w:t>
      </w:r>
      <w:r>
        <w:rPr/>
        <w:t xml:space="preserve"> </w:t>
      </w:r>
      <w:r>
        <w:rPr>
          <w:rStyle w:val="Funotenanker"/>
        </w:rPr>
        <w:footnoteReference w:customMarkFollows="1" w:id="957"/>
        <w:t>c</w:t>
      </w:r>
      <w:r>
        <w:rPr/>
        <w:t xml:space="preserve"> </w:t>
      </w:r>
      <w:r>
        <w:rPr>
          <w:rStyle w:val="Funotenanker"/>
        </w:rPr>
        <w:footnoteReference w:customMarkFollows="1" w:id="958"/>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959"/>
        <w:t>e</w:t>
      </w:r>
      <w:r>
        <w:rPr/>
        <w:t xml:space="preserve"> sich nicht über mich </w:t>
      </w:r>
      <w:r>
        <w:rPr>
          <w:color w:val="808080"/>
        </w:rPr>
        <w:t>(meine meinigen Feinde sich nicht)</w:t>
      </w:r>
      <w:r>
        <w:rPr/>
        <w:t xml:space="preserve"> </w:t>
      </w:r>
      <w:r>
        <w:rPr>
          <w:rStyle w:val="Funotenanker"/>
        </w:rPr>
        <w:footnoteReference w:customMarkFollows="1" w:id="960"/>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961"/>
        <w:t>g</w:t>
      </w:r>
      <w:r>
        <w:rPr/>
        <w:t xml:space="preserve"> aus dem Scheol </w:t>
      </w:r>
      <w:r>
        <w:rPr>
          <w:color w:val="808080"/>
        </w:rPr>
        <w:t>(aus der Unterwelt, aus der Totenwelt)</w:t>
      </w:r>
      <w:r>
        <w:rPr/>
        <w:t xml:space="preserve"> heraufgeholt</w:t>
      </w:r>
      <w:r>
        <w:rPr>
          <w:rStyle w:val="Funotenanker"/>
        </w:rPr>
        <w:footnoteReference w:customMarkFollows="1" w:id="962"/>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963"/>
        <w:t>i</w:t>
      </w:r>
      <w:r>
        <w:rPr/>
        <w:t xml:space="preserve"> Hinabgefahrenen </w:t>
      </w:r>
      <w:r>
        <w:rPr>
          <w:color w:val="808080"/>
        </w:rPr>
        <w:t>(bewahrt vom Hinabfahren)</w:t>
      </w:r>
      <w:r>
        <w:rPr/>
        <w:t xml:space="preserve"> </w:t>
      </w:r>
      <w:r>
        <w:rPr>
          <w:rStyle w:val="Funotenanker"/>
        </w:rPr>
        <w:footnoteReference w:customMarkFollows="1" w:id="964"/>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965"/>
        <w:t>k</w:t>
      </w:r>
      <w:r>
        <w:rPr/>
        <w:t xml:space="preserve"> </w:t>
      </w:r>
      <w:r>
        <w:rPr>
          <w:smallCaps/>
          <w:color w:val="FF0000"/>
        </w:rPr>
        <w:t>JHWH</w:t>
      </w:r>
      <w:r>
        <w:rPr/>
        <w:t>, ihr seine Frommen</w:t>
      </w:r>
      <w:r>
        <w:rPr>
          <w:rStyle w:val="Funotenanker"/>
        </w:rPr>
        <w:footnoteReference w:customMarkFollows="1" w:id="966"/>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967"/>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968"/>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969"/>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970"/>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971"/>
        <w:t>q</w:t>
      </w:r>
      <w:r>
        <w:rPr/>
        <w:t xml:space="preserve"> in meiner Sorglosigkeit sprach: „Niemals werde ich wanken</w:t>
      </w:r>
      <w:r>
        <w:rPr>
          <w:rStyle w:val="Funotenanker"/>
        </w:rPr>
        <w:footnoteReference w:customMarkFollows="1" w:id="972"/>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973"/>
        <w:t>s</w:t>
      </w:r>
      <w:r>
        <w:rPr/>
        <w:t xml:space="preserve">, mich in deiner Gunst standhafter als die starken </w:t>
      </w:r>
      <w:r>
        <w:rPr>
          <w:color w:val="808080"/>
        </w:rPr>
        <w:t>(sicheren)</w:t>
      </w:r>
      <w:r>
        <w:rPr/>
        <w:t xml:space="preserve"> Berge gemacht hast,</w:t>
      </w:r>
      <w:r>
        <w:rPr>
          <w:rStyle w:val="Funotenanker"/>
        </w:rPr>
        <w:footnoteReference w:customMarkFollows="1" w:id="974"/>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975"/>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wurde vernichtet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976"/>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977"/>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978"/>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979"/>
        <w:t>y</w:t>
      </w:r>
      <w:r>
        <w:rPr/>
        <w:t>?</w:t>
        <w:br/>
        <w:t xml:space="preserve">Kann Lehm </w:t>
      </w:r>
      <w:r>
        <w:rPr>
          <w:color w:val="808080"/>
        </w:rPr>
        <w:t>(Staub, können Tote)</w:t>
      </w:r>
      <w:r>
        <w:rPr/>
        <w:t xml:space="preserve"> </w:t>
      </w:r>
      <w:r>
        <w:rPr>
          <w:rStyle w:val="Funotenanker"/>
        </w:rPr>
        <w:footnoteReference w:customMarkFollows="1" w:id="980"/>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981"/>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982"/>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983"/>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984"/>
        <w:t>ad</w:t>
      </w:r>
      <w:r>
        <w:rPr/>
        <w:t xml:space="preserve"> will ich </w:t>
      </w:r>
      <w:r>
        <w:rPr>
          <w:color w:val="808080"/>
        </w:rPr>
        <w:t>(</w:t>
      </w:r>
      <w:r>
        <w:rPr>
          <w:b/>
          <w:color w:val="808080"/>
        </w:rPr>
        <w:t>[</w:t>
      </w:r>
      <w:r>
        <w:rPr>
          <w:color w:val="808080"/>
        </w:rPr>
        <w:t>meine</w:t>
      </w:r>
      <w:r>
        <w:rPr>
          <w:b/>
          <w:color w:val="808080"/>
        </w:rPr>
        <w:t>]</w:t>
      </w:r>
      <w:r>
        <w:rPr>
          <w:color w:val="808080"/>
        </w:rPr>
        <w:t xml:space="preserve"> Leber, </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w:t>
      </w:r>
      <w:r>
        <w:rPr/>
        <w:t xml:space="preserve"> </w:t>
      </w:r>
      <w:r>
        <w:rPr>
          <w:rStyle w:val="Funotenanker"/>
        </w:rPr>
        <w:footnoteReference w:customMarkFollows="1" w:id="985"/>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53]]Kapitel 53</w:t>
      </w:r>
    </w:p>
    <w:p>
      <w:pPr>
        <w:pStyle w:val="Textkrper"/>
        <w:rPr/>
      </w:pPr>
      <w:r>
        <w:rPr/>
        <w:t>Psalm 53 ist ein weisheitlicher Klagepsalm. V. 1 nennt man meist die „Überschrift“. Diese Überschriften wurden den Psalmen nachträglich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In V. 2 beginnt der eigentliche Psalm damit, dass die Verderbtheit der gesamten Menschheit beklagt wird. Dieser Zustand wird in Vv. 3-6 zum Anlass für eine Besinnung über das vergangene Handeln Gottes in ähnlicher Situation: Eine Prüfung Gottes ergab, dass die gesamte Menschheit verdorben ist und sich sowohl ihren Mitmenschen als auch Gott gegenüber unangemessen verhält. V. 6 schildern das Resultat dieser Prüfung: Gott sorgte dafür, dass die Übeltäter „einen Schrecken erschraken, wie es noch nie einen Schrecken gab“, indem er dafür sorgte, dass sein Volk seine Okkupanten bezwingen konnte. In V. 7 schließt an diese Besinnung der Wunsch an, dass Gott doch auch jetzt wieder ebenso handeln möge: Gott möge das Geschick der von gänzlich verderbten Feinden unterdrückten Israeliten wenden, so dass sie wieder Grund zu Jubel und Freude haben. In Vv. 2-5 finden sich dabei einige verbreitete weisheitliche Motive (zum Folgendem s. näher z.B. Weisheit (WAM); speziell zu Ps 14 gut z.B. Caquot 1959, S. 1f.): Einander gegenübergestellt werden der „verderblich handelnde Narr“ (V. 1), der „nichts weiß“ (V. 4), und der Gott suchende Kluge (V. 2). Dahinter steht folgender Vorstellungskomplex: Gott hat die Welt wohl geordnet. Die Aufgabe des Menschen ist es daher, die „Regeln“ dieser von Gott geordneten Welt zu suchen und dann gott- und regelgemäß zu handeln. So auch hier: Der „Kluge“ wird in V. 2 gleichgesetzt mit dem „Gott-Sucher“. Sein Widerpart ist der „Narr“, der sich um die Ordnung der Welt und Gott nicht schert: der lebt, als „gäbe es Gott nicht“ (V. 1), sich daher an der kosmischen Ordnung auch nicht stört, sondern im Gegensatz zum Weisen „nichts weiß“ und daher gott- und regelvergessen Übeltat auf „Übeltat vergeht, verbricht“ - bes., indem er „</w:t>
      </w:r>
      <w:r>
        <w:rPr>
          <w:rStyle w:val="Funotenanker"/>
        </w:rPr>
        <w:footnoteReference w:customMarkFollows="1" w:id="986"/>
        <w:t>a</w:t>
      </w:r>
      <w:r>
        <w:rPr/>
        <w:t xml:space="preserve">s Volk frisst“ und selbst beim „Brot-fressen“ keinen Gedanken an den verschwendet, dem er dieses Brot verdankt. Ein Letztes: Psalm 53 ist doppelt überliefert und findet sich noch einmal in leicht abgewandelter Form als Psalm 14 an einer anderen Stelle des Psalters. Neben einigen stilistischen Veränderungen unterscheiden sich die beiden Psalmen v.a. in den Versen Ps 14,5f. und 53,6, die so unterschiedlich sind, dass man allenfalls davon ausgehen kann, dass die eine Stelle dem Verfasser der anderen Stelle als Inspirationsquelle gedient hat. Welche von beiden Fassungen die ältere ist, ist nicht mehr zu ermitteln. </w:t>
        <w:br/>
        <w:br/>
        <w:t>[[@BibleTOBIBLE:Ps 53:1]]</w:t>
      </w:r>
      <w:r>
        <w:rPr>
          <w:b/>
        </w:rPr>
        <w:t>1</w:t>
      </w:r>
      <w:r>
        <w:rPr/>
        <w:t xml:space="preserve"> {{field-on:bible}} </w:t>
      </w:r>
      <w:r>
        <w:rPr>
          <w:rStyle w:val="Funotenanker"/>
        </w:rPr>
        <w:footnoteReference w:customMarkFollows="1" w:id="987"/>
        <w:t>Status</w:t>
      </w:r>
      <w:r>
        <w:rPr/>
        <w:t xml:space="preserve"> ''Für den Chorleiter</w:t>
      </w:r>
      <w:r>
        <w:rPr>
          <w:rStyle w:val="Funotenanker"/>
        </w:rPr>
        <w:footnoteReference w:customMarkFollows="1" w:id="988"/>
        <w:t>b</w:t>
      </w:r>
      <w:r>
        <w:rPr/>
        <w:t xml:space="preserve">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 `al-machalat.</w:t>
      </w:r>
      <w:r>
        <w:rPr>
          <w:rStyle w:val="Funotenanker"/>
        </w:rPr>
        <w:footnoteReference w:customMarkFollows="1" w:id="989"/>
        <w:t>c</w:t>
      </w:r>
      <w:r>
        <w:rPr/>
        <w:t xml:space="preserve"> ''Ein Lehrgedicht </w:t>
      </w:r>
      <w:r>
        <w:rPr>
          <w:color w:val="808080"/>
        </w:rPr>
        <w:t>(?)</w:t>
      </w:r>
      <w:r>
        <w:rPr/>
        <w:t xml:space="preserve"> von </w:t>
      </w:r>
      <w:r>
        <w:rPr>
          <w:color w:val="808080"/>
        </w:rPr>
        <w:t>(für, über, nach Art von)</w:t>
      </w:r>
      <w:r>
        <w:rPr/>
        <w:t xml:space="preserve"> David.'' </w:t>
        <w:br/>
        <w:t xml:space="preserve">{{field-off:bible}} </w:t>
        <w:br/>
        <w:t>[[@BibleTOBIBLE:Ps 53:2]]</w:t>
      </w:r>
      <w:r>
        <w:rPr>
          <w:b/>
        </w:rPr>
        <w:t>2</w:t>
      </w:r>
      <w:r>
        <w:rPr/>
        <w:t xml:space="preserve"> {{field-on:bible}} </w:t>
        <w:br/>
        <w:t xml:space="preserve">Es sagt </w:t>
      </w:r>
      <w:r>
        <w:rPr>
          <w:color w:val="808080"/>
        </w:rPr>
        <w:t>(sagte)</w:t>
      </w:r>
      <w:r>
        <w:rPr/>
        <w:t xml:space="preserve"> </w:t>
      </w:r>
      <w:r>
        <w:rPr>
          <w:b/>
          <w:color w:val="808080"/>
        </w:rPr>
        <w:t>[</w:t>
      </w:r>
      <w:r>
        <w:rPr/>
        <w:t>der</w:t>
      </w:r>
      <w:r>
        <w:rPr>
          <w:b/>
          <w:color w:val="808080"/>
        </w:rPr>
        <w:t>]</w:t>
      </w:r>
      <w:r>
        <w:rPr/>
        <w:t xml:space="preserve"> Narr in seinem Herzen </w:t>
      </w:r>
      <w:r>
        <w:rPr>
          <w:color w:val="808080"/>
        </w:rPr>
        <w:t>(es sagte sich der Narr)</w:t>
      </w:r>
      <w:r>
        <w:rPr/>
        <w:t>:„Es gibt keinen Gott!“</w:t>
      </w:r>
      <w:r>
        <w:rPr>
          <w:rStyle w:val="Funotenanker"/>
        </w:rPr>
        <w:footnoteReference w:customMarkFollows="1" w:id="990"/>
        <w:t>d</w:t>
      </w:r>
      <w:r>
        <w:rPr/>
        <w:t xml:space="preserve"> </w:t>
        <w:br/>
        <w:t xml:space="preserve">Sie begehen und verbrechen </w:t>
      </w:r>
      <w:r>
        <w:rPr>
          <w:color w:val="808080"/>
        </w:rPr>
        <w:t>(begingen und verbrachen)</w:t>
      </w:r>
      <w:r>
        <w:rPr/>
        <w:t xml:space="preserve"> Untat</w:t>
      </w:r>
      <w:r>
        <w:rPr>
          <w:rStyle w:val="Funotenanker"/>
        </w:rPr>
        <w:footnoteReference w:customMarkFollows="1" w:id="991"/>
        <w:t>e</w:t>
      </w:r>
      <w:r>
        <w:rPr/>
        <w:t xml:space="preserve"> </w:t>
      </w:r>
      <w:r>
        <w:rPr>
          <w:b/>
          <w:color w:val="808080"/>
        </w:rPr>
        <w:t>[</w:t>
      </w:r>
      <w:r>
        <w:rPr/>
        <w:t xml:space="preserve">Es gibt </w:t>
      </w:r>
      <w:r>
        <w:rPr>
          <w:color w:val="808080"/>
        </w:rPr>
        <w:t>(gab)</w:t>
      </w:r>
      <w:r>
        <w:rPr>
          <w:b/>
          <w:color w:val="808080"/>
        </w:rPr>
        <w:t>]</w:t>
      </w:r>
      <w:r>
        <w:rPr/>
        <w:t xml:space="preserve"> keinen, </w:t>
      </w:r>
      <w:r>
        <w:rPr>
          <w:b/>
          <w:color w:val="808080"/>
        </w:rPr>
        <w:t>[</w:t>
      </w:r>
      <w:r>
        <w:rPr/>
        <w:t>der</w:t>
      </w:r>
      <w:r>
        <w:rPr>
          <w:b/>
          <w:color w:val="808080"/>
        </w:rPr>
        <w:t>]</w:t>
      </w:r>
      <w:r>
        <w:rPr/>
        <w:t xml:space="preserve"> Gutes tut.</w:t>
        <w:br/>
        <w:br/>
        <w:t xml:space="preserve">{{field-off:bible}} </w:t>
        <w:br/>
        <w:t>[[@BibleTOBIBLE:Ps 53:3]]</w:t>
      </w:r>
      <w:r>
        <w:rPr>
          <w:b/>
        </w:rPr>
        <w:t>3</w:t>
      </w:r>
      <w:r>
        <w:rPr/>
        <w:t xml:space="preserve"> {{field-on:bible}} </w:t>
        <w:br/>
        <w:t xml:space="preserve">Gott beugte </w:t>
      </w:r>
      <w:r>
        <w:rPr>
          <w:color w:val="808080"/>
        </w:rPr>
        <w:t>(beugt)</w:t>
      </w:r>
      <w:r>
        <w:rPr/>
        <w:t xml:space="preserve"> sich </w:t>
      </w:r>
      <w:r>
        <w:rPr>
          <w:color w:val="808080"/>
        </w:rPr>
        <w:t>(blickt?)</w:t>
      </w:r>
      <w:r>
        <w:rPr/>
        <w:t xml:space="preserve"> vom Himmel herab Über </w:t>
      </w:r>
      <w:r>
        <w:rPr>
          <w:b/>
          <w:color w:val="808080"/>
        </w:rPr>
        <w:t>[</w:t>
      </w:r>
      <w:r>
        <w:rPr/>
        <w:t>die</w:t>
      </w:r>
      <w:r>
        <w:rPr>
          <w:b/>
          <w:color w:val="808080"/>
        </w:rPr>
        <w:t>]</w:t>
      </w:r>
      <w:r>
        <w:rPr/>
        <w:t xml:space="preserve"> Menschenkinder,</w:t>
        <w:br/>
        <w:t xml:space="preserve">Um zu sehen, </w:t>
      </w:r>
      <w:r>
        <w:rPr>
          <w:b/>
          <w:color w:val="808080"/>
        </w:rPr>
        <w:t>[</w:t>
      </w:r>
      <w:r>
        <w:rPr/>
        <w:t>ob</w:t>
      </w:r>
      <w:r>
        <w:rPr>
          <w:b/>
          <w:color w:val="808080"/>
        </w:rPr>
        <w:t>]</w:t>
      </w:r>
      <w:r>
        <w:rPr/>
        <w:t xml:space="preserve"> es gibt einen Klugen,Einen Gott-Sucher </w:t>
      </w:r>
      <w:r>
        <w:rPr>
          <w:color w:val="808080"/>
        </w:rPr>
        <w:t xml:space="preserve">(einen Klugen, </w:t>
      </w:r>
      <w:r>
        <w:rPr>
          <w:b/>
          <w:color w:val="808080"/>
        </w:rPr>
        <w:t>[</w:t>
      </w:r>
      <w:r>
        <w:rPr>
          <w:color w:val="808080"/>
        </w:rPr>
        <w:t>der</w:t>
      </w:r>
      <w:r>
        <w:rPr>
          <w:b/>
          <w:color w:val="808080"/>
        </w:rPr>
        <w:t>]</w:t>
      </w:r>
      <w:r>
        <w:rPr>
          <w:color w:val="808080"/>
        </w:rPr>
        <w:t xml:space="preserve"> Gott sucht)</w:t>
      </w:r>
      <w:r>
        <w:rPr/>
        <w:t>:</w:t>
      </w:r>
      <w:r>
        <w:rPr>
          <w:rStyle w:val="Funotenanker"/>
        </w:rPr>
        <w:footnoteReference w:customMarkFollows="1" w:id="992"/>
        <w:t>f</w:t>
      </w:r>
      <w:r>
        <w:rPr/>
        <w:t xml:space="preserve"> </w:t>
        <w:br/>
        <w:t xml:space="preserve">{{field-off:bible}} </w:t>
        <w:br/>
        <w:t>[[@BibleTOBIBLE:Ps 53:4]]</w:t>
      </w:r>
      <w:r>
        <w:rPr>
          <w:b/>
        </w:rPr>
        <w:t>4</w:t>
      </w:r>
      <w:r>
        <w:rPr/>
        <w:t xml:space="preserve"> {{field-on:bible}} </w:t>
        <w:br/>
        <w:t xml:space="preserve">„Sie alle sind </w:t>
      </w:r>
      <w:r>
        <w:rPr>
          <w:color w:val="808080"/>
        </w:rPr>
        <w:t>(waren)</w:t>
      </w:r>
      <w:r>
        <w:rPr/>
        <w:t xml:space="preserve"> abgewichen,Sämtlich sind </w:t>
      </w:r>
      <w:r>
        <w:rPr>
          <w:color w:val="808080"/>
        </w:rPr>
        <w:t>(waren)</w:t>
      </w:r>
      <w:r>
        <w:rPr/>
        <w:t xml:space="preserve"> sie verdorben.</w:t>
        <w:br/>
        <w:t xml:space="preserve">Keinen </w:t>
      </w:r>
      <w:r>
        <w:rPr>
          <w:b/>
          <w:color w:val="808080"/>
        </w:rPr>
        <w:t>[</w:t>
      </w:r>
      <w:r>
        <w:rPr/>
        <w:t xml:space="preserve">gibt </w:t>
      </w:r>
      <w:r>
        <w:rPr>
          <w:color w:val="808080"/>
        </w:rPr>
        <w:t>(gab)</w:t>
      </w:r>
      <w:r>
        <w:rPr/>
        <w:t xml:space="preserve"> es</w:t>
      </w:r>
      <w:r>
        <w:rPr>
          <w:b/>
          <w:color w:val="808080"/>
        </w:rPr>
        <w:t>]</w:t>
      </w:r>
      <w:r>
        <w:rPr/>
        <w:t xml:space="preserve">, </w:t>
      </w:r>
      <w:r>
        <w:rPr>
          <w:b/>
          <w:color w:val="808080"/>
        </w:rPr>
        <w:t>[</w:t>
      </w:r>
      <w:r>
        <w:rPr/>
        <w:t>der</w:t>
      </w:r>
      <w:r>
        <w:rPr>
          <w:b/>
          <w:color w:val="808080"/>
        </w:rPr>
        <w:t>]</w:t>
      </w:r>
      <w:r>
        <w:rPr/>
        <w:t xml:space="preserve"> Gutes tut;Keinen. Auch nicht einen </w:t>
      </w:r>
      <w:r>
        <w:rPr>
          <w:b/>
          <w:color w:val="808080"/>
        </w:rPr>
        <w:t>[</w:t>
      </w:r>
      <w:r>
        <w:rPr/>
        <w:t>einzigen</w:t>
      </w:r>
      <w:r>
        <w:rPr>
          <w:b/>
          <w:color w:val="808080"/>
        </w:rPr>
        <w:t>]</w:t>
      </w:r>
      <w:r>
        <w:rPr/>
        <w:t>.</w:t>
        <w:br/>
        <w:t xml:space="preserve">{{field-off:bible}} </w:t>
        <w:br/>
        <w:t>[[@BibleTOBIBLE:Ps 53:5]]</w:t>
      </w:r>
      <w:r>
        <w:rPr>
          <w:b/>
        </w:rPr>
        <w:t>5</w:t>
      </w:r>
      <w:r>
        <w:rPr/>
        <w:t xml:space="preserve"> {{field-on:bible}} </w:t>
        <w:br/>
        <w:t xml:space="preserve">Wissen </w:t>
      </w:r>
      <w:r>
        <w:rPr>
          <w:b/>
          <w:color w:val="808080"/>
        </w:rPr>
        <w:t>[</w:t>
      </w:r>
      <w:r>
        <w:rPr/>
        <w:t>denn</w:t>
      </w:r>
      <w:r>
        <w:rPr>
          <w:b/>
          <w:color w:val="808080"/>
        </w:rPr>
        <w:t>]</w:t>
      </w:r>
      <w:r>
        <w:rPr/>
        <w:t xml:space="preserve"> nicht</w:t>
      </w:r>
      <w:r>
        <w:rPr>
          <w:b/>
          <w:color w:val="808080"/>
        </w:rPr>
        <w:t>[</w:t>
      </w:r>
      <w:r>
        <w:rPr/>
        <w:t>s</w:t>
      </w:r>
      <w:r>
        <w:rPr>
          <w:b/>
          <w:color w:val="808080"/>
        </w:rPr>
        <w:t>]</w:t>
      </w:r>
      <w:r>
        <w:rPr/>
        <w:t xml:space="preserve"> </w:t>
      </w:r>
      <w:r>
        <w:rPr>
          <w:b/>
          <w:color w:val="808080"/>
        </w:rPr>
        <w:t>[</w:t>
      </w:r>
      <w:r>
        <w:rPr/>
        <w:t>die</w:t>
      </w:r>
      <w:r>
        <w:rPr>
          <w:b/>
          <w:color w:val="808080"/>
        </w:rPr>
        <w:t>]</w:t>
      </w:r>
      <w:r>
        <w:rPr/>
        <w:t xml:space="preserve"> Übel-Täter,</w:t>
      </w:r>
      <w:r>
        <w:rPr>
          <w:b/>
          <w:color w:val="808080"/>
        </w:rPr>
        <w:t>[</w:t>
      </w:r>
      <w:r>
        <w:rPr/>
        <w:t>Die</w:t>
      </w:r>
      <w:r>
        <w:rPr>
          <w:b/>
          <w:color w:val="808080"/>
        </w:rPr>
        <w:t>]</w:t>
      </w:r>
      <w:r>
        <w:rPr/>
        <w:t xml:space="preserve"> mein Volk fressen?</w:t>
        <w:br/>
        <w:t>Sie fressen Brot,</w:t>
      </w:r>
      <w:r>
        <w:rPr>
          <w:rStyle w:val="Funotenanker"/>
        </w:rPr>
        <w:footnoteReference w:customMarkFollows="1" w:id="993"/>
        <w:t>g</w:t>
      </w:r>
      <w:r>
        <w:rPr/>
        <w:t xml:space="preserve"> </w:t>
      </w:r>
      <w:r>
        <w:rPr>
          <w:b/>
          <w:color w:val="808080"/>
        </w:rPr>
        <w:t>[</w:t>
      </w:r>
      <w:r>
        <w:rPr/>
        <w:t>Doch</w:t>
      </w:r>
      <w:r>
        <w:rPr>
          <w:b/>
          <w:color w:val="808080"/>
        </w:rPr>
        <w:t>]</w:t>
      </w:r>
      <w:r>
        <w:rPr/>
        <w:t xml:space="preserve"> Gott rufen sie nicht an.“</w:t>
        <w:br/>
        <w:br/>
        <w:t xml:space="preserve">{{field-off:bible}} </w:t>
        <w:br/>
        <w:t>[[@BibleTOBIBLE:Ps 53:6]]</w:t>
      </w:r>
      <w:r>
        <w:rPr>
          <w:b/>
        </w:rPr>
        <w:t>6</w:t>
      </w:r>
      <w:r>
        <w:rPr/>
        <w:t xml:space="preserve"> {{field-on:bible}} </w:t>
        <w:br/>
        <w:t>Da erschraken sie einen Schrecken,</w:t>
      </w:r>
      <w:r>
        <w:rPr>
          <w:b/>
          <w:color w:val="808080"/>
        </w:rPr>
        <w:t>[</w:t>
      </w:r>
      <w:r>
        <w:rPr/>
        <w:t>Wie es</w:t>
      </w:r>
      <w:r>
        <w:rPr>
          <w:b/>
          <w:color w:val="808080"/>
        </w:rPr>
        <w:t>]</w:t>
      </w:r>
      <w:r>
        <w:rPr/>
        <w:t xml:space="preserve"> nie </w:t>
      </w:r>
      <w:r>
        <w:rPr>
          <w:b/>
          <w:color w:val="808080"/>
        </w:rPr>
        <w:t>[</w:t>
      </w:r>
      <w:r>
        <w:rPr/>
        <w:t>zuvor</w:t>
      </w:r>
      <w:r>
        <w:rPr>
          <w:b/>
          <w:color w:val="808080"/>
        </w:rPr>
        <w:t>]</w:t>
      </w:r>
      <w:r>
        <w:rPr/>
        <w:t xml:space="preserve"> Schrecken gab,</w:t>
      </w:r>
      <w:r>
        <w:rPr>
          <w:rStyle w:val="Funotenanker"/>
        </w:rPr>
        <w:footnoteReference w:customMarkFollows="1" w:id="994"/>
        <w:t>h</w:t>
      </w:r>
      <w:r>
        <w:rPr/>
        <w:t xml:space="preserve"> </w:t>
        <w:br/>
        <w:t>Denn Gott zerstreute die Knochen des bei dir Lagernden;</w:t>
      </w:r>
      <w:r>
        <w:rPr>
          <w:rStyle w:val="Funotenanker"/>
        </w:rPr>
        <w:footnoteReference w:customMarkFollows="1" w:id="995"/>
        <w:t>i</w:t>
      </w:r>
      <w:r>
        <w:rPr/>
        <w:t xml:space="preserve">Du machtest </w:t>
      </w:r>
      <w:r>
        <w:rPr>
          <w:b/>
          <w:color w:val="808080"/>
        </w:rPr>
        <w:t>[</w:t>
      </w:r>
      <w:r>
        <w:rPr/>
        <w:t>ihn</w:t>
      </w:r>
      <w:r>
        <w:rPr>
          <w:b/>
          <w:color w:val="808080"/>
        </w:rPr>
        <w:t>]</w:t>
      </w:r>
      <w:r>
        <w:rPr/>
        <w:t xml:space="preserve"> zuschanden, denn Gott verwarf sie.</w:t>
        <w:br/>
        <w:br/>
        <w:t xml:space="preserve">{{field-off:bible}} </w:t>
        <w:br/>
        <w:t>[[@BibleTOBIBLE:Ps 53:7]]</w:t>
      </w:r>
      <w:r>
        <w:rPr>
          <w:b/>
        </w:rPr>
        <w:t>7</w:t>
      </w:r>
      <w:r>
        <w:rPr/>
        <w:t xml:space="preserve"> {{field-on:bible}} </w:t>
        <w:br/>
        <w:t>Möge es doch vom Zion</w:t>
      </w:r>
      <w:r>
        <w:rPr>
          <w:rStyle w:val="Funotenanker"/>
        </w:rPr>
        <w:footnoteReference w:customMarkFollows="1" w:id="996"/>
        <w:t>j</w:t>
      </w:r>
      <w:r>
        <w:rPr/>
        <w:t xml:space="preserve"> Rettung für Israel geben!</w:t>
      </w:r>
      <w:r>
        <w:rPr>
          <w:rStyle w:val="Funotenanker"/>
        </w:rPr>
        <w:footnoteReference w:customMarkFollows="1" w:id="997"/>
        <w:t>k</w:t>
      </w:r>
      <w:r>
        <w:rPr/>
        <w:t xml:space="preserve"> </w:t>
        <w:br/>
        <w:t xml:space="preserve">Wenn Gott das Geschick </w:t>
      </w:r>
      <w:r>
        <w:rPr>
          <w:color w:val="808080"/>
        </w:rPr>
        <w:t>(die Gefangenschaft)</w:t>
      </w:r>
      <w:r>
        <w:rPr/>
        <w:t xml:space="preserve"> seines Volkes wendet,Möge Jakob</w:t>
      </w:r>
      <w:r>
        <w:rPr>
          <w:rStyle w:val="Funotenanker"/>
        </w:rPr>
        <w:footnoteReference w:customMarkFollows="1" w:id="998"/>
        <w:t>l</w:t>
      </w:r>
      <w:r>
        <w:rPr/>
        <w:t xml:space="preserve"> jubeln, Israel sich freuen!</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999"/>
        <w:t>Status</w:t>
      </w:r>
      <w:r>
        <w:rPr/>
        <w:t xml:space="preserve"> Für den obersten Musiker </w:t>
      </w:r>
      <w:r>
        <w:rPr>
          <w:color w:val="808080"/>
        </w:rPr>
        <w:t>(Chorleiter, Dirigenten, Aufseher, vorzusingen)</w:t>
      </w:r>
      <w:r>
        <w:rPr/>
        <w:t xml:space="preserve"> </w:t>
      </w:r>
      <w:r>
        <w:rPr>
          <w:rStyle w:val="Funotenanker"/>
        </w:rPr>
        <w:footnoteReference w:customMarkFollows="1" w:id="1000"/>
        <w:t>a</w:t>
      </w:r>
      <w:r>
        <w:rPr/>
        <w:t xml:space="preserve">. Mit Saiteninstrumenten </w:t>
      </w:r>
      <w:r>
        <w:rPr>
          <w:color w:val="808080"/>
        </w:rPr>
        <w:t>(fröhlicher Musik, Zupfinstrumenten)</w:t>
      </w:r>
      <w:r>
        <w:rPr/>
        <w:t xml:space="preserve"> </w:t>
      </w:r>
      <w:r>
        <w:rPr>
          <w:rStyle w:val="Funotenanker"/>
        </w:rPr>
        <w:footnoteReference w:customMarkFollows="1" w:id="1001"/>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1002"/>
        <w:t>c</w:t>
      </w:r>
      <w:r>
        <w:rPr/>
        <w:t>,</w:t>
      </w:r>
      <w:r>
        <w:rPr>
          <w:position w:val="8"/>
          <w:sz w:val="19"/>
        </w:rPr>
        <w:t>[[ ℘ &gt;&gt; BibleTOBIBLE:Nu 6:24]]</w:t>
      </w:r>
      <w:r>
        <w:rPr/>
        <w:t xml:space="preserve"> </w:t>
      </w:r>
      <w:r>
        <w:rPr>
          <w:rStyle w:val="Funotenanker"/>
        </w:rPr>
        <w:footnoteReference w:customMarkFollows="1" w:id="1003"/>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1004"/>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1005"/>
        <w:t>f</w:t>
      </w:r>
      <w:r>
        <w:rPr/>
        <w:t xml:space="preserve"> deine rettende Kraft </w:t>
      </w:r>
      <w:r>
        <w:rPr>
          <w:color w:val="808080"/>
        </w:rPr>
        <w:t>(Hilfe, Rettung, dein Eingeifen, Heil)</w:t>
      </w:r>
      <w:r>
        <w:rPr/>
        <w:t xml:space="preserve"> </w:t>
      </w:r>
      <w:r>
        <w:rPr>
          <w:rStyle w:val="Funotenanker"/>
        </w:rPr>
        <w:footnoteReference w:customMarkFollows="1" w:id="1006"/>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1007"/>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1008"/>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1009"/>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1010"/>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1011"/>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1012"/>
        <w:t>Status</w:t>
      </w:r>
      <w:r>
        <w:rPr/>
        <w:t xml:space="preserve"> Ein Gebet von Mose, dem Mann Gottes: </w:t>
      </w:r>
      <w:r>
        <w:rPr>
          <w:position w:val="8"/>
          <w:sz w:val="19"/>
        </w:rPr>
        <w:t>[[ ℘ &gt;&gt; BibleTOBIBLE:Dt 33:1]]</w:t>
      </w:r>
      <w:r>
        <w:rPr/>
        <w:t xml:space="preserve"> </w:t>
        <w:br/>
        <w:t xml:space="preserve">Mein Herr </w:t>
      </w:r>
      <w:r>
        <w:rPr>
          <w:color w:val="808080"/>
        </w:rPr>
        <w:t>(Herr)</w:t>
      </w:r>
      <w:r>
        <w:rPr/>
        <w:t xml:space="preserve">, eine </w:t>
      </w:r>
      <w:r>
        <w:rPr>
          <w:b/>
          <w:color w:val="808080"/>
        </w:rPr>
        <w:t>[</w:t>
      </w:r>
      <w:r>
        <w:rPr/>
        <w:t>sichere</w:t>
      </w:r>
      <w:r>
        <w:rPr>
          <w:b/>
          <w:color w:val="808080"/>
        </w:rPr>
        <w:t>]</w:t>
      </w:r>
      <w:r>
        <w:rPr/>
        <w:t xml:space="preserv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1013"/>
        <w:t>a</w:t>
      </w:r>
      <w:r>
        <w:rPr/>
        <w:t xml:space="preserve">. </w:t>
      </w:r>
      <w:r>
        <w:rPr>
          <w:position w:val="8"/>
          <w:sz w:val="19"/>
        </w:rPr>
        <w:t>[[ ℘ &gt;&gt; BibleTOBIBLE:Dt 32:7]][[ ℘ &gt;&gt; BibleTOBIBLE:Dt 33:27]]</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1014"/>
        <w:t>b</w:t>
      </w:r>
      <w:r>
        <w:rPr/>
        <w:t xml:space="preserve"> hervorgebracht </w:t>
      </w:r>
      <w:r>
        <w:rPr>
          <w:color w:val="808080"/>
        </w:rPr>
        <w:t>(geboren)</w:t>
      </w:r>
      <w:r>
        <w:rPr/>
        <w:t xml:space="preserve"> </w:t>
      </w:r>
      <w:r>
        <w:rPr>
          <w:rStyle w:val="Funotenanker"/>
        </w:rPr>
        <w:footnoteReference w:customMarkFollows="1" w:id="1015"/>
        <w:t>c</w:t>
      </w:r>
      <w:r>
        <w:rPr/>
        <w:t xml:space="preserve"> hattest</w:t>
      </w:r>
      <w:r>
        <w:rPr>
          <w:rStyle w:val="Funotenanker"/>
        </w:rPr>
        <w:footnoteReference w:customMarkFollows="1" w:id="1016"/>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1017"/>
        <w:t>e</w:t>
      </w:r>
      <w:r>
        <w:rPr/>
        <w:t>.</w:t>
      </w:r>
      <w:r>
        <w:rPr>
          <w:position w:val="8"/>
          <w:sz w:val="19"/>
        </w:rPr>
        <w:t>[[ ℘ &gt;&gt; BibleTOBIBLE:Dt 33:15]]</w:t>
      </w:r>
      <w:r>
        <w:rPr/>
        <w:t xml:space="preserve"> </w:t>
        <w:br/>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1018"/>
        <w:t>f</w:t>
      </w:r>
      <w:r>
        <w:rPr/>
        <w:t xml:space="preserve"> </w:t>
      </w:r>
      <w:r>
        <w:rPr>
          <w:position w:val="8"/>
          <w:sz w:val="19"/>
        </w:rPr>
        <w:t>[[ ℘ &gt;&gt; BibleTOBIBLE:Ge 3:19]]</w:t>
      </w:r>
      <w:r>
        <w:rPr/>
        <w:t xml:space="preserve"> und sprichst: „Kehrt zurück </w:t>
      </w:r>
      <w:r>
        <w:rPr>
          <w:color w:val="808080"/>
        </w:rPr>
        <w:t>(kehrt um)</w:t>
      </w:r>
      <w:r>
        <w:rPr/>
        <w:t xml:space="preserve"> </w:t>
      </w:r>
      <w:r>
        <w:rPr>
          <w:rStyle w:val="Funotenanker"/>
        </w:rPr>
        <w:footnoteReference w:customMarkFollows="1" w:id="1019"/>
        <w:t>g</w:t>
      </w:r>
      <w:r>
        <w:rPr/>
        <w:t xml:space="preserve">, ihr Kinder des Menschen </w:t>
      </w:r>
      <w:r>
        <w:rPr>
          <w:color w:val="808080"/>
        </w:rPr>
        <w:t>(Adams Söhne, 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1020"/>
        <w:t>h</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1021"/>
        <w:t>i</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1022"/>
        <w:t>j</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1023"/>
        <w:t>k</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1024"/>
        <w:t>l</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1025"/>
        <w:t>m</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1026"/>
        <w:t>n</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mit Kraft </w:t>
      </w:r>
      <w:r>
        <w:rPr>
          <w:color w:val="808080"/>
        </w:rPr>
        <w:t xml:space="preserve">(durch </w:t>
      </w:r>
      <w:r>
        <w:rPr>
          <w:b/>
          <w:color w:val="808080"/>
        </w:rPr>
        <w:t>[</w:t>
      </w:r>
      <w:r>
        <w:rPr>
          <w:color w:val="808080"/>
        </w:rPr>
        <w:t>deine</w:t>
      </w:r>
      <w:r>
        <w:rPr>
          <w:b/>
          <w:color w:val="808080"/>
        </w:rPr>
        <w:t>]</w:t>
      </w:r>
      <w:r>
        <w:rPr>
          <w:color w:val="808080"/>
        </w:rPr>
        <w:t xml:space="preserve"> Kraft </w:t>
      </w:r>
      <w:r>
        <w:rPr>
          <w:b/>
          <w:color w:val="808080"/>
        </w:rPr>
        <w:t>[</w:t>
      </w:r>
      <w:r>
        <w:rPr>
          <w:color w:val="808080"/>
        </w:rPr>
        <w:t>unterstützt</w:t>
      </w:r>
      <w:r>
        <w:rPr>
          <w:b/>
          <w:color w:val="808080"/>
        </w:rPr>
        <w:t>]</w:t>
      </w:r>
      <w:r>
        <w:rPr>
          <w:color w:val="808080"/>
        </w:rPr>
        <w:t xml:space="preserve"> </w:t>
      </w:r>
      <w:r>
        <w:rPr>
          <w:rStyle w:val="Funotenanker"/>
        </w:rPr>
        <w:footnoteReference w:customMarkFollows="1" w:id="1027"/>
        <w:t>o</w:t>
      </w:r>
      <w:r>
        <w:rPr/>
        <w:t xml:space="preserve"> </w:t>
      </w:r>
      <w:r>
        <w:rPr>
          <w:color w:val="808080"/>
        </w:rPr>
        <w:t>, wenn in Kraft)</w:t>
      </w:r>
      <w:r>
        <w:rPr/>
        <w:t xml:space="preserve"> achtzig Jahre.</w:t>
        <w:br/>
      </w:r>
      <w:r>
        <w:rPr>
          <w:strike/>
          <w:color w:val="808080"/>
        </w:rPr>
        <w:t>{und}</w:t>
      </w:r>
      <w:r>
        <w:rPr/>
        <w:t xml:space="preserve"> Ihr Stolz</w:t>
      </w:r>
      <w:r>
        <w:rPr>
          <w:rStyle w:val="Funotenanker"/>
        </w:rPr>
        <w:footnoteReference w:customMarkFollows="1" w:id="1028"/>
        <w:t>p</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die Furcht vor dir </w:t>
      </w:r>
      <w:r>
        <w:rPr>
          <w:color w:val="808080"/>
        </w:rPr>
        <w:t>(deine Furcht)</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r>
      <w:r>
        <w:rPr>
          <w:position w:val="8"/>
          <w:sz w:val="19"/>
        </w:rPr>
        <w:t>[[ ℘ &gt;&gt; BibleTOBIBLE:Ex 32:12]][[ ℘ &gt;&gt; BibleTOBIBLE:Dt 32:26]]</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1029"/>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1030"/>
        <w:t>r</w:t>
      </w:r>
      <w:r>
        <w:rPr/>
        <w:t xml:space="preserve"> deinen Knechten </w:t>
      </w:r>
      <w:r>
        <w:rPr>
          <w:color w:val="808080"/>
        </w:rPr>
        <w:t>(Sklaven, Dienern)</w:t>
      </w:r>
      <w:r>
        <w:rPr/>
        <w:t xml:space="preserve"> dein Handeln und deine Herrlichkeit </w:t>
      </w:r>
      <w:r>
        <w:rPr>
          <w:color w:val="808080"/>
        </w:rPr>
        <w:t>(Glanz, Majestät, Macht)</w:t>
      </w:r>
      <w:r>
        <w:rPr/>
        <w:t xml:space="preserve"> ihren Kindern </w:t>
      </w:r>
      <w:r>
        <w:rPr>
          <w:color w:val="808080"/>
        </w:rPr>
        <w:t>(Söhnen)</w:t>
      </w:r>
      <w:r>
        <w:rPr/>
        <w:t xml:space="preserve">! </w:t>
      </w:r>
      <w:r>
        <w:rPr>
          <w:position w:val="8"/>
          <w:sz w:val="19"/>
        </w:rPr>
        <w:t>[[ ℘ &gt;&gt; BibleTOBIBLE:Dt 32:18]]</w:t>
      </w:r>
      <w:r>
        <w:rPr/>
        <w:t xml:space="preserve"> </w:t>
        <w:br/>
        <w:br/>
        <w:t xml:space="preserve">{{field-off:bible}} </w:t>
        <w:br/>
        <w:t>[[@BibleTOBIBLE:Ps 90:17]]</w:t>
      </w:r>
      <w:r>
        <w:rPr>
          <w:b/>
        </w:rPr>
        <w:t>17</w:t>
      </w:r>
      <w:r>
        <w:rPr/>
        <w:t xml:space="preserve"> {{field-on:bible}} </w:t>
        <w:br/>
        <w:t xml:space="preserve">Die Freundlichkeit </w:t>
      </w:r>
      <w:r>
        <w:rPr>
          <w:color w:val="808080"/>
        </w:rPr>
        <w:t>(Gunst)</w:t>
      </w:r>
      <w:r>
        <w:rPr/>
        <w:t xml:space="preserve"> des Herrn </w:t>
      </w:r>
      <w:r>
        <w:rPr>
          <w:color w:val="808080"/>
        </w:rPr>
        <w:t>(meines 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1031"/>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1032"/>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1033"/>
        <w:t>a</w:t>
      </w:r>
      <w:r>
        <w:rPr/>
        <w:t xml:space="preserve"> </w:t>
      </w:r>
      <w:r>
        <w:rPr>
          <w:color w:val="808080"/>
        </w:rPr>
        <w:t>)</w:t>
      </w:r>
      <w:r>
        <w:rPr/>
        <w:t xml:space="preserve"> </w:t>
      </w:r>
      <w:r>
        <w:rPr>
          <w:rStyle w:val="Funotenanker"/>
        </w:rPr>
        <w:footnoteReference w:customMarkFollows="1" w:id="1034"/>
        <w:t>b</w:t>
      </w:r>
      <w:r>
        <w:rPr/>
        <w:t xml:space="preserve">. </w:t>
        <w:br/>
        <w:t xml:space="preserve">Jubelt </w:t>
      </w:r>
      <w:r>
        <w:rPr>
          <w:color w:val="808080"/>
        </w:rPr>
        <w:t>(schreit vor Freude)</w:t>
      </w:r>
      <w:r>
        <w:rPr/>
        <w:t xml:space="preserve"> </w:t>
      </w:r>
      <w:r>
        <w:rPr>
          <w:rStyle w:val="Funotenanker"/>
        </w:rPr>
        <w:footnoteReference w:customMarkFollows="1" w:id="1035"/>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1036"/>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1037"/>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1038"/>
        <w:t>f</w:t>
      </w:r>
      <w:r>
        <w:rPr/>
        <w:t xml:space="preserve"> in Freudengeschrei </w:t>
      </w:r>
      <w:r>
        <w:rPr>
          <w:color w:val="808080"/>
        </w:rPr>
        <w:t>(Freudenliedern)</w:t>
      </w:r>
      <w:r>
        <w:rPr/>
        <w:t xml:space="preserve"> </w:t>
      </w:r>
      <w:r>
        <w:rPr>
          <w:rStyle w:val="Funotenanker"/>
        </w:rPr>
        <w:footnoteReference w:customMarkFollows="1" w:id="1039"/>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1040"/>
        <w:t>h</w:t>
      </w:r>
      <w:r>
        <w:rPr/>
        <w:t>!</w:t>
        <w:br/>
        <w:br/>
        <w:t xml:space="preserve">Er hat uns erschaffen, sein sind wir </w:t>
      </w:r>
      <w:r>
        <w:rPr>
          <w:color w:val="808080"/>
        </w:rPr>
        <w:t>(und nicht wir)</w:t>
      </w:r>
      <w:r>
        <w:rPr/>
        <w:t xml:space="preserve"> </w:t>
      </w:r>
      <w:r>
        <w:rPr>
          <w:rStyle w:val="Funotenanker"/>
        </w:rPr>
        <w:footnoteReference w:customMarkFollows="1" w:id="1041"/>
        <w:t>i</w:t>
      </w:r>
      <w:r>
        <w:rPr/>
        <w:t xml:space="preserve"> </w:t>
      </w:r>
      <w:r>
        <w:rPr>
          <w:b/>
          <w:color w:val="808080"/>
        </w:rPr>
        <w:t>[</w:t>
      </w:r>
      <w:r>
        <w:rPr/>
        <w:t>wir sind</w:t>
      </w:r>
      <w:r>
        <w:rPr>
          <w:b/>
          <w:color w:val="808080"/>
        </w:rPr>
        <w:t>]</w:t>
      </w:r>
      <w:r>
        <w:rPr/>
        <w:t xml:space="preserve"> </w:t>
      </w:r>
      <w:r>
        <w:rPr>
          <w:rStyle w:val="Funotenanker"/>
        </w:rPr>
        <w:footnoteReference w:customMarkFollows="1" w:id="1042"/>
        <w:t>j</w:t>
      </w:r>
      <w:r>
        <w:rPr/>
        <w:t xml:space="preserve"> sein Volk und die Herde seiner Weide</w:t>
      </w:r>
      <w:r>
        <w:rPr>
          <w:rStyle w:val="Funotenanker"/>
        </w:rPr>
        <w:footnoteReference w:customMarkFollows="1" w:id="1043"/>
        <w:t>k</w:t>
      </w:r>
      <w:r>
        <w:rPr/>
        <w:t>.</w:t>
      </w:r>
      <w:r>
        <w:rPr>
          <w:rStyle w:val="Funotenanker"/>
        </w:rPr>
        <w:footnoteReference w:customMarkFollows="1" w:id="1044"/>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1045"/>
        <w:t>m</w:t>
      </w:r>
      <w:r>
        <w:rPr/>
        <w:t xml:space="preserve"> mit Danklied </w:t>
      </w:r>
      <w:r>
        <w:rPr>
          <w:color w:val="808080"/>
        </w:rPr>
        <w:t>(Dankopfer, Loblied)</w:t>
      </w:r>
      <w:r>
        <w:rPr/>
        <w:t xml:space="preserve"> </w:t>
      </w:r>
      <w:r>
        <w:rPr>
          <w:rStyle w:val="Funotenanker"/>
        </w:rPr>
        <w:footnoteReference w:customMarkFollows="1" w:id="1046"/>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1047"/>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1048"/>
        <w:t>p</w:t>
      </w:r>
      <w:r>
        <w:rPr/>
        <w:t xml:space="preserve"> seinem Namen </w:t>
      </w:r>
      <w:r>
        <w:rPr>
          <w:color w:val="808080"/>
        </w:rPr>
        <w:t>(ihm)</w:t>
      </w:r>
      <w:r>
        <w:rPr/>
        <w:t xml:space="preserve"> </w:t>
      </w:r>
      <w:r>
        <w:rPr>
          <w:rStyle w:val="Funotenanker"/>
        </w:rPr>
        <w:footnoteReference w:customMarkFollows="1" w:id="1049"/>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1050"/>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104]]Kapitel 104</w:t>
      </w:r>
    </w:p>
    <w:p>
      <w:pPr>
        <w:pStyle w:val="Textkrper"/>
        <w:rPr/>
      </w:pPr>
      <w:r>
        <w:rPr/>
        <w:br/>
        <w:t>[[@BibleTOBIBLE:Ps 104:1]]</w:t>
      </w:r>
      <w:r>
        <w:rPr>
          <w:b/>
        </w:rPr>
        <w:t>1</w:t>
      </w:r>
      <w:r>
        <w:rPr/>
        <w:t xml:space="preserve"> {{field-on:bible}} </w:t>
        <w:br/>
      </w:r>
      <w:r>
        <w:rPr>
          <w:rStyle w:val="Funotenanker"/>
        </w:rPr>
        <w:footnoteReference w:customMarkFollows="1" w:id="1051"/>
        <w:t>Status</w:t>
      </w:r>
      <w:r>
        <w:rPr/>
        <w:t xml:space="preserve"> ''</w:t>
      </w:r>
      <w:r>
        <w:rPr>
          <w:color w:val="808080"/>
        </w:rPr>
        <w:t>(</w:t>
      </w:r>
      <w:r>
        <w:rPr>
          <w:b/>
          <w:color w:val="808080"/>
        </w:rPr>
        <w:t>[</w:t>
      </w:r>
      <w:r>
        <w:rPr>
          <w:color w:val="808080"/>
        </w:rPr>
        <w:t>Von (für, nach Art von) David</w:t>
      </w:r>
      <w:r>
        <w:rPr>
          <w:b/>
          <w:color w:val="808080"/>
        </w:rPr>
        <w:t>]</w:t>
      </w:r>
      <w:r>
        <w:rPr>
          <w:color w:val="808080"/>
        </w:rPr>
        <w:t>)</w:t>
      </w:r>
      <w:r>
        <w:rPr/>
        <w:t>''</w:t>
      </w:r>
      <w:r>
        <w:rPr>
          <w:rStyle w:val="Funotenanker"/>
        </w:rPr>
        <w:footnoteReference w:customMarkFollows="1" w:id="1052"/>
        <w:t>a</w:t>
      </w:r>
      <w:r>
        <w:rPr/>
        <w:t xml:space="preserve"> </w:t>
        <w:br/>
        <w:br/>
        <w:t xml:space="preserve">Preise, meine Seele, </w:t>
      </w:r>
      <w:r>
        <w:rPr>
          <w:smallCaps/>
          <w:color w:val="FF0000"/>
        </w:rPr>
        <w:t>JHWH</w:t>
      </w:r>
      <w:r>
        <w:rPr/>
        <w:t>!</w:t>
      </w:r>
      <w:r>
        <w:rPr>
          <w:rStyle w:val="Funotenanker"/>
        </w:rPr>
        <w:footnoteReference w:customMarkFollows="1" w:id="1053"/>
        <w:t>b</w:t>
      </w:r>
      <w:r>
        <w:rPr/>
        <w:t xml:space="preserve"> </w:t>
        <w:br/>
        <w:br/>
      </w:r>
      <w:r>
        <w:rPr>
          <w:smallCaps/>
          <w:color w:val="FF0000"/>
        </w:rPr>
        <w:t>JHWH</w:t>
      </w:r>
      <w:r>
        <w:rPr/>
        <w:t>, mein Gott,</w:t>
      </w:r>
      <w:r>
        <w:rPr>
          <w:rStyle w:val="Funotenanker"/>
        </w:rPr>
        <w:footnoteReference w:customMarkFollows="1" w:id="1054"/>
        <w:t>c</w:t>
      </w:r>
      <w:r>
        <w:rPr/>
        <w:t xml:space="preserve"> </w:t>
      </w:r>
      <w:r>
        <w:rPr>
          <w:b/>
          <w:color w:val="808080"/>
        </w:rPr>
        <w:t>[</w:t>
      </w:r>
      <w:r>
        <w:rPr/>
        <w:t>du bist</w:t>
      </w:r>
      <w:r>
        <w:rPr>
          <w:b/>
          <w:color w:val="808080"/>
        </w:rPr>
        <w:t>]</w:t>
      </w:r>
      <w:r>
        <w:rPr/>
        <w:t xml:space="preserve"> </w:t>
      </w:r>
      <w:r>
        <w:rPr>
          <w:color w:val="808080"/>
        </w:rPr>
        <w:t>(</w:t>
      </w:r>
      <w:r>
        <w:rPr>
          <w:b/>
          <w:color w:val="808080"/>
        </w:rPr>
        <w:t>[</w:t>
      </w:r>
      <w:r>
        <w:rPr>
          <w:color w:val="808080"/>
        </w:rPr>
        <w:t>ist</w:t>
      </w:r>
      <w:r>
        <w:rPr>
          <w:b/>
          <w:color w:val="808080"/>
        </w:rPr>
        <w:t>]</w:t>
      </w:r>
      <w:r>
        <w:rPr>
          <w:color w:val="808080"/>
        </w:rPr>
        <w:t>)</w:t>
      </w:r>
      <w:r>
        <w:rPr/>
        <w:t xml:space="preserve"> sehr groß!</w:t>
        <w:br/>
        <w:t xml:space="preserve">Du bist bekleidet </w:t>
      </w:r>
      <w:r>
        <w:rPr>
          <w:color w:val="808080"/>
        </w:rPr>
        <w:t>(hast dich bekleidet)</w:t>
      </w:r>
      <w:r>
        <w:rPr/>
        <w:t xml:space="preserve"> mit Majestät und Herrlichkeit </w:t>
      </w:r>
      <w:r>
        <w:rPr>
          <w:color w:val="808080"/>
        </w:rPr>
        <w:t>(majestätischer Herrlichkeit/Pracht)</w:t>
      </w:r>
      <w:r>
        <w:rPr/>
        <w:t>,</w:t>
      </w:r>
      <w:r>
        <w:rPr>
          <w:rStyle w:val="Funotenanker"/>
        </w:rPr>
        <w:footnoteReference w:customMarkFollows="1" w:id="1055"/>
        <w:t>d</w:t>
      </w:r>
      <w:r>
        <w:rPr/>
        <w:t xml:space="preserve"> </w:t>
        <w:br/>
        <w:t xml:space="preserve">{{field-off:bible}} </w:t>
        <w:br/>
        <w:t>[[@BibleTOBIBLE:Ps 104:2]]</w:t>
      </w:r>
      <w:r>
        <w:rPr>
          <w:b/>
        </w:rPr>
        <w:t>2</w:t>
      </w:r>
      <w:r>
        <w:rPr/>
        <w:t xml:space="preserve"> {{field-on:bible}} </w:t>
        <w:br/>
      </w:r>
      <w:r>
        <w:rPr>
          <w:b/>
          <w:color w:val="808080"/>
        </w:rPr>
        <w:t>[</w:t>
      </w:r>
      <w:r>
        <w:rPr/>
        <w:t>Bist</w:t>
      </w:r>
      <w:r>
        <w:rPr>
          <w:b/>
          <w:color w:val="808080"/>
        </w:rPr>
        <w:t>]</w:t>
      </w:r>
      <w:r>
        <w:rPr/>
        <w:t xml:space="preserve"> mit Licht wie mit einem Mantel umhüllt </w:t>
      </w:r>
      <w:r>
        <w:rPr>
          <w:color w:val="808080"/>
        </w:rPr>
        <w:t>(verhüllt, ein Eingehüllter)</w:t>
      </w:r>
      <w:r>
        <w:rPr/>
        <w:t>,</w:t>
      </w:r>
      <w:r>
        <w:rPr>
          <w:rStyle w:val="Funotenanker"/>
        </w:rPr>
        <w:footnoteReference w:customMarkFollows="1" w:id="1056"/>
        <w:t>e</w:t>
      </w:r>
      <w:r>
        <w:rPr/>
        <w:t xml:space="preserve"> </w:t>
      </w:r>
      <w:r>
        <w:rPr>
          <w:rStyle w:val="Funotenanker"/>
        </w:rPr>
        <w:footnoteReference w:customMarkFollows="1" w:id="1057"/>
        <w:t>f</w:t>
      </w:r>
      <w:r>
        <w:rPr/>
        <w:t xml:space="preserve"> </w:t>
      </w:r>
      <w:r>
        <w:rPr>
          <w:position w:val="8"/>
          <w:sz w:val="19"/>
        </w:rPr>
        <w:t>[[ ℘ &gt;&gt; BibleTOBIBLE:Job 36:30]][[ ℘ &gt;&gt; BibleTOBIBLE:Hab 3:4]][[ ℘ &gt;&gt; BibleTOBIBLE:Re 12:1]]</w:t>
      </w:r>
      <w:r>
        <w:rPr/>
        <w:t xml:space="preserve"> </w:t>
        <w:br/>
        <w:br/>
      </w:r>
      <w:r>
        <w:rPr>
          <w:b/>
          <w:color w:val="808080"/>
        </w:rPr>
        <w:t>[</w:t>
      </w:r>
      <w:r>
        <w:rPr/>
        <w:t>Oh, du</w:t>
      </w:r>
      <w:r>
        <w:rPr>
          <w:b/>
          <w:color w:val="808080"/>
        </w:rPr>
        <w:t>]</w:t>
      </w:r>
      <w:r>
        <w:rPr/>
        <w:t xml:space="preserve"> </w:t>
      </w:r>
      <w:r>
        <w:rPr>
          <w:rStyle w:val="Funotenanker"/>
        </w:rPr>
        <w:footnoteReference w:customMarkFollows="1" w:id="1058"/>
        <w:t>g</w:t>
      </w:r>
      <w:r>
        <w:rPr/>
        <w:t xml:space="preserve"> </w:t>
      </w:r>
      <w:r>
        <w:rPr>
          <w:b/>
          <w:color w:val="808080"/>
        </w:rPr>
        <w:t>[</w:t>
      </w:r>
      <w:r>
        <w:rPr/>
        <w:t>bists</w:t>
      </w:r>
      <w:r>
        <w:rPr>
          <w:b/>
          <w:color w:val="808080"/>
        </w:rPr>
        <w:t>]</w:t>
      </w:r>
      <w:r>
        <w:rPr/>
        <w:t>, der den Himmel wie eine Zeltdecke ausspannte</w:t>
      </w:r>
      <w:r>
        <w:rPr>
          <w:rStyle w:val="Funotenanker"/>
        </w:rPr>
        <w:footnoteReference w:customMarkFollows="1" w:id="1059"/>
        <w:t>h</w:t>
      </w:r>
      <w:r>
        <w:rPr/>
        <w:t xml:space="preserve"> </w:t>
      </w:r>
      <w:r>
        <w:rPr>
          <w:color w:val="808080"/>
        </w:rPr>
        <w:t>(bist ausspannend)</w:t>
      </w:r>
      <w:r>
        <w:rPr/>
        <w:t xml:space="preserve">, </w:t>
      </w:r>
      <w:r>
        <w:rPr>
          <w:position w:val="8"/>
          <w:sz w:val="19"/>
        </w:rPr>
        <w:t>[[ ℘ &gt;&gt; BibleTOBIBLE:Is 40:22]]</w:t>
      </w:r>
      <w:r>
        <w:rPr/>
        <w:t xml:space="preserve"> </w:t>
        <w:br/>
        <w:t xml:space="preserve">{{field-off:bible}} </w:t>
        <w:br/>
        <w:t>[[@BibleTOBIBLE:Ps 104:3]]</w:t>
      </w:r>
      <w:r>
        <w:rPr>
          <w:b/>
        </w:rPr>
        <w:t>3</w:t>
      </w:r>
      <w:r>
        <w:rPr/>
        <w:t xml:space="preserve"> {{field-on:bible}} </w:t>
        <w:br/>
      </w:r>
      <w:r>
        <w:rPr>
          <w:b/>
          <w:color w:val="808080"/>
        </w:rPr>
        <w:t>[</w:t>
      </w:r>
      <w:r>
        <w:rPr/>
        <w:t>Bist</w:t>
      </w:r>
      <w:r>
        <w:rPr>
          <w:b/>
          <w:color w:val="808080"/>
        </w:rPr>
        <w:t>]</w:t>
      </w:r>
      <w:r>
        <w:rPr/>
        <w:t xml:space="preserve"> der, der bälkte </w:t>
      </w:r>
      <w:r>
        <w:rPr>
          <w:color w:val="808080"/>
        </w:rPr>
        <w:t>(zimmerte)</w:t>
      </w:r>
      <w:r>
        <w:rPr/>
        <w:t xml:space="preserve"> im </w:t>
      </w:r>
      <w:r>
        <w:rPr>
          <w:color w:val="808080"/>
        </w:rPr>
        <w:t>(mit)</w:t>
      </w:r>
      <w:r>
        <w:rPr/>
        <w:t xml:space="preserve"> Wasser ein Obergemach</w:t>
      </w:r>
      <w:r>
        <w:rPr>
          <w:rStyle w:val="Funotenanker"/>
        </w:rPr>
        <w:footnoteReference w:customMarkFollows="1" w:id="1060"/>
        <w:t>i</w:t>
      </w:r>
      <w:r>
        <w:rPr/>
        <w:t xml:space="preserve"> </w:t>
      </w:r>
      <w:r>
        <w:rPr>
          <w:position w:val="8"/>
          <w:sz w:val="19"/>
        </w:rPr>
        <w:t>[[ ℘ &gt;&gt; BibleTOBIBLE:Am 9:6]]</w:t>
      </w:r>
      <w:r>
        <w:rPr/>
        <w:t xml:space="preserve"> </w:t>
      </w:r>
      <w:r>
        <w:rPr>
          <w:b/>
          <w:color w:val="808080"/>
        </w:rPr>
        <w:t>[</w:t>
      </w:r>
      <w:r>
        <w:rPr/>
        <w:t>Bist</w:t>
      </w:r>
      <w:r>
        <w:rPr>
          <w:b/>
          <w:color w:val="808080"/>
        </w:rPr>
        <w:t>]</w:t>
      </w:r>
      <w:r>
        <w:rPr/>
        <w:t xml:space="preserve"> der, der dort</w:t>
      </w:r>
      <w:r>
        <w:rPr>
          <w:rStyle w:val="Funotenanker"/>
        </w:rPr>
        <w:footnoteReference w:customMarkFollows="1" w:id="1061"/>
        <w:t>j</w:t>
      </w:r>
      <w:r>
        <w:rPr/>
        <w:t xml:space="preserve"> Wolken </w:t>
      </w:r>
      <w:r>
        <w:rPr>
          <w:b/>
          <w:color w:val="808080"/>
        </w:rPr>
        <w:t>[</w:t>
      </w:r>
      <w:r>
        <w:rPr/>
        <w:t>als</w:t>
      </w:r>
      <w:r>
        <w:rPr>
          <w:b/>
          <w:color w:val="808080"/>
        </w:rPr>
        <w:t>]</w:t>
      </w:r>
      <w:r>
        <w:rPr/>
        <w:t xml:space="preserve"> seinen Wagen </w:t>
      </w:r>
      <w:r>
        <w:rPr>
          <w:color w:val="808080"/>
        </w:rPr>
        <w:t>(sein Fahrzeug)</w:t>
      </w:r>
      <w:r>
        <w:rPr/>
        <w:t xml:space="preserve"> </w:t>
      </w:r>
      <w:r>
        <w:rPr>
          <w:b/>
          <w:color w:val="808080"/>
        </w:rPr>
        <w:t>[</w:t>
      </w:r>
      <w:r>
        <w:rPr/>
        <w:t>hat</w:t>
      </w:r>
      <w:r>
        <w:rPr>
          <w:b/>
          <w:color w:val="808080"/>
        </w:rPr>
        <w:t>]</w:t>
      </w:r>
      <w:r>
        <w:rPr/>
        <w:t>,</w:t>
      </w:r>
      <w:r>
        <w:rPr>
          <w:rStyle w:val="Funotenanker"/>
        </w:rPr>
        <w:footnoteReference w:customMarkFollows="1" w:id="1062"/>
        <w:t>k</w:t>
      </w:r>
      <w:r>
        <w:rPr/>
        <w:t xml:space="preserve"> </w:t>
      </w:r>
      <w:r>
        <w:rPr>
          <w:position w:val="8"/>
          <w:sz w:val="19"/>
        </w:rPr>
        <w:t>[[ ℘ &gt;&gt; BibleTOBIBLE:Dt 33:26]][[ ℘ &gt;&gt; BibleTOBIBLE:2Sa 22:12]][[ ℘ &gt;&gt; BibleTOBIBLE:Ps 18:12]][[ ℘ &gt;&gt; BibleTOBIBLE:Ps 68:5]][[ ℘ &gt;&gt; BibleTOBIBLE:Is 19:1]]</w:t>
      </w:r>
      <w:r>
        <w:rPr/>
        <w:t xml:space="preserve"> </w:t>
      </w:r>
      <w:r>
        <w:rPr>
          <w:b/>
          <w:color w:val="808080"/>
        </w:rPr>
        <w:t>[</w:t>
      </w:r>
      <w:r>
        <w:rPr/>
        <w:t>Bist</w:t>
      </w:r>
      <w:r>
        <w:rPr>
          <w:b/>
          <w:color w:val="808080"/>
        </w:rPr>
        <w:t>]</w:t>
      </w:r>
      <w:r>
        <w:rPr/>
        <w:t xml:space="preserve"> der, der sich fortbewegt </w:t>
      </w:r>
      <w:r>
        <w:rPr>
          <w:color w:val="808080"/>
        </w:rPr>
        <w:t xml:space="preserve">(bist </w:t>
      </w:r>
      <w:r>
        <w:rPr>
          <w:b/>
          <w:color w:val="808080"/>
        </w:rPr>
        <w:t>[</w:t>
      </w:r>
      <w:r>
        <w:rPr>
          <w:color w:val="808080"/>
        </w:rPr>
        <w:t>dich</w:t>
      </w:r>
      <w:r>
        <w:rPr>
          <w:b/>
          <w:color w:val="808080"/>
        </w:rPr>
        <w:t>]</w:t>
      </w:r>
      <w:r>
        <w:rPr>
          <w:color w:val="808080"/>
        </w:rPr>
        <w:t xml:space="preserve"> fortbewegend)</w:t>
      </w:r>
      <w:r>
        <w:rPr/>
        <w:t xml:space="preserve"> auf den Flügeln des Windes</w:t>
      </w:r>
      <w:r>
        <w:rPr>
          <w:rStyle w:val="Funotenanker"/>
        </w:rPr>
        <w:footnoteReference w:customMarkFollows="1" w:id="1063"/>
        <w:t>l</w:t>
      </w:r>
      <w:r>
        <w:rPr/>
        <w:t>,</w:t>
      </w:r>
      <w:r>
        <w:rPr>
          <w:rStyle w:val="Funotenanker"/>
        </w:rPr>
        <w:footnoteReference w:customMarkFollows="1" w:id="1064"/>
        <w:t>m</w:t>
      </w:r>
      <w:r>
        <w:rPr/>
        <w:t xml:space="preserve"> </w:t>
      </w:r>
      <w:r>
        <w:rPr>
          <w:position w:val="8"/>
          <w:sz w:val="19"/>
        </w:rPr>
        <w:t>[[ ℘ &gt;&gt; BibleTOBIBLE:2Sa 22:11]][[ ℘ &gt;&gt; BibleTOBIBLE:Ps 18:11]][[ ℘ &gt;&gt; BibleTOBIBLE:Eze 9:3]][[ ℘ &gt;&gt; BibleTOBIBLE:Eze 10:4]][[ ℘ &gt;&gt; BibleTOBIBLE:Eze 10:18]][[ ℘ &gt;&gt; BibleTOBIBLE:Eze 11:22]]</w:t>
      </w:r>
      <w:r>
        <w:rPr/>
        <w:t xml:space="preserve"> </w:t>
        <w:br/>
        <w:t xml:space="preserve">{{field-off:bible}} </w:t>
        <w:br/>
        <w:t>[[@BibleTOBIBLE:Ps 104:4]]</w:t>
      </w:r>
      <w:r>
        <w:rPr>
          <w:b/>
        </w:rPr>
        <w:t>4</w:t>
      </w:r>
      <w:r>
        <w:rPr/>
        <w:t xml:space="preserve"> {{field-on:bible}} </w:t>
        <w:br/>
      </w:r>
      <w:r>
        <w:rPr>
          <w:b/>
          <w:color w:val="808080"/>
        </w:rPr>
        <w:t>[</w:t>
      </w:r>
      <w:r>
        <w:rPr/>
        <w:t>Bists</w:t>
      </w:r>
      <w:r>
        <w:rPr>
          <w:b/>
          <w:color w:val="808080"/>
        </w:rPr>
        <w:t>]</w:t>
      </w:r>
      <w:r>
        <w:rPr/>
        <w:t xml:space="preserve">, der macht </w:t>
      </w:r>
      <w:r>
        <w:rPr>
          <w:color w:val="808080"/>
        </w:rPr>
        <w:t>(bist machend)</w:t>
      </w:r>
      <w:r>
        <w:rPr/>
        <w:t xml:space="preserve"> zu seinen Boten Winde</w:t>
      </w:r>
      <w:r>
        <w:rPr>
          <w:rStyle w:val="Funotenanker"/>
        </w:rPr>
        <w:footnoteReference w:customMarkFollows="1" w:id="1065"/>
        <w:t>n</w:t>
      </w:r>
      <w:r>
        <w:rPr/>
        <w:t xml:space="preserve"> </w:t>
      </w:r>
      <w:r>
        <w:rPr>
          <w:color w:val="808080"/>
        </w:rPr>
        <w:t>(seine Boten zu Winden)</w:t>
      </w:r>
      <w:r>
        <w:rPr/>
        <w:t>,</w:t>
      </w:r>
      <w:r>
        <w:rPr>
          <w:rStyle w:val="Funotenanker"/>
        </w:rPr>
        <w:footnoteReference w:customMarkFollows="1" w:id="1066"/>
        <w:t>o</w:t>
      </w:r>
      <w:r>
        <w:rPr/>
        <w:t xml:space="preserve">Zu seinen Dienern </w:t>
      </w:r>
      <w:r>
        <w:rPr>
          <w:color w:val="808080"/>
        </w:rPr>
        <w:t xml:space="preserve">(Seine Diener </w:t>
      </w:r>
      <w:r>
        <w:rPr>
          <w:b/>
          <w:color w:val="808080"/>
        </w:rPr>
        <w:t>[</w:t>
      </w:r>
      <w:r>
        <w:rPr>
          <w:color w:val="808080"/>
        </w:rPr>
        <w:t>sind</w:t>
      </w:r>
      <w:r>
        <w:rPr>
          <w:b/>
          <w:color w:val="808080"/>
        </w:rPr>
        <w:t>]</w:t>
      </w:r>
      <w:r>
        <w:rPr>
          <w:color w:val="808080"/>
        </w:rPr>
        <w:t>)</w:t>
      </w:r>
      <w:r>
        <w:rPr/>
        <w:t xml:space="preserve"> flammendes Feuer </w:t>
      </w:r>
      <w:r>
        <w:rPr>
          <w:color w:val="808080"/>
        </w:rPr>
        <w:t xml:space="preserve">(Flamme </w:t>
      </w:r>
      <w:r>
        <w:rPr>
          <w:b/>
          <w:color w:val="808080"/>
        </w:rPr>
        <w:t>[</w:t>
      </w:r>
      <w:r>
        <w:rPr>
          <w:color w:val="808080"/>
        </w:rPr>
        <w:t>und</w:t>
      </w:r>
      <w:r>
        <w:rPr>
          <w:b/>
          <w:color w:val="808080"/>
        </w:rPr>
        <w:t>]</w:t>
      </w:r>
      <w:r>
        <w:rPr>
          <w:color w:val="808080"/>
        </w:rPr>
        <w:t xml:space="preserve"> Feuer)</w:t>
      </w:r>
      <w:r>
        <w:rPr/>
        <w:t>,</w:t>
      </w:r>
      <w:r>
        <w:rPr>
          <w:rStyle w:val="Funotenanker"/>
        </w:rPr>
        <w:footnoteReference w:customMarkFollows="1" w:id="1067"/>
        <w:t>p</w:t>
      </w:r>
      <w:r>
        <w:rPr/>
        <w:t xml:space="preserve"> </w:t>
      </w:r>
      <w:r>
        <w:rPr>
          <w:position w:val="8"/>
          <w:sz w:val="19"/>
        </w:rPr>
        <w:t>[[ ℘ &gt;&gt; BibleTOBIBLE:Eze 1:13]][[ ℘ &gt;&gt; BibleTOBIBLE:Joe 2:3]][[ ℘ &gt;&gt; BibleTOBIBLE:Heb 1:7]][[ ℘ &gt;&gt; BibleTOBIBLE:Re 4:5]]</w:t>
      </w:r>
      <w:r>
        <w:rPr/>
        <w:t xml:space="preserve"> </w:t>
        <w:br/>
        <w:t xml:space="preserve">{{field-off:bible}} </w:t>
        <w:br/>
        <w:t>[[@BibleTOBIBLE:Ps 104:5]]</w:t>
      </w:r>
      <w:r>
        <w:rPr>
          <w:b/>
        </w:rPr>
        <w:t>5</w:t>
      </w:r>
      <w:r>
        <w:rPr/>
        <w:t xml:space="preserve"> {{field-on:bible}} </w:t>
        <w:br/>
      </w:r>
      <w:r>
        <w:rPr>
          <w:b/>
          <w:color w:val="808080"/>
        </w:rPr>
        <w:t>[</w:t>
      </w:r>
      <w:r>
        <w:rPr/>
        <w:t>Bists,</w:t>
      </w:r>
      <w:r>
        <w:rPr>
          <w:b/>
          <w:color w:val="808080"/>
        </w:rPr>
        <w:t>]</w:t>
      </w:r>
      <w:r>
        <w:rPr/>
        <w:t xml:space="preserve"> der gründete </w:t>
      </w:r>
      <w:r>
        <w:rPr>
          <w:color w:val="808080"/>
        </w:rPr>
        <w:t>(bist gründend, er gründete)</w:t>
      </w:r>
      <w:r>
        <w:rPr/>
        <w:t xml:space="preserve"> </w:t>
      </w:r>
      <w:r>
        <w:rPr>
          <w:rStyle w:val="Funotenanker"/>
        </w:rPr>
        <w:footnoteReference w:customMarkFollows="1" w:id="1068"/>
        <w:t>q</w:t>
      </w:r>
      <w:r>
        <w:rPr/>
        <w:t xml:space="preserve"> die Erde auf ihre Fundamente,</w:t>
      </w:r>
      <w:r>
        <w:rPr>
          <w:rStyle w:val="Funotenanker"/>
        </w:rPr>
        <w:footnoteReference w:customMarkFollows="1" w:id="1069"/>
        <w:t>r</w:t>
      </w:r>
      <w:r>
        <w:rPr/>
        <w:t xml:space="preserve"> </w:t>
      </w:r>
      <w:r>
        <w:rPr>
          <w:position w:val="8"/>
          <w:sz w:val="19"/>
        </w:rPr>
        <w:t>[[ ℘ &gt;&gt; BibleTOBIBLE:Is 48:13]][[ ℘ &gt;&gt; BibleTOBIBLE:Is 51:13]][[ ℘ &gt;&gt; BibleTOBIBLE:Am 9:6]][[ ℘ &gt;&gt; BibleTOBIBLE:Zec 12:1]][[ ℘ &gt;&gt; BibleTOBIBLE:Job 38:4]][[ ℘ &gt;&gt; BibleTOBIBLE:Ps 102:25]]</w:t>
      </w:r>
      <w:r>
        <w:rPr/>
        <w:t xml:space="preserve">Damit sie nicht wanken wird auf immer und ewig. </w:t>
      </w:r>
      <w:r>
        <w:rPr>
          <w:position w:val="8"/>
          <w:sz w:val="19"/>
        </w:rPr>
        <w:t>[[ ℘ &gt;&gt; BibleTOBIBLE:1Ch 16:30]]</w:t>
      </w:r>
      <w:r>
        <w:rPr/>
        <w:t xml:space="preserve"> </w:t>
        <w:br/>
        <w:t xml:space="preserve">{{field-off:bible}} </w:t>
        <w:br/>
        <w:t>[[@BibleTOBIBLE:Ps 104:6]]</w:t>
      </w:r>
      <w:r>
        <w:rPr>
          <w:b/>
        </w:rPr>
        <w:t>6</w:t>
      </w:r>
      <w:r>
        <w:rPr/>
        <w:t xml:space="preserve"> {{field-on:bible}} </w:t>
        <w:br/>
        <w:t>Das Urmeer bedecktest du wie mit einem</w:t>
      </w:r>
      <w:r>
        <w:rPr>
          <w:rStyle w:val="Funotenanker"/>
        </w:rPr>
        <w:footnoteReference w:customMarkFollows="1" w:id="1070"/>
        <w:t>s</w:t>
      </w:r>
      <w:r>
        <w:rPr/>
        <w:t xml:space="preserve"> Gewand</w:t>
      </w:r>
      <w:r>
        <w:rPr>
          <w:rStyle w:val="Funotenanker"/>
        </w:rPr>
        <w:footnoteReference w:customMarkFollows="1" w:id="1071"/>
        <w:t>t</w:t>
      </w:r>
      <w:r>
        <w:rPr/>
        <w:t>.</w:t>
      </w:r>
      <w:r>
        <w:rPr>
          <w:rStyle w:val="Funotenanker"/>
        </w:rPr>
        <w:footnoteReference w:customMarkFollows="1" w:id="1072"/>
        <w:t>u</w:t>
      </w:r>
      <w:r>
        <w:rPr/>
        <w:t xml:space="preserve"> </w:t>
      </w:r>
      <w:r>
        <w:rPr>
          <w:position w:val="8"/>
          <w:sz w:val="19"/>
        </w:rPr>
        <w:t>[[ ℘ &gt;&gt; BibleTOBIBLE:Ps 38:9]]</w:t>
      </w:r>
      <w:r>
        <w:rPr/>
        <w:t xml:space="preserve"> </w:t>
        <w:br/>
        <w:br/>
        <w:t xml:space="preserve">Auf </w:t>
      </w:r>
      <w:r>
        <w:rPr>
          <w:color w:val="808080"/>
        </w:rPr>
        <w:t>(über)</w:t>
      </w:r>
      <w:r>
        <w:rPr/>
        <w:t xml:space="preserve"> den Bergen sollten Wasser stehen </w:t>
      </w:r>
      <w:r>
        <w:rPr>
          <w:color w:val="808080"/>
        </w:rPr>
        <w:t>(sich stellen)</w:t>
      </w:r>
      <w:r>
        <w:rPr/>
        <w:t>:</w:t>
        <w:br/>
        <w:t xml:space="preserve">{{field-off:bible}} </w:t>
        <w:br/>
        <w:t>[[@BibleTOBIBLE:Ps 104:7]]</w:t>
      </w:r>
      <w:r>
        <w:rPr>
          <w:b/>
        </w:rPr>
        <w:t>7</w:t>
      </w:r>
      <w:r>
        <w:rPr/>
        <w:t xml:space="preserve"> {{field-on:bible}} </w:t>
        <w:br/>
        <w:t xml:space="preserve">Vor deinem Schelten mussten </w:t>
      </w:r>
      <w:r>
        <w:rPr>
          <w:color w:val="808080"/>
        </w:rPr>
        <w:t>(sollten)</w:t>
      </w:r>
      <w:r>
        <w:rPr/>
        <w:t xml:space="preserve"> sie fliehen,Vor dem Klang deines Donnerns </w:t>
      </w:r>
      <w:r>
        <w:rPr>
          <w:color w:val="808080"/>
        </w:rPr>
        <w:t>(deiner donnernden Stimme)</w:t>
      </w:r>
      <w:r>
        <w:rPr/>
        <w:t xml:space="preserve"> mussten </w:t>
      </w:r>
      <w:r>
        <w:rPr>
          <w:color w:val="808080"/>
        </w:rPr>
        <w:t>(sollten)</w:t>
      </w:r>
      <w:r>
        <w:rPr/>
        <w:t xml:space="preserve"> sie fortlaufen, </w:t>
      </w:r>
      <w:r>
        <w:rPr>
          <w:position w:val="8"/>
          <w:sz w:val="19"/>
        </w:rPr>
        <w:t>[[ ℘ &gt;&gt; BibleTOBIBLE:Ps 18:6]][[ ℘ &gt;&gt; BibleTOBIBLE:Ps 114:3]][[ ℘ &gt;&gt; BibleTOBIBLE:Is 50:2]][[ ℘ &gt;&gt; BibleTOBIBLE:Na 1:4]][[ ℘ &gt;&gt; BibleTOBIBLE:Mk 4:39]]</w:t>
      </w:r>
      <w:r>
        <w:rPr/>
        <w:t xml:space="preserve"> </w:t>
        <w:br/>
        <w:t xml:space="preserve">{{field-off:bible}} </w:t>
        <w:br/>
        <w:t>[[@BibleTOBIBLE:Ps 104:8]]</w:t>
      </w:r>
      <w:r>
        <w:rPr>
          <w:b/>
        </w:rPr>
        <w:t>8</w:t>
      </w:r>
      <w:r>
        <w:rPr/>
        <w:t xml:space="preserve"> {{field-on:bible}} </w:t>
        <w:br/>
        <w:t xml:space="preserve">Mussten </w:t>
      </w:r>
      <w:r>
        <w:rPr>
          <w:color w:val="808080"/>
        </w:rPr>
        <w:t>(sollten)</w:t>
      </w:r>
      <w:r>
        <w:rPr/>
        <w:t xml:space="preserve"> hinaufziehen </w:t>
      </w:r>
      <w:r>
        <w:rPr>
          <w:b/>
          <w:color w:val="808080"/>
        </w:rPr>
        <w:t>[</w:t>
      </w:r>
      <w:r>
        <w:rPr/>
        <w:t>auf</w:t>
      </w:r>
      <w:r>
        <w:rPr>
          <w:b/>
          <w:color w:val="808080"/>
        </w:rPr>
        <w:t>]</w:t>
      </w:r>
      <w:r>
        <w:rPr/>
        <w:t xml:space="preserve"> Berge,Mussten </w:t>
      </w:r>
      <w:r>
        <w:rPr>
          <w:color w:val="808080"/>
        </w:rPr>
        <w:t>(sollten)</w:t>
      </w:r>
      <w:r>
        <w:rPr/>
        <w:t xml:space="preserve"> hinabsteigen </w:t>
      </w:r>
      <w:r>
        <w:rPr>
          <w:b/>
          <w:color w:val="808080"/>
        </w:rPr>
        <w:t>[</w:t>
      </w:r>
      <w:r>
        <w:rPr/>
        <w:t>in</w:t>
      </w:r>
      <w:r>
        <w:rPr>
          <w:b/>
          <w:color w:val="808080"/>
        </w:rPr>
        <w:t>]</w:t>
      </w:r>
      <w:r>
        <w:rPr/>
        <w:t xml:space="preserve"> Täler</w:t>
      </w:r>
      <w:r>
        <w:rPr>
          <w:rStyle w:val="Funotenanker"/>
        </w:rPr>
        <w:footnoteReference w:customMarkFollows="1" w:id="1073"/>
        <w:t>v</w:t>
      </w:r>
      <w:r>
        <w:rPr/>
        <w:t xml:space="preserve">Zum Ort, den du ihnen gegründet hast. </w:t>
      </w:r>
      <w:r>
        <w:rPr>
          <w:position w:val="8"/>
          <w:sz w:val="19"/>
        </w:rPr>
        <w:t>[[ ℘ &gt;&gt; BibleTOBIBLE:Ge 1:9]]</w:t>
      </w:r>
      <w:r>
        <w:rPr/>
        <w:t xml:space="preserve"> </w:t>
        <w:br/>
        <w:t xml:space="preserve">{{field-off:bible}} </w:t>
        <w:br/>
        <w:t>[[@BibleTOBIBLE:Ps 104:9]]</w:t>
      </w:r>
      <w:r>
        <w:rPr>
          <w:b/>
        </w:rPr>
        <w:t>9</w:t>
      </w:r>
      <w:r>
        <w:rPr/>
        <w:t xml:space="preserve"> {{field-on:bible}} </w:t>
        <w:br/>
      </w:r>
      <w:r>
        <w:rPr>
          <w:b/>
          <w:color w:val="808080"/>
        </w:rPr>
        <w:t>[</w:t>
      </w:r>
      <w:r>
        <w:rPr/>
        <w:t>Die</w:t>
      </w:r>
      <w:r>
        <w:rPr>
          <w:b/>
          <w:color w:val="808080"/>
        </w:rPr>
        <w:t>]</w:t>
      </w:r>
      <w:r>
        <w:rPr/>
        <w:t xml:space="preserve"> Grenze, </w:t>
      </w:r>
      <w:r>
        <w:rPr>
          <w:b/>
          <w:color w:val="808080"/>
        </w:rPr>
        <w:t>[</w:t>
      </w:r>
      <w:r>
        <w:rPr/>
        <w:t>die</w:t>
      </w:r>
      <w:r>
        <w:rPr>
          <w:b/>
          <w:color w:val="808080"/>
        </w:rPr>
        <w:t>]</w:t>
      </w:r>
      <w:r>
        <w:rPr/>
        <w:t xml:space="preserve"> du gesetzt hast, dürfen sie nicht übertreten, Dürfen nicht zurückkehren, um die Erde zu bedecken </w:t>
      </w:r>
      <w:r>
        <w:rPr>
          <w:color w:val="808080"/>
        </w:rPr>
        <w:t>(dürfen die Erde nicht wieder bedecken)</w:t>
      </w:r>
      <w:r>
        <w:rPr/>
        <w:t xml:space="preserve">. </w:t>
      </w:r>
      <w:r>
        <w:rPr>
          <w:position w:val="8"/>
          <w:sz w:val="19"/>
        </w:rPr>
        <w:t>[[ ℘ &gt;&gt; BibleTOBIBLE:Job 38:8]][[ ℘ &gt;&gt; BibleTOBIBLE:Pr 8:29]][[ ℘ &gt;&gt; BibleTOBIBLE:Je 5:22]]</w:t>
      </w:r>
      <w:r>
        <w:rPr/>
        <w:t xml:space="preserve"> </w:t>
        <w:br/>
        <w:br/>
        <w:t xml:space="preserve">{{field-off:bible}} </w:t>
        <w:br/>
        <w:t>[[@BibleTOBIBLE:Ps 104:10]]</w:t>
      </w:r>
      <w:r>
        <w:rPr>
          <w:b/>
        </w:rPr>
        <w:t>10</w:t>
      </w:r>
      <w:r>
        <w:rPr/>
        <w:t xml:space="preserve"> {{field-on:bible}} </w:t>
        <w:br/>
      </w:r>
      <w:r>
        <w:rPr>
          <w:b/>
          <w:color w:val="808080"/>
        </w:rPr>
        <w:t>[</w:t>
      </w:r>
      <w:r>
        <w:rPr/>
        <w:t>Oh, du</w:t>
      </w:r>
      <w:r>
        <w:rPr>
          <w:b/>
          <w:color w:val="808080"/>
        </w:rPr>
        <w:t>]</w:t>
      </w:r>
      <w:r>
        <w:rPr/>
        <w:t xml:space="preserve"> </w:t>
      </w:r>
      <w:r>
        <w:rPr>
          <w:b/>
          <w:color w:val="808080"/>
        </w:rPr>
        <w:t>[</w:t>
      </w:r>
      <w:r>
        <w:rPr/>
        <w:t>bist</w:t>
      </w:r>
      <w:r>
        <w:rPr>
          <w:b/>
          <w:color w:val="808080"/>
        </w:rPr>
        <w:t>]</w:t>
      </w:r>
      <w:r>
        <w:rPr/>
        <w:t xml:space="preserve"> der, der entsendet Quellen in Wadis – </w:t>
      </w:r>
      <w:r>
        <w:rPr>
          <w:position w:val="8"/>
          <w:sz w:val="19"/>
        </w:rPr>
        <w:t>[[ ℘ &gt;&gt; BibleTOBIBLE:Ps 78:15]][[ ℘ &gt;&gt; BibleTOBIBLE:Is 30:25]][[ ℘ &gt;&gt; BibleTOBIBLE:Is 41:18]][[ ℘ &gt;&gt; BibleTOBIBLE:Is 48:21]]</w:t>
      </w:r>
      <w:r>
        <w:rPr/>
        <w:t>Sie</w:t>
      </w:r>
      <w:r>
        <w:rPr>
          <w:rStyle w:val="Funotenanker"/>
        </w:rPr>
        <w:footnoteReference w:customMarkFollows="1" w:id="1074"/>
        <w:t>w</w:t>
      </w:r>
      <w:r>
        <w:rPr/>
        <w:t xml:space="preserve"> sollen </w:t>
      </w:r>
      <w:r>
        <w:rPr>
          <w:color w:val="808080"/>
        </w:rPr>
        <w:t>(müssen)</w:t>
      </w:r>
      <w:r>
        <w:rPr/>
        <w:t xml:space="preserve"> zwischen </w:t>
      </w:r>
      <w:r>
        <w:rPr>
          <w:b/>
          <w:color w:val="808080"/>
        </w:rPr>
        <w:t>[</w:t>
      </w:r>
      <w:r>
        <w:rPr/>
        <w:t>den</w:t>
      </w:r>
      <w:r>
        <w:rPr>
          <w:b/>
          <w:color w:val="808080"/>
        </w:rPr>
        <w:t>]</w:t>
      </w:r>
      <w:r>
        <w:rPr/>
        <w:t xml:space="preserve"> </w:t>
      </w:r>
      <w:r>
        <w:rPr>
          <w:rStyle w:val="Funotenanker"/>
        </w:rPr>
        <w:footnoteReference w:customMarkFollows="1" w:id="1075"/>
        <w:t>x</w:t>
      </w:r>
      <w:r>
        <w:rPr/>
        <w:t xml:space="preserve"> Bergen fließen </w:t>
      </w:r>
      <w:r>
        <w:rPr>
          <w:color w:val="808080"/>
        </w:rPr>
        <w:t>(gehen)</w:t>
      </w:r>
      <w:r>
        <w:rPr/>
        <w:t xml:space="preserve">, </w:t>
      </w:r>
      <w:r>
        <w:rPr>
          <w:position w:val="8"/>
          <w:sz w:val="19"/>
        </w:rPr>
        <w:t>[[ ℘ &gt;&gt; BibleTOBIBLE:Is 48:21]]</w:t>
      </w:r>
      <w:r>
        <w:rPr/>
        <w:t xml:space="preserve"> </w:t>
        <w:br/>
        <w:t xml:space="preserve">{{field-off:bible}} </w:t>
        <w:br/>
        <w:t>[[@BibleTOBIBLE:Ps 104:11]]</w:t>
      </w:r>
      <w:r>
        <w:rPr>
          <w:b/>
        </w:rPr>
        <w:t>11</w:t>
      </w:r>
      <w:r>
        <w:rPr/>
        <w:t xml:space="preserve"> {{field-on:bible}} </w:t>
        <w:br/>
        <w:t xml:space="preserve">Sollen </w:t>
      </w:r>
      <w:r>
        <w:rPr>
          <w:color w:val="808080"/>
        </w:rPr>
        <w:t>(müssen)</w:t>
      </w:r>
      <w:r>
        <w:rPr/>
        <w:t xml:space="preserve"> alle wilden Tiere </w:t>
      </w:r>
      <w:r>
        <w:rPr>
          <w:color w:val="808080"/>
        </w:rPr>
        <w:t>(alle Tiere dessen vom Berge)</w:t>
      </w:r>
      <w:r>
        <w:rPr/>
        <w:t xml:space="preserve"> </w:t>
      </w:r>
      <w:r>
        <w:rPr>
          <w:rStyle w:val="Funotenanker"/>
        </w:rPr>
        <w:footnoteReference w:customMarkFollows="1" w:id="1076"/>
        <w:t>y</w:t>
      </w:r>
      <w:r>
        <w:rPr/>
        <w:t xml:space="preserve"> tränken,Es sollen</w:t>
      </w:r>
      <w:r>
        <w:rPr>
          <w:rStyle w:val="Funotenanker"/>
        </w:rPr>
        <w:footnoteReference w:customMarkFollows="1" w:id="1077"/>
        <w:t>z</w:t>
      </w:r>
      <w:r>
        <w:rPr/>
        <w:t xml:space="preserve"> </w:t>
      </w:r>
      <w:r>
        <w:rPr>
          <w:b/>
          <w:color w:val="808080"/>
        </w:rPr>
        <w:t>[</w:t>
      </w:r>
      <w:r>
        <w:rPr/>
        <w:t>selbst</w:t>
      </w:r>
      <w:r>
        <w:rPr>
          <w:b/>
          <w:color w:val="808080"/>
        </w:rPr>
        <w:t>]</w:t>
      </w:r>
      <w:r>
        <w:rPr/>
        <w:t xml:space="preserve"> </w:t>
      </w:r>
      <w:r>
        <w:rPr>
          <w:rStyle w:val="Funotenanker"/>
        </w:rPr>
        <w:footnoteReference w:customMarkFollows="1" w:id="1078"/>
        <w:t>aa</w:t>
      </w:r>
      <w:r>
        <w:rPr/>
        <w:t xml:space="preserve"> die Wildesel ihren Durst brechen</w:t>
      </w:r>
      <w:r>
        <w:rPr>
          <w:rStyle w:val="Funotenanker"/>
        </w:rPr>
        <w:footnoteReference w:customMarkFollows="1" w:id="1079"/>
        <w:t>ab</w:t>
      </w:r>
      <w:r>
        <w:rPr/>
        <w:t xml:space="preserve"> können </w:t>
      </w:r>
      <w:r>
        <w:rPr>
          <w:color w:val="808080"/>
        </w:rPr>
        <w:t>(sollen/müssen stillen)</w:t>
      </w:r>
      <w:r>
        <w:rPr/>
        <w:t xml:space="preserve">. </w:t>
      </w:r>
      <w:r>
        <w:rPr>
          <w:position w:val="8"/>
          <w:sz w:val="19"/>
        </w:rPr>
        <w:t>[[ ℘ &gt;&gt; BibleTOBIBLE:Ps 145:16]][[ ℘ &gt;&gt; BibleTOBIBLE:Is 43:20]]</w:t>
      </w:r>
      <w:r>
        <w:rPr/>
        <w:t xml:space="preserve"> </w:t>
        <w:br/>
        <w:t xml:space="preserve">{{field-off:bible}} </w:t>
        <w:br/>
        <w:t>[[@BibleTOBIBLE:Ps 104:12]]</w:t>
      </w:r>
      <w:r>
        <w:rPr>
          <w:b/>
        </w:rPr>
        <w:t>12</w:t>
      </w:r>
      <w:r>
        <w:rPr/>
        <w:t xml:space="preserve"> {{field-on:bible}} </w:t>
        <w:br/>
        <w:t xml:space="preserve">Über ihnen wohnt das Gevögel des Himmels,Von zwischen den Felsen </w:t>
      </w:r>
      <w:r>
        <w:rPr>
          <w:color w:val="808080"/>
        </w:rPr>
        <w:t>(Zweigen)</w:t>
      </w:r>
      <w:r>
        <w:rPr/>
        <w:t xml:space="preserve"> </w:t>
      </w:r>
      <w:r>
        <w:rPr>
          <w:rStyle w:val="Funotenanker"/>
        </w:rPr>
        <w:footnoteReference w:customMarkFollows="1" w:id="1080"/>
        <w:t>ac</w:t>
      </w:r>
      <w:r>
        <w:rPr/>
        <w:t xml:space="preserve"> geben sie</w:t>
      </w:r>
      <w:r>
        <w:rPr>
          <w:rStyle w:val="Funotenanker"/>
        </w:rPr>
        <w:footnoteReference w:customMarkFollows="1" w:id="1081"/>
        <w:t>ad</w:t>
      </w:r>
      <w:r>
        <w:rPr/>
        <w:t xml:space="preserve"> </w:t>
      </w:r>
      <w:r>
        <w:rPr>
          <w:b/>
          <w:color w:val="808080"/>
        </w:rPr>
        <w:t>[</w:t>
      </w:r>
      <w:r>
        <w:rPr/>
        <w:t>ihre</w:t>
      </w:r>
      <w:r>
        <w:rPr>
          <w:b/>
          <w:color w:val="808080"/>
        </w:rPr>
        <w:t>]</w:t>
      </w:r>
      <w:r>
        <w:rPr/>
        <w:t xml:space="preserve"> </w:t>
      </w:r>
      <w:r>
        <w:rPr>
          <w:rStyle w:val="Funotenanker"/>
        </w:rPr>
        <w:footnoteReference w:customMarkFollows="1" w:id="1082"/>
        <w:t>ae</w:t>
      </w:r>
      <w:r>
        <w:rPr/>
        <w:t xml:space="preserve"> Stimme –, </w:t>
      </w:r>
      <w:r>
        <w:rPr>
          <w:position w:val="8"/>
          <w:sz w:val="19"/>
        </w:rPr>
        <w:t>[[ ℘ &gt;&gt; BibleTOBIBLE:Ps 50:11]]</w:t>
      </w:r>
      <w:r>
        <w:rPr/>
        <w:t xml:space="preserve"> </w:t>
        <w:br/>
        <w:t xml:space="preserve">{{field-off:bible}} </w:t>
        <w:br/>
        <w:t>[[@BibleTOBIBLE:Ps 104:13]]</w:t>
      </w:r>
      <w:r>
        <w:rPr>
          <w:b/>
        </w:rPr>
        <w:t>13</w:t>
      </w:r>
      <w:r>
        <w:rPr/>
        <w:t xml:space="preserve"> {{field-on:bible}} </w:t>
        <w:br/>
      </w:r>
      <w:r>
        <w:rPr>
          <w:b/>
          <w:color w:val="808080"/>
        </w:rPr>
        <w:t>[</w:t>
      </w:r>
      <w:r>
        <w:rPr/>
        <w:t>Bists,</w:t>
      </w:r>
      <w:r>
        <w:rPr>
          <w:b/>
          <w:color w:val="808080"/>
        </w:rPr>
        <w:t>]</w:t>
      </w:r>
      <w:r>
        <w:rPr/>
        <w:t xml:space="preserve"> der tränkt die Berge von seinen Obergemächern: </w:t>
      </w:r>
      <w:r>
        <w:rPr>
          <w:position w:val="8"/>
          <w:sz w:val="19"/>
        </w:rPr>
        <w:t>[[ ℘ &gt;&gt; BibleTOBIBLE:Job 5:10]][[ ℘ &gt;&gt; BibleTOBIBLE:Je 14:22]][[ ℘ &gt;&gt; BibleTOBIBLE:Mt 5:45]]</w:t>
      </w:r>
      <w:r>
        <w:rPr/>
        <w:t xml:space="preserve">Von der Frucht deiner Werke </w:t>
      </w:r>
      <w:r>
        <w:rPr>
          <w:color w:val="808080"/>
        </w:rPr>
        <w:t>(deines Arbeitens)</w:t>
      </w:r>
      <w:r>
        <w:rPr/>
        <w:t xml:space="preserve"> </w:t>
      </w:r>
      <w:r>
        <w:rPr>
          <w:rStyle w:val="Funotenanker"/>
        </w:rPr>
        <w:footnoteReference w:customMarkFollows="1" w:id="1083"/>
        <w:t>af</w:t>
      </w:r>
      <w:r>
        <w:rPr/>
        <w:t xml:space="preserve"> soll die Erde sitt </w:t>
      </w:r>
      <w:r>
        <w:rPr>
          <w:color w:val="808080"/>
        </w:rPr>
        <w:t>(satt)</w:t>
      </w:r>
      <w:r>
        <w:rPr/>
        <w:t xml:space="preserve"> werden. </w:t>
      </w:r>
      <w:r>
        <w:rPr>
          <w:position w:val="8"/>
          <w:sz w:val="19"/>
        </w:rPr>
        <w:t>[[ ℘ &gt;&gt; BibleTOBIBLE:Dt 11:14]][[ ℘ &gt;&gt; BibleTOBIBLE:Job 38:27]][[ ℘ &gt;&gt; BibleTOBIBLE:Ps 147:8]][[ ℘ &gt;&gt; BibleTOBIBLE:Ac 14:17]]</w:t>
      </w:r>
      <w:r>
        <w:rPr/>
        <w:t xml:space="preserve"> </w:t>
        <w:br/>
        <w:t xml:space="preserve">{{field-off:bible}} </w:t>
        <w:br/>
        <w:t>[[@BibleTOBIBLE:Ps 104:14]]</w:t>
      </w:r>
      <w:r>
        <w:rPr>
          <w:b/>
        </w:rPr>
        <w:t>14</w:t>
      </w:r>
      <w:r>
        <w:rPr/>
        <w:t xml:space="preserve"> {{field-on:bible}} </w:t>
        <w:br/>
      </w:r>
      <w:r>
        <w:rPr>
          <w:b/>
          <w:color w:val="808080"/>
        </w:rPr>
        <w:t>[</w:t>
      </w:r>
      <w:r>
        <w:rPr/>
        <w:t>Bists,</w:t>
      </w:r>
      <w:r>
        <w:rPr>
          <w:b/>
          <w:color w:val="808080"/>
        </w:rPr>
        <w:t>]</w:t>
      </w:r>
      <w:r>
        <w:rPr/>
        <w:t xml:space="preserve"> der sprossen lässt das Gras für ViehUnd Pflanzen zum Nutzen </w:t>
      </w:r>
      <w:r>
        <w:rPr>
          <w:color w:val="808080"/>
        </w:rPr>
        <w:t>(für den Ackerbau)</w:t>
      </w:r>
      <w:r>
        <w:rPr/>
        <w:t xml:space="preserve"> der Menschen: </w:t>
      </w:r>
      <w:r>
        <w:rPr>
          <w:position w:val="8"/>
          <w:sz w:val="19"/>
        </w:rPr>
        <w:t>[[ ℘ &gt;&gt; BibleTOBIBLE:Ps 136:25]][[ ℘ &gt;&gt; BibleTOBIBLE:Ps 145:15]][[ ℘ &gt;&gt; BibleTOBIBLE:Ps 147:9]]</w:t>
      </w:r>
      <w:r>
        <w:rPr/>
        <w:t xml:space="preserve">Damit </w:t>
      </w:r>
      <w:r>
        <w:rPr>
          <w:b/>
          <w:color w:val="808080"/>
        </w:rPr>
        <w:t>[</w:t>
      </w:r>
      <w:r>
        <w:rPr/>
        <w:t>dieser</w:t>
      </w:r>
      <w:r>
        <w:rPr>
          <w:b/>
          <w:color w:val="808080"/>
        </w:rPr>
        <w:t>]</w:t>
      </w:r>
      <w:r>
        <w:rPr/>
        <w:t xml:space="preserve"> Brot aus der Erde hervorbringe </w:t>
      </w:r>
      <w:r>
        <w:rPr>
          <w:color w:val="808080"/>
        </w:rPr>
        <w:t>(um hervorzubringen...)</w:t>
      </w:r>
      <w:r>
        <w:rPr/>
        <w:t xml:space="preserve">, </w:t>
      </w:r>
      <w:r>
        <w:rPr>
          <w:position w:val="8"/>
          <w:sz w:val="19"/>
        </w:rPr>
        <w:t>[[ ℘ &gt;&gt; BibleTOBIBLE:Ge 2:5]][[ ℘ &gt;&gt; BibleTOBIBLE:Ge 3:17]]</w:t>
      </w:r>
      <w:r>
        <w:rPr/>
        <w:t xml:space="preserve"> </w:t>
        <w:br/>
        <w:t xml:space="preserve">{{field-off:bible}} </w:t>
        <w:br/>
        <w:t>[[@BibleTOBIBLE:Ps 104:15]]</w:t>
      </w:r>
      <w:r>
        <w:rPr>
          <w:b/>
        </w:rPr>
        <w:t>15</w:t>
      </w:r>
      <w:r>
        <w:rPr/>
        <w:t xml:space="preserve"> {{field-on:bible}} </w:t>
        <w:br/>
        <w:t xml:space="preserve">Soll Menschenherzen Wein erfreuen; </w:t>
      </w:r>
      <w:r>
        <w:rPr>
          <w:position w:val="8"/>
          <w:sz w:val="19"/>
        </w:rPr>
        <w:t>[[ ℘ &gt;&gt; BibleTOBIBLE:Jdg 9:13]][[ ℘ &gt;&gt; BibleTOBIBLE:Ec 10:19]][[ ℘ &gt;&gt; BibleTOBIBLE:Sir 31:27]][[ ℘ &gt;&gt; BibleTOBIBLE:Sir 40:20]]</w:t>
      </w:r>
      <w:r>
        <w:rPr/>
        <w:t xml:space="preserve">Damit ihr Gesicht von Öl glänzt </w:t>
      </w:r>
      <w:r>
        <w:rPr>
          <w:color w:val="808080"/>
        </w:rPr>
        <w:t>(mehr glänzt als Öl)</w:t>
      </w:r>
      <w:r>
        <w:rPr/>
        <w:t xml:space="preserve">, </w:t>
      </w:r>
      <w:r>
        <w:rPr>
          <w:position w:val="8"/>
          <w:sz w:val="19"/>
        </w:rPr>
        <w:t>[[ ℘ &gt;&gt; BibleTOBIBLE:Ps 23:5]][[ ℘ &gt;&gt; BibleTOBIBLE:Pr 21:7]][[ ℘ &gt;&gt; BibleTOBIBLE:Am 6:6]][[ ℘ &gt;&gt; BibleTOBIBLE:Mk 14:3]]</w:t>
      </w:r>
      <w:r>
        <w:rPr/>
        <w:t xml:space="preserve">Soll Menschenherzen Brot </w:t>
      </w:r>
      <w:r>
        <w:rPr>
          <w:color w:val="808080"/>
        </w:rPr>
        <w:t>(Nahrung)</w:t>
      </w:r>
      <w:r>
        <w:rPr/>
        <w:t xml:space="preserve"> stärken. </w:t>
      </w:r>
      <w:r>
        <w:rPr>
          <w:position w:val="8"/>
          <w:sz w:val="19"/>
        </w:rPr>
        <w:t>[[ ℘ &gt;&gt; BibleTOBIBLE:Ge 18:5]][[ ℘ &gt;&gt; BibleTOBIBLE:Jdg 19:5]][[ ℘ &gt;&gt; BibleTOBIBLE:Ec 9:7]]</w:t>
      </w:r>
      <w:r>
        <w:rPr/>
        <w:t xml:space="preserve"> </w:t>
        <w:br/>
        <w:t xml:space="preserve">{{field-off:bible}} </w:t>
        <w:br/>
        <w:t>[[@BibleTOBIBLE:Ps 104:16]]</w:t>
      </w:r>
      <w:r>
        <w:rPr>
          <w:b/>
        </w:rPr>
        <w:t>16</w:t>
      </w:r>
      <w:r>
        <w:rPr/>
        <w:t xml:space="preserve"> {{field-on:bible}} </w:t>
        <w:br/>
        <w:t xml:space="preserve">Es sollen sitt werden </w:t>
      </w:r>
      <w:r>
        <w:rPr>
          <w:color w:val="808080"/>
        </w:rPr>
        <w:t>(sättigen)</w:t>
      </w:r>
      <w:r>
        <w:rPr/>
        <w:t xml:space="preserve"> </w:t>
      </w:r>
      <w:r>
        <w:rPr>
          <w:rStyle w:val="Funotenanker"/>
        </w:rPr>
        <w:footnoteReference w:customMarkFollows="1" w:id="1084"/>
        <w:t>ag</w:t>
      </w:r>
      <w:r>
        <w:rPr/>
        <w:t xml:space="preserve"> die Bäume des Feldes </w:t>
      </w:r>
      <w:r>
        <w:rPr>
          <w:color w:val="808080"/>
        </w:rPr>
        <w:t>(</w:t>
      </w:r>
      <w:r>
        <w:rPr>
          <w:smallCaps/>
          <w:color w:val="FF0000"/>
        </w:rPr>
        <w:t>JHWH</w:t>
      </w:r>
      <w:r>
        <w:rPr>
          <w:color w:val="808080"/>
        </w:rPr>
        <w:t>s)</w:t>
      </w:r>
      <w:r>
        <w:rPr/>
        <w:t>,</w:t>
      </w:r>
      <w:r>
        <w:rPr>
          <w:rStyle w:val="Funotenanker"/>
        </w:rPr>
        <w:footnoteReference w:customMarkFollows="1" w:id="1085"/>
        <w:t>ah</w:t>
      </w:r>
      <w:r>
        <w:rPr/>
        <w:t>Die Libanon-zedern,</w:t>
      </w:r>
      <w:r>
        <w:rPr>
          <w:rStyle w:val="Funotenanker"/>
        </w:rPr>
        <w:footnoteReference w:customMarkFollows="1" w:id="1086"/>
        <w:t>ai</w:t>
      </w:r>
      <w:r>
        <w:rPr/>
        <w:t xml:space="preserve"> die er gepflanzt hat. </w:t>
      </w:r>
      <w:r>
        <w:rPr>
          <w:position w:val="8"/>
          <w:sz w:val="19"/>
        </w:rPr>
        <w:t>[[ ℘ &gt;&gt; BibleTOBIBLE:Nu 24:6]]</w:t>
      </w:r>
      <w:r>
        <w:rPr/>
        <w:t xml:space="preserve"> </w:t>
        <w:br/>
        <w:t xml:space="preserve">{{field-off:bible}} </w:t>
        <w:br/>
        <w:t>[[@BibleTOBIBLE:Ps 104:17]]</w:t>
      </w:r>
      <w:r>
        <w:rPr>
          <w:b/>
        </w:rPr>
        <w:t>17</w:t>
      </w:r>
      <w:r>
        <w:rPr/>
        <w:t xml:space="preserve"> {{field-on:bible}} </w:t>
        <w:br/>
        <w:t xml:space="preserve">Dort </w:t>
      </w:r>
      <w:r>
        <w:rPr>
          <w:color w:val="808080"/>
        </w:rPr>
        <w:t>(, auf denen)</w:t>
      </w:r>
      <w:r>
        <w:rPr/>
        <w:t xml:space="preserve"> </w:t>
      </w:r>
      <w:r>
        <w:rPr>
          <w:rStyle w:val="Funotenanker"/>
        </w:rPr>
        <w:footnoteReference w:customMarkFollows="1" w:id="1087"/>
        <w:t>aj</w:t>
      </w:r>
      <w:r>
        <w:rPr/>
        <w:t xml:space="preserve"> sollen Vöglein nisten,Der Habicht </w:t>
      </w:r>
      <w:r>
        <w:rPr>
          <w:color w:val="808080"/>
        </w:rPr>
        <w:t>(Storch?, Reiher?)</w:t>
      </w:r>
      <w:r>
        <w:rPr/>
        <w:t xml:space="preserve"> </w:t>
      </w:r>
      <w:r>
        <w:rPr>
          <w:rStyle w:val="Funotenanker"/>
        </w:rPr>
        <w:footnoteReference w:customMarkFollows="1" w:id="1088"/>
        <w:t>ak</w:t>
      </w:r>
      <w:r>
        <w:rPr/>
        <w:t xml:space="preserve"> in ihren Wipfeln </w:t>
      </w:r>
      <w:r>
        <w:rPr>
          <w:color w:val="808080"/>
        </w:rPr>
        <w:t>(auf Zypressen)</w:t>
      </w:r>
      <w:r>
        <w:rPr/>
        <w:t xml:space="preserve"> </w:t>
      </w:r>
      <w:r>
        <w:rPr>
          <w:rStyle w:val="Funotenanker"/>
        </w:rPr>
        <w:footnoteReference w:customMarkFollows="1" w:id="1089"/>
        <w:t>al</w:t>
      </w:r>
      <w:r>
        <w:rPr/>
        <w:t xml:space="preserve"> sein Haus </w:t>
      </w:r>
      <w:r>
        <w:rPr>
          <w:b/>
          <w:color w:val="808080"/>
        </w:rPr>
        <w:t>[</w:t>
      </w:r>
      <w:r>
        <w:rPr/>
        <w:t>haben</w:t>
      </w:r>
      <w:r>
        <w:rPr>
          <w:b/>
          <w:color w:val="808080"/>
        </w:rPr>
        <w:t>]</w:t>
      </w:r>
      <w:r>
        <w:rPr/>
        <w:t>.</w:t>
      </w:r>
      <w:r>
        <w:rPr>
          <w:position w:val="8"/>
          <w:sz w:val="19"/>
        </w:rPr>
        <w:t>[[ ℘ &gt;&gt; BibleTOBIBLE:Je 22:23]][[ ℘ &gt;&gt; BibleTOBIBLE:Eze 17:23]]</w:t>
      </w:r>
      <w:r>
        <w:rPr/>
        <w:t xml:space="preserve"> </w:t>
        <w:br/>
        <w:t xml:space="preserve">{{field-off:bible}} </w:t>
        <w:br/>
        <w:t>[[@BibleTOBIBLE:Ps 104:18]]</w:t>
      </w:r>
      <w:r>
        <w:rPr>
          <w:b/>
        </w:rPr>
        <w:t>18</w:t>
      </w:r>
      <w:r>
        <w:rPr/>
        <w:t xml:space="preserve"> {{field-on:bible}} </w:t>
        <w:br/>
        <w:t xml:space="preserve">Die hohen Berge </w:t>
      </w:r>
      <w:r>
        <w:rPr>
          <w:b/>
          <w:color w:val="808080"/>
        </w:rPr>
        <w:t>[</w:t>
      </w:r>
      <w:r>
        <w:rPr/>
        <w:t>sollen</w:t>
      </w:r>
      <w:r>
        <w:rPr>
          <w:b/>
          <w:color w:val="808080"/>
        </w:rPr>
        <w:t>]</w:t>
      </w:r>
      <w:r>
        <w:rPr/>
        <w:t xml:space="preserve"> den Steinböcken </w:t>
      </w:r>
      <w:r>
        <w:rPr>
          <w:b/>
          <w:color w:val="808080"/>
        </w:rPr>
        <w:t>[</w:t>
      </w:r>
      <w:r>
        <w:rPr/>
        <w:t>gehören</w:t>
      </w:r>
      <w:r>
        <w:rPr>
          <w:b/>
          <w:color w:val="808080"/>
        </w:rPr>
        <w:t>]</w:t>
      </w:r>
      <w:r>
        <w:rPr/>
        <w:t xml:space="preserve">,Die Felsen den Klippdachsen Zuflucht </w:t>
      </w:r>
      <w:r>
        <w:rPr>
          <w:b/>
          <w:color w:val="808080"/>
        </w:rPr>
        <w:t>[</w:t>
      </w:r>
      <w:r>
        <w:rPr/>
        <w:t>sein</w:t>
      </w:r>
      <w:r>
        <w:rPr>
          <w:b/>
          <w:color w:val="808080"/>
        </w:rPr>
        <w:t>]</w:t>
      </w:r>
      <w:r>
        <w:rPr/>
        <w:t>.</w:t>
        <w:br/>
        <w:br/>
        <w:t xml:space="preserve">{{field-off:bible}} </w:t>
        <w:br/>
        <w:t>[[@BibleTOBIBLE:Ps 104:19]]</w:t>
      </w:r>
      <w:r>
        <w:rPr>
          <w:b/>
        </w:rPr>
        <w:t>19</w:t>
      </w:r>
      <w:r>
        <w:rPr/>
        <w:t xml:space="preserve"> {{field-on:bible}} </w:t>
        <w:br/>
        <w:t>Er machte den Mond für Festzeiten,</w:t>
      </w:r>
      <w:r>
        <w:rPr>
          <w:rStyle w:val="Funotenanker"/>
        </w:rPr>
        <w:footnoteReference w:customMarkFollows="1" w:id="1090"/>
        <w:t>am</w:t>
      </w:r>
      <w:r>
        <w:rPr/>
        <w:t xml:space="preserve"> </w:t>
      </w:r>
      <w:r>
        <w:rPr>
          <w:position w:val="8"/>
          <w:sz w:val="19"/>
        </w:rPr>
        <w:t>[[ ℘ &gt;&gt; BibleTOBIBLE:Ge 1:14]][[ ℘ &gt;&gt; BibleTOBIBLE:Ps 8:3]][[ ℘ &gt;&gt; BibleTOBIBLE:Sir 43:6]]</w:t>
      </w:r>
      <w:r>
        <w:rPr/>
        <w:t>Die Sonne kennt ihren Untergang.</w:t>
      </w:r>
      <w:r>
        <w:rPr>
          <w:rStyle w:val="Funotenanker"/>
        </w:rPr>
        <w:footnoteReference w:customMarkFollows="1" w:id="1091"/>
        <w:t>an</w:t>
      </w:r>
      <w:r>
        <w:rPr/>
        <w:t xml:space="preserve"> </w:t>
      </w:r>
      <w:r>
        <w:rPr>
          <w:position w:val="8"/>
          <w:sz w:val="19"/>
        </w:rPr>
        <w:t>[[ ℘ &gt;&gt; BibleTOBIBLE:Job 38:12]][[ ℘ &gt;&gt; BibleTOBIBLE:Ps 136:7]][[ ℘ &gt;&gt; BibleTOBIBLE:Je 31:35]]</w:t>
      </w:r>
      <w:r>
        <w:rPr/>
        <w:t xml:space="preserve"> </w:t>
        <w:br/>
        <w:t xml:space="preserve">{{field-off:bible}} </w:t>
        <w:br/>
        <w:t>[[@BibleTOBIBLE:Ps 104:20]]</w:t>
      </w:r>
      <w:r>
        <w:rPr>
          <w:b/>
        </w:rPr>
        <w:t>20</w:t>
      </w:r>
      <w:r>
        <w:rPr/>
        <w:t xml:space="preserve"> {{field-on:bible}} </w:t>
        <w:br/>
        <w:t>Du willst Finsternis setzen,Es soll Nacht werden,</w:t>
      </w:r>
      <w:r>
        <w:rPr>
          <w:rStyle w:val="Funotenanker"/>
        </w:rPr>
        <w:footnoteReference w:customMarkFollows="1" w:id="1092"/>
        <w:t>ao</w:t>
      </w:r>
      <w:r>
        <w:rPr/>
        <w:t xml:space="preserve"> </w:t>
      </w:r>
      <w:r>
        <w:rPr>
          <w:position w:val="8"/>
          <w:sz w:val="19"/>
        </w:rPr>
        <w:t>[[ ℘ &gt;&gt; BibleTOBIBLE:Ps 74:16]][[ ℘ &gt;&gt; BibleTOBIBLE:Is 45:7]]</w:t>
      </w:r>
      <w:r>
        <w:rPr/>
        <w:t xml:space="preserve">In ihr sollen alle Waldtiere schleichen </w:t>
      </w:r>
      <w:r>
        <w:rPr>
          <w:color w:val="808080"/>
        </w:rPr>
        <w:t>(pirschen)</w:t>
      </w:r>
      <w:r>
        <w:rPr/>
        <w:t>:</w:t>
        <w:br/>
        <w:t xml:space="preserve">{{field-off:bible}} </w:t>
        <w:br/>
        <w:t>[[@BibleTOBIBLE:Ps 104:21]]</w:t>
      </w:r>
      <w:r>
        <w:rPr>
          <w:b/>
        </w:rPr>
        <w:t>21</w:t>
      </w:r>
      <w:r>
        <w:rPr/>
        <w:t xml:space="preserve"> {{field-on:bible}} </w:t>
        <w:br/>
        <w:t xml:space="preserve">Die Junglöwen brüllen nach Beute, Um zu fordern von Gott ihre Speise. </w:t>
      </w:r>
      <w:r>
        <w:rPr>
          <w:position w:val="8"/>
          <w:sz w:val="19"/>
        </w:rPr>
        <w:t>[[ ℘ &gt;&gt; BibleTOBIBLE:Job 38:39]][[ ℘ &gt;&gt; BibleTOBIBLE:Ps 34:11]][[ ℘ &gt;&gt; BibleTOBIBLE:Ps 147:9]][[ ℘ &gt;&gt; BibleTOBIBLE:Am 3:4]][[ ℘ &gt;&gt; BibleTOBIBLE:Joe 1:18]]</w:t>
      </w:r>
      <w:r>
        <w:rPr/>
        <w:t xml:space="preserve"> </w:t>
        <w:br/>
        <w:t xml:space="preserve">{{field-off:bible}} </w:t>
        <w:br/>
        <w:t>[[@BibleTOBIBLE:Ps 104:22]]</w:t>
      </w:r>
      <w:r>
        <w:rPr>
          <w:b/>
        </w:rPr>
        <w:t>22</w:t>
      </w:r>
      <w:r>
        <w:rPr/>
        <w:t xml:space="preserve"> {{field-on:bible}} </w:t>
        <w:br/>
        <w:t>Die Sonne soll scheinen,Sie sollen sich sammeln und in ihre Höhlen legen.</w:t>
      </w:r>
      <w:r>
        <w:rPr>
          <w:rStyle w:val="Funotenanker"/>
        </w:rPr>
        <w:footnoteReference w:customMarkFollows="1" w:id="1093"/>
        <w:t>ap</w:t>
      </w:r>
      <w:r>
        <w:rPr/>
        <w:t xml:space="preserve"> </w:t>
        <w:br/>
        <w:t xml:space="preserve">{{field-off:bible}} </w:t>
        <w:br/>
        <w:t>[[@BibleTOBIBLE:Ps 104:23]]</w:t>
      </w:r>
      <w:r>
        <w:rPr>
          <w:b/>
        </w:rPr>
        <w:t>23</w:t>
      </w:r>
      <w:r>
        <w:rPr/>
        <w:t xml:space="preserve"> {{field-on:bible}} </w:t>
        <w:br/>
        <w:t xml:space="preserve">Der Mensch soll an sein Werk gehenUnd an seine Arbeit bis zum Abend. </w:t>
      </w:r>
      <w:r>
        <w:rPr>
          <w:position w:val="8"/>
          <w:sz w:val="19"/>
        </w:rPr>
        <w:t>[[ ℘ &gt;&gt; BibleTOBIBLE:Ge 3:19]]</w:t>
      </w:r>
      <w:r>
        <w:rPr/>
        <w:t xml:space="preserve"> </w:t>
        <w:br/>
        <w:br/>
        <w:t xml:space="preserve">{{field-off:bible}} </w:t>
        <w:br/>
        <w:t>[[@BibleTOBIBLE:Ps 104:24]]</w:t>
      </w:r>
      <w:r>
        <w:rPr>
          <w:b/>
        </w:rPr>
        <w:t>24</w:t>
      </w:r>
      <w:r>
        <w:rPr/>
        <w:t xml:space="preserve"> {{field-on:bible}} </w:t>
        <w:br/>
        <w:t xml:space="preserve">Wie zahlreich </w:t>
      </w:r>
      <w:r>
        <w:rPr>
          <w:color w:val="808080"/>
        </w:rPr>
        <w:t>(groß)</w:t>
      </w:r>
      <w:r>
        <w:rPr/>
        <w:t xml:space="preserve"> </w:t>
      </w:r>
      <w:r>
        <w:rPr>
          <w:b/>
          <w:color w:val="808080"/>
        </w:rPr>
        <w:t>[</w:t>
      </w:r>
      <w:r>
        <w:rPr/>
        <w:t>sind</w:t>
      </w:r>
      <w:r>
        <w:rPr>
          <w:b/>
          <w:color w:val="808080"/>
        </w:rPr>
        <w:t>]</w:t>
      </w:r>
      <w:r>
        <w:rPr/>
        <w:t xml:space="preserve"> deine Werke, </w:t>
      </w:r>
      <w:r>
        <w:rPr>
          <w:smallCaps/>
          <w:color w:val="FF0000"/>
        </w:rPr>
        <w:t>JHWH</w:t>
      </w:r>
      <w:r>
        <w:rPr/>
        <w:t xml:space="preserve">! </w:t>
      </w:r>
      <w:r>
        <w:rPr>
          <w:position w:val="8"/>
          <w:sz w:val="19"/>
        </w:rPr>
        <w:t>[[ ℘ &gt;&gt; BibleTOBIBLE:Ps 92:6]]</w:t>
      </w:r>
      <w:r>
        <w:rPr/>
        <w:t xml:space="preserve">Sie alle hast du mit Weisheit gemacht! </w:t>
      </w:r>
      <w:r>
        <w:rPr>
          <w:position w:val="8"/>
          <w:sz w:val="19"/>
        </w:rPr>
        <w:t>[[ ℘ &gt;&gt; BibleTOBIBLE:Ne 9:6]][[ ℘ &gt;&gt; BibleTOBIBLE:Ps 136:5]][[ ℘ &gt;&gt; BibleTOBIBLE:Pr 3:19]][[ ℘ &gt;&gt; BibleTOBIBLE:Sir 43:33]][[ ℘ &gt;&gt; BibleTOBIBLE:Je 10:12]]</w:t>
      </w:r>
      <w:r>
        <w:rPr/>
        <w:t xml:space="preserve">Voll ist die Erde mit seinem Besitz, </w:t>
      </w:r>
      <w:r>
        <w:rPr>
          <w:position w:val="8"/>
          <w:sz w:val="19"/>
        </w:rPr>
        <w:t>[[ ℘ &gt;&gt; BibleTOBIBLE:Ps 24:1]][[ ℘ &gt;&gt; BibleTOBIBLE:Ps 50:10]][[ ℘ &gt;&gt; BibleTOBIBLE:Sir 16:29]]</w:t>
      </w:r>
      <w:r>
        <w:rPr/>
        <w:t xml:space="preserve"> </w:t>
        <w:br/>
        <w:t xml:space="preserve">{{field-off:bible}} </w:t>
        <w:br/>
        <w:t>[[@BibleTOBIBLE:Ps 104:25]]</w:t>
      </w:r>
      <w:r>
        <w:rPr>
          <w:b/>
        </w:rPr>
        <w:t>25</w:t>
      </w:r>
      <w:r>
        <w:rPr/>
        <w:t xml:space="preserve"> {{field-on:bible}} </w:t>
        <w:br/>
        <w:t xml:space="preserve">So auch das Meer: </w:t>
      </w:r>
      <w:r>
        <w:rPr>
          <w:color w:val="808080"/>
        </w:rPr>
        <w:t xml:space="preserve">(Dies – das Meer – </w:t>
      </w:r>
      <w:r>
        <w:rPr>
          <w:b/>
          <w:color w:val="808080"/>
        </w:rPr>
        <w:t>[</w:t>
      </w:r>
      <w:r>
        <w:rPr>
          <w:color w:val="808080"/>
        </w:rPr>
        <w:t>ist</w:t>
      </w:r>
      <w:r>
        <w:rPr>
          <w:b/>
          <w:color w:val="808080"/>
        </w:rPr>
        <w:t>]</w:t>
      </w:r>
      <w:r>
        <w:rPr>
          <w:color w:val="808080"/>
        </w:rPr>
        <w:t xml:space="preserve">, dort </w:t>
      </w:r>
      <w:r>
        <w:rPr>
          <w:b/>
          <w:color w:val="808080"/>
        </w:rPr>
        <w:t>[</w:t>
      </w:r>
      <w:r>
        <w:rPr>
          <w:color w:val="808080"/>
        </w:rPr>
        <w:t>ist</w:t>
      </w:r>
      <w:r>
        <w:rPr>
          <w:b/>
          <w:color w:val="808080"/>
        </w:rPr>
        <w:t>]</w:t>
      </w:r>
      <w:r>
        <w:rPr>
          <w:color w:val="808080"/>
        </w:rPr>
        <w:t xml:space="preserve"> das Meer:)</w:t>
      </w:r>
      <w:r>
        <w:rPr/>
        <w:t xml:space="preserve"> </w:t>
      </w:r>
      <w:r>
        <w:rPr>
          <w:rStyle w:val="Funotenanker"/>
        </w:rPr>
        <w:footnoteReference w:customMarkFollows="1" w:id="1094"/>
        <w:t>aq</w:t>
      </w:r>
      <w:r>
        <w:rPr/>
        <w:t xml:space="preserve"> groß und weit </w:t>
      </w:r>
      <w:r>
        <w:rPr>
          <w:strike/>
          <w:color w:val="808080"/>
        </w:rPr>
        <w:t>{die Seiten}</w:t>
      </w:r>
      <w:r>
        <w:rPr/>
        <w:t>:</w:t>
      </w:r>
      <w:r>
        <w:rPr>
          <w:rStyle w:val="Funotenanker"/>
        </w:rPr>
        <w:footnoteReference w:customMarkFollows="1" w:id="1095"/>
        <w:t>ar</w:t>
      </w:r>
      <w:r>
        <w:rPr/>
        <w:t xml:space="preserve"> </w:t>
      </w:r>
      <w:r>
        <w:rPr>
          <w:position w:val="8"/>
          <w:sz w:val="19"/>
        </w:rPr>
        <w:t>[[ ℘ &gt;&gt; BibleTOBIBLE:Ps 95:5]]</w:t>
      </w:r>
      <w:r>
        <w:rPr/>
        <w:t xml:space="preserve">Dort </w:t>
      </w:r>
      <w:r>
        <w:rPr>
          <w:b/>
          <w:color w:val="808080"/>
        </w:rPr>
        <w:t>[</w:t>
      </w:r>
      <w:r>
        <w:rPr/>
        <w:t>gibt es</w:t>
      </w:r>
      <w:r>
        <w:rPr>
          <w:b/>
          <w:color w:val="808080"/>
        </w:rPr>
        <w:t>]</w:t>
      </w:r>
      <w:r>
        <w:rPr/>
        <w:t xml:space="preserve"> Gewürm</w:t>
      </w:r>
      <w:r>
        <w:rPr>
          <w:rStyle w:val="Funotenanker"/>
        </w:rPr>
        <w:footnoteReference w:customMarkFollows="1" w:id="1096"/>
        <w:t>as</w:t>
      </w:r>
      <w:r>
        <w:rPr/>
        <w:t xml:space="preserve"> ohne Zahl,Kleine Tiere und große. </w:t>
      </w:r>
      <w:r>
        <w:rPr>
          <w:position w:val="8"/>
          <w:sz w:val="19"/>
        </w:rPr>
        <w:t>[[ ℘ &gt;&gt; BibleTOBIBLE:Ge 1:20]]</w:t>
      </w:r>
      <w:r>
        <w:rPr/>
        <w:t xml:space="preserve"> </w:t>
        <w:br/>
        <w:t xml:space="preserve">{{field-off:bible}} </w:t>
        <w:br/>
        <w:t>[[@BibleTOBIBLE:Ps 104:26]]</w:t>
      </w:r>
      <w:r>
        <w:rPr>
          <w:b/>
        </w:rPr>
        <w:t>26</w:t>
      </w:r>
      <w:r>
        <w:rPr/>
        <w:t xml:space="preserve"> {{field-on:bible}} </w:t>
        <w:br/>
        <w:t xml:space="preserve">Dort schwimmen Schiffe, </w:t>
      </w:r>
      <w:r>
        <w:rPr>
          <w:color w:val="808080"/>
        </w:rPr>
        <w:t>(schwimmen dort gleich Schiffen.)</w:t>
      </w:r>
      <w:r>
        <w:rPr/>
        <w:t xml:space="preserve"> </w:t>
      </w:r>
      <w:r>
        <w:rPr>
          <w:rStyle w:val="Funotenanker"/>
        </w:rPr>
        <w:footnoteReference w:customMarkFollows="1" w:id="1097"/>
        <w:t>at</w:t>
      </w:r>
      <w:r>
        <w:rPr/>
        <w:t xml:space="preserve"> </w:t>
      </w:r>
      <w:r>
        <w:rPr>
          <w:b/>
          <w:color w:val="808080"/>
        </w:rPr>
        <w:t>[</w:t>
      </w:r>
      <w:r>
        <w:rPr/>
        <w:t>Schwimmt der</w:t>
      </w:r>
      <w:r>
        <w:rPr>
          <w:b/>
          <w:color w:val="808080"/>
        </w:rPr>
        <w:t>]</w:t>
      </w:r>
      <w:r>
        <w:rPr/>
        <w:t xml:space="preserve"> Leviathan, den du gebildet, um mit ihm Spaß zu haben </w:t>
      </w:r>
      <w:r>
        <w:rPr>
          <w:color w:val="808080"/>
        </w:rPr>
        <w:t>(damit er darinnen Spaß habe)</w:t>
      </w:r>
      <w:r>
        <w:rPr/>
        <w:t>.</w:t>
      </w:r>
      <w:r>
        <w:rPr>
          <w:rStyle w:val="Funotenanker"/>
        </w:rPr>
        <w:footnoteReference w:customMarkFollows="1" w:id="1098"/>
        <w:t>au</w:t>
      </w:r>
      <w:r>
        <w:rPr/>
        <w:t xml:space="preserve"> </w:t>
      </w:r>
      <w:r>
        <w:rPr>
          <w:position w:val="8"/>
          <w:sz w:val="19"/>
        </w:rPr>
        <w:t>[[ ℘ &gt;&gt; BibleTOBIBLE:Job 40:25]][[ ℘ &gt;&gt; BibleTOBIBLE:Sir 43:25]]</w:t>
      </w:r>
      <w:r>
        <w:rPr/>
        <w:t xml:space="preserve"> </w:t>
        <w:br/>
        <w:t xml:space="preserve">{{field-off:bible}} </w:t>
        <w:br/>
        <w:t>[[@BibleTOBIBLE:Ps 104:27]]</w:t>
      </w:r>
      <w:r>
        <w:rPr>
          <w:b/>
        </w:rPr>
        <w:t>27</w:t>
      </w:r>
      <w:r>
        <w:rPr/>
        <w:t xml:space="preserve"> {{field-on:bible}} </w:t>
        <w:br/>
        <w:t xml:space="preserve">Sie alle warten auf dich,dass du </w:t>
      </w:r>
      <w:r>
        <w:rPr>
          <w:b/>
          <w:color w:val="808080"/>
        </w:rPr>
        <w:t>[</w:t>
      </w:r>
      <w:r>
        <w:rPr/>
        <w:t>ihnen</w:t>
      </w:r>
      <w:r>
        <w:rPr>
          <w:b/>
          <w:color w:val="808080"/>
        </w:rPr>
        <w:t>]</w:t>
      </w:r>
      <w:r>
        <w:rPr/>
        <w:t xml:space="preserve"> </w:t>
      </w:r>
      <w:r>
        <w:rPr>
          <w:rStyle w:val="Funotenanker"/>
        </w:rPr>
        <w:footnoteReference w:customMarkFollows="1" w:id="1099"/>
        <w:t>av</w:t>
      </w:r>
      <w:r>
        <w:rPr/>
        <w:t xml:space="preserve"> gibst Nahrung zur rechten Zeit.</w:t>
      </w:r>
      <w:r>
        <w:rPr>
          <w:rStyle w:val="Funotenanker"/>
        </w:rPr>
        <w:footnoteReference w:customMarkFollows="1" w:id="1100"/>
        <w:t>aw</w:t>
      </w:r>
      <w:r>
        <w:rPr/>
        <w:t xml:space="preserve"> </w:t>
      </w:r>
      <w:r>
        <w:rPr>
          <w:position w:val="8"/>
          <w:sz w:val="19"/>
        </w:rPr>
        <w:t>[[ ℘ &gt;&gt; BibleTOBIBLE:Job 38:41]][[ ℘ &gt;&gt; BibleTOBIBLE:Ps 136:25]][[ ℘ &gt;&gt; BibleTOBIBLE:Ps 145:15]][[ ℘ &gt;&gt; BibleTOBIBLE:Ps 147:9]]</w:t>
      </w:r>
      <w:r>
        <w:rPr/>
        <w:t xml:space="preserve"> </w:t>
        <w:br/>
        <w:t xml:space="preserve">{{field-off:bible}} </w:t>
        <w:br/>
        <w:t>[[@BibleTOBIBLE:Ps 104:28]]</w:t>
      </w:r>
      <w:r>
        <w:rPr>
          <w:b/>
        </w:rPr>
        <w:t>28</w:t>
      </w:r>
      <w:r>
        <w:rPr/>
        <w:t xml:space="preserve"> {{field-on:bible}} </w:t>
        <w:br/>
        <w:t xml:space="preserve">Du gibst ihnen </w:t>
      </w:r>
      <w:r>
        <w:rPr>
          <w:color w:val="808080"/>
        </w:rPr>
        <w:t>(Gibst du ihnen,...)</w:t>
      </w:r>
      <w:r>
        <w:rPr/>
        <w:t xml:space="preserve"> </w:t>
      </w:r>
      <w:r>
        <w:rPr>
          <w:b/>
          <w:color w:val="808080"/>
        </w:rPr>
        <w:t>[</w:t>
      </w:r>
      <w:r>
        <w:rPr/>
        <w:t>Nahrung</w:t>
      </w:r>
      <w:r>
        <w:rPr>
          <w:b/>
          <w:color w:val="808080"/>
        </w:rPr>
        <w:t>]</w:t>
      </w:r>
      <w:r>
        <w:rPr/>
        <w:t>,</w:t>
      </w:r>
      <w:r>
        <w:rPr>
          <w:rStyle w:val="Funotenanker"/>
        </w:rPr>
        <w:footnoteReference w:customMarkFollows="1" w:id="1101"/>
        <w:t>ax</w:t>
      </w:r>
      <w:r>
        <w:rPr/>
        <w:t xml:space="preserve"> sie sammeln </w:t>
      </w:r>
      <w:r>
        <w:rPr>
          <w:b/>
          <w:color w:val="808080"/>
        </w:rPr>
        <w:t>[</w:t>
      </w:r>
      <w:r>
        <w:rPr/>
        <w:t>sie</w:t>
      </w:r>
      <w:r>
        <w:rPr>
          <w:b/>
          <w:color w:val="808080"/>
        </w:rPr>
        <w:t>]</w:t>
      </w:r>
      <w:r>
        <w:rPr/>
        <w:t xml:space="preserve">.Du öffnest deine Hand </w:t>
      </w:r>
      <w:r>
        <w:rPr>
          <w:color w:val="808080"/>
        </w:rPr>
        <w:t>(Öffnest du deine Hand,...)</w:t>
      </w:r>
      <w:r>
        <w:rPr/>
        <w:t>, sie werden gesättigt mit Gutem.</w:t>
      </w:r>
      <w:r>
        <w:rPr>
          <w:rStyle w:val="Funotenanker"/>
        </w:rPr>
        <w:footnoteReference w:customMarkFollows="1" w:id="1102"/>
        <w:t>ay</w:t>
      </w:r>
      <w:r>
        <w:rPr/>
        <w:t xml:space="preserve"> </w:t>
        <w:br/>
        <w:t xml:space="preserve">{{field-off:bible}} </w:t>
        <w:br/>
        <w:t>[[@BibleTOBIBLE:Ps 104:29]]</w:t>
      </w:r>
      <w:r>
        <w:rPr>
          <w:b/>
        </w:rPr>
        <w:t>29</w:t>
      </w:r>
      <w:r>
        <w:rPr/>
        <w:t xml:space="preserve"> {{field-on:bible}} </w:t>
        <w:br/>
        <w:t xml:space="preserve">Du verbirgst dein Gesicht </w:t>
      </w:r>
      <w:r>
        <w:rPr>
          <w:color w:val="808080"/>
        </w:rPr>
        <w:t>(verbirgst du dein Gesicht,...)</w:t>
      </w:r>
      <w:r>
        <w:rPr/>
        <w:t>,</w:t>
      </w:r>
      <w:r>
        <w:rPr>
          <w:rStyle w:val="Funotenanker"/>
        </w:rPr>
        <w:footnoteReference w:customMarkFollows="1" w:id="1103"/>
        <w:t>az</w:t>
      </w:r>
      <w:r>
        <w:rPr/>
        <w:t xml:space="preserve"> sie werden vernichtet </w:t>
      </w:r>
      <w:r>
        <w:rPr>
          <w:color w:val="808080"/>
        </w:rPr>
        <w:t>(erschrecken)</w:t>
      </w:r>
      <w:r>
        <w:rPr/>
        <w:t xml:space="preserve">,Du nimmst ihren Atem </w:t>
      </w:r>
      <w:r>
        <w:rPr>
          <w:color w:val="808080"/>
        </w:rPr>
        <w:t>(Geist)</w:t>
      </w:r>
      <w:r>
        <w:rPr/>
        <w:t xml:space="preserve">, sie sterben </w:t>
      </w:r>
      <w:r>
        <w:rPr>
          <w:color w:val="808080"/>
        </w:rPr>
        <w:t>(hauchen aus)</w:t>
      </w:r>
      <w:r>
        <w:rPr/>
        <w:t>Und zu ihrem Staub kehren sie zurück.</w:t>
      </w:r>
      <w:r>
        <w:rPr>
          <w:rStyle w:val="Funotenanker"/>
        </w:rPr>
        <w:footnoteReference w:customMarkFollows="1" w:id="1104"/>
        <w:t>ba</w:t>
      </w:r>
      <w:r>
        <w:rPr/>
        <w:t xml:space="preserve"> </w:t>
        <w:br/>
        <w:t xml:space="preserve">{{field-off:bible}} </w:t>
        <w:br/>
        <w:t>[[@BibleTOBIBLE:Ps 104:30]]</w:t>
      </w:r>
      <w:r>
        <w:rPr>
          <w:b/>
        </w:rPr>
        <w:t>30</w:t>
      </w:r>
      <w:r>
        <w:rPr/>
        <w:t xml:space="preserve"> {{field-on:bible}} </w:t>
        <w:br/>
        <w:t xml:space="preserve">Du sendest deinen Atem </w:t>
      </w:r>
      <w:r>
        <w:rPr>
          <w:color w:val="808080"/>
        </w:rPr>
        <w:t>(Geist)</w:t>
      </w:r>
      <w:r>
        <w:rPr/>
        <w:t xml:space="preserve"> aus, sie werden geschaffen;Du erneuerst das Gesicht </w:t>
      </w:r>
      <w:r>
        <w:rPr>
          <w:color w:val="808080"/>
        </w:rPr>
        <w:t>(die Oberfläche)</w:t>
      </w:r>
      <w:r>
        <w:rPr/>
        <w:t xml:space="preserve"> der Erde.</w:t>
        <w:br/>
        <w:t xml:space="preserve">{{field-off:bible}} </w:t>
        <w:br/>
        <w:t>[[@BibleTOBIBLE:Ps 104:31]]</w:t>
      </w:r>
      <w:r>
        <w:rPr>
          <w:b/>
        </w:rPr>
        <w:t>31</w:t>
      </w:r>
      <w:r>
        <w:rPr/>
        <w:t xml:space="preserve"> {{field-on:bible}} </w:t>
        <w:br/>
        <w:t xml:space="preserve">Es währe die Herrlichkeit </w:t>
      </w:r>
      <w:r>
        <w:rPr>
          <w:color w:val="808080"/>
        </w:rPr>
        <w:t>(Pracht)</w:t>
      </w:r>
      <w:r>
        <w:rPr/>
        <w:t xml:space="preserve"> </w:t>
      </w:r>
      <w:r>
        <w:rPr>
          <w:smallCaps/>
          <w:color w:val="FF0000"/>
        </w:rPr>
        <w:t>JHWH</w:t>
      </w:r>
      <w:r>
        <w:rPr/>
        <w:t xml:space="preserve">s auf ewig,Es freue sich </w:t>
      </w:r>
      <w:r>
        <w:rPr>
          <w:smallCaps/>
          <w:color w:val="FF0000"/>
        </w:rPr>
        <w:t>JHWH</w:t>
      </w:r>
      <w:r>
        <w:rPr/>
        <w:t xml:space="preserve"> über seine Werke! </w:t>
      </w:r>
      <w:r>
        <w:rPr>
          <w:position w:val="8"/>
          <w:sz w:val="19"/>
        </w:rPr>
        <w:t>[[ ℘ &gt;&gt; BibleTOBIBLE:Ge 1:31]]</w:t>
      </w:r>
      <w:r>
        <w:rPr/>
        <w:t xml:space="preserve"> </w:t>
        <w:br/>
        <w:br/>
        <w:t xml:space="preserve">{{field-off:bible}} </w:t>
        <w:br/>
        <w:t>[[@BibleTOBIBLE:Ps 104:32]]</w:t>
      </w:r>
      <w:r>
        <w:rPr>
          <w:b/>
        </w:rPr>
        <w:t>32</w:t>
      </w:r>
      <w:r>
        <w:rPr/>
        <w:t xml:space="preserve"> {{field-on:bible}} </w:t>
        <w:br/>
        <w:t>Der auf die Erde blickt, so dass sie bebt,</w:t>
      </w:r>
      <w:r>
        <w:rPr>
          <w:rStyle w:val="Funotenanker"/>
        </w:rPr>
        <w:footnoteReference w:customMarkFollows="1" w:id="1105"/>
        <w:t>bb</w:t>
      </w:r>
      <w:r>
        <w:rPr/>
        <w:t xml:space="preserve"> </w:t>
      </w:r>
      <w:r>
        <w:rPr>
          <w:position w:val="8"/>
          <w:sz w:val="19"/>
        </w:rPr>
        <w:t>[[ ℘ &gt;&gt; BibleTOBIBLE:Ps 97:4]][[ ℘ &gt;&gt; BibleTOBIBLE:Is 24:20]][[ ℘ &gt;&gt; BibleTOBIBLE:Is 64:1]][[ ℘ &gt;&gt; BibleTOBIBLE:Na 1:5]]</w:t>
      </w:r>
      <w:r>
        <w:rPr/>
        <w:t xml:space="preserve">Er rührt die Berge an, sie rauchen. </w:t>
      </w:r>
      <w:r>
        <w:rPr>
          <w:position w:val="8"/>
          <w:sz w:val="19"/>
        </w:rPr>
        <w:t>[[ ℘ &gt;&gt; BibleTOBIBLE:Ex 19:18]][[ ℘ &gt;&gt; BibleTOBIBLE:Ps 97:5]][[ ℘ &gt;&gt; BibleTOBIBLE:Ps 144:5]][[ ℘ &gt;&gt; BibleTOBIBLE:Is 64:2]][[ ℘ &gt;&gt; BibleTOBIBLE:Na 1:6]]</w:t>
      </w:r>
      <w:r>
        <w:rPr/>
        <w:t xml:space="preserve"> </w:t>
        <w:br/>
        <w:t xml:space="preserve">{{field-off:bible}} </w:t>
        <w:br/>
        <w:t>[[@BibleTOBIBLE:Ps 104:33]]</w:t>
      </w:r>
      <w:r>
        <w:rPr>
          <w:b/>
        </w:rPr>
        <w:t>33</w:t>
      </w:r>
      <w:r>
        <w:rPr/>
        <w:t xml:space="preserve"> {{field-on:bible}} </w:t>
        <w:br/>
        <w:t xml:space="preserve">Ich will singen </w:t>
      </w:r>
      <w:r>
        <w:rPr>
          <w:smallCaps/>
          <w:color w:val="FF0000"/>
        </w:rPr>
        <w:t>JHWH</w:t>
      </w:r>
      <w:r>
        <w:rPr/>
        <w:t xml:space="preserve"> mein </w:t>
      </w:r>
      <w:r>
        <w:rPr>
          <w:b/>
          <w:color w:val="808080"/>
        </w:rPr>
        <w:t>[</w:t>
      </w:r>
      <w:r>
        <w:rPr/>
        <w:t>ganzes</w:t>
      </w:r>
      <w:r>
        <w:rPr>
          <w:b/>
          <w:color w:val="808080"/>
        </w:rPr>
        <w:t>]</w:t>
      </w:r>
      <w:r>
        <w:rPr/>
        <w:t xml:space="preserve"> Leben,ich will lobsingen meinem Gott meine </w:t>
      </w:r>
      <w:r>
        <w:rPr>
          <w:b/>
          <w:color w:val="808080"/>
        </w:rPr>
        <w:t>[</w:t>
      </w:r>
      <w:r>
        <w:rPr/>
        <w:t>ganze</w:t>
      </w:r>
      <w:r>
        <w:rPr>
          <w:b/>
          <w:color w:val="808080"/>
        </w:rPr>
        <w:t>]</w:t>
      </w:r>
      <w:r>
        <w:rPr/>
        <w:t xml:space="preserve"> Dauer, </w:t>
      </w:r>
      <w:r>
        <w:rPr>
          <w:position w:val="8"/>
          <w:sz w:val="19"/>
        </w:rPr>
        <w:t>[[ ℘ &gt;&gt; BibleTOBIBLE:Ps 145:2]][[ ℘ &gt;&gt; BibleTOBIBLE:Ps 146:2]]</w:t>
      </w:r>
      <w:r>
        <w:rPr/>
        <w:t xml:space="preserve"> </w:t>
        <w:br/>
        <w:t xml:space="preserve">{{field-off:bible}} </w:t>
        <w:br/>
        <w:t>[[@BibleTOBIBLE:Ps 104:34]]</w:t>
      </w:r>
      <w:r>
        <w:rPr>
          <w:b/>
        </w:rPr>
        <w:t>34</w:t>
      </w:r>
      <w:r>
        <w:rPr/>
        <w:t xml:space="preserve"> {{field-on:bible}} </w:t>
        <w:br/>
        <w:t xml:space="preserve">Möge ihm angenehm sein meine Rede </w:t>
      </w:r>
      <w:r>
        <w:rPr>
          <w:color w:val="808080"/>
        </w:rPr>
        <w:t>(mein Sinnen)</w:t>
      </w:r>
      <w:r>
        <w:rPr/>
        <w:t xml:space="preserve">,Ich will mich freuen über </w:t>
      </w:r>
      <w:r>
        <w:rPr>
          <w:smallCaps/>
          <w:color w:val="FF0000"/>
        </w:rPr>
        <w:t>JHWH</w:t>
      </w:r>
      <w:r>
        <w:rPr/>
        <w:t xml:space="preserve">! </w:t>
      </w:r>
      <w:r>
        <w:rPr>
          <w:position w:val="8"/>
          <w:sz w:val="19"/>
        </w:rPr>
        <w:t>[[ ℘ &gt;&gt; BibleTOBIBLE:Ps 19:15]]</w:t>
      </w:r>
      <w:r>
        <w:rPr/>
        <w:t xml:space="preserve"> </w:t>
        <w:br/>
        <w:t xml:space="preserve">{{field-off:bible}} </w:t>
        <w:br/>
        <w:t>[[@BibleTOBIBLE:Ps 104:35]]</w:t>
      </w:r>
      <w:r>
        <w:rPr>
          <w:b/>
        </w:rPr>
        <w:t>35</w:t>
      </w:r>
      <w:r>
        <w:rPr/>
        <w:t xml:space="preserve"> {{field-on:bible}} </w:t>
        <w:br/>
        <w:t xml:space="preserve">Es mögen </w:t>
      </w:r>
      <w:r>
        <w:rPr>
          <w:color w:val="808080"/>
        </w:rPr>
        <w:t>(werden)</w:t>
      </w:r>
      <w:r>
        <w:rPr/>
        <w:t xml:space="preserve"> schwinden Sünder von der ErdeUnd Frevler, von Dauer </w:t>
      </w:r>
      <w:r>
        <w:rPr>
          <w:b/>
          <w:color w:val="808080"/>
        </w:rPr>
        <w:t>[</w:t>
      </w:r>
      <w:r>
        <w:rPr/>
        <w:t xml:space="preserve">mögen </w:t>
      </w:r>
      <w:r>
        <w:rPr>
          <w:color w:val="808080"/>
        </w:rPr>
        <w:t>(werden)</w:t>
      </w:r>
      <w:r>
        <w:rPr>
          <w:b/>
          <w:color w:val="808080"/>
        </w:rPr>
        <w:t>]</w:t>
      </w:r>
      <w:r>
        <w:rPr/>
        <w:t xml:space="preserve"> sie nicht </w:t>
      </w:r>
      <w:r>
        <w:rPr>
          <w:b/>
          <w:color w:val="808080"/>
        </w:rPr>
        <w:t>[</w:t>
      </w:r>
      <w:r>
        <w:rPr/>
        <w:t>sein</w:t>
      </w:r>
      <w:r>
        <w:rPr>
          <w:b/>
          <w:color w:val="808080"/>
        </w:rPr>
        <w:t>]</w:t>
      </w:r>
      <w:r>
        <w:rPr/>
        <w:t>.</w:t>
        <w:br/>
        <w:br/>
        <w:t xml:space="preserve">Preise, meine Seele, </w:t>
      </w:r>
      <w:r>
        <w:rPr>
          <w:smallCaps/>
          <w:color w:val="FF0000"/>
        </w:rPr>
        <w:t>JHWH</w:t>
      </w:r>
      <w:r>
        <w:rPr/>
        <w:t xml:space="preserve">! –Hallelujah </w:t>
      </w:r>
      <w:r>
        <w:rPr>
          <w:color w:val="808080"/>
        </w:rPr>
        <w:t xml:space="preserve">(Preist Jah!, Preist </w:t>
      </w:r>
      <w:r>
        <w:rPr>
          <w:smallCaps/>
          <w:color w:val="FF0000"/>
        </w:rPr>
        <w:t>JHWH</w:t>
      </w:r>
      <w:r>
        <w:rPr>
          <w:color w:val="808080"/>
        </w:rPr>
        <w:t>!)</w:t>
      </w:r>
      <w:r>
        <w:rPr/>
        <w:t>!</w:t>
      </w:r>
      <w:r>
        <w:rPr>
          <w:rStyle w:val="Funotenanker"/>
        </w:rPr>
        <w:footnoteReference w:customMarkFollows="1" w:id="1106"/>
        <w:t>bc</w:t>
      </w:r>
      <w:r>
        <w:rPr/>
        <w:t xml:space="preserve"> </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1107"/>
        <w:t>Status</w:t>
      </w:r>
      <w:r>
        <w:rPr/>
        <w:t xml:space="preserve"> Ein Wallfahrtslied </w:t>
      </w:r>
      <w:r>
        <w:rPr>
          <w:color w:val="808080"/>
        </w:rPr>
        <w:t>(Stufenlied, Reiselied)</w:t>
      </w:r>
      <w:r>
        <w:rPr/>
        <w:t xml:space="preserve"> </w:t>
      </w:r>
      <w:r>
        <w:rPr>
          <w:rStyle w:val="Funotenanker"/>
        </w:rPr>
        <w:footnoteReference w:customMarkFollows="1" w:id="1108"/>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1109"/>
        <w:t>b</w:t>
      </w:r>
      <w:r>
        <w:rPr/>
        <w:t xml:space="preserve">, mein Herz </w:t>
      </w:r>
      <w:r>
        <w:rPr>
          <w:color w:val="808080"/>
        </w:rPr>
        <w:t>(ich)</w:t>
      </w:r>
      <w:r>
        <w:rPr/>
        <w:t xml:space="preserve"> </w:t>
      </w:r>
      <w:r>
        <w:rPr>
          <w:rStyle w:val="Funotenanker"/>
        </w:rPr>
        <w:footnoteReference w:customMarkFollows="1" w:id="1110"/>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1111"/>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1112"/>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1113"/>
        <w:t>f</w:t>
      </w:r>
      <w:r>
        <w:rPr/>
        <w:t xml:space="preserve"> </w:t>
      </w:r>
      <w:r>
        <w:rPr>
          <w:b/>
          <w:color w:val="808080"/>
        </w:rPr>
        <w:t>[</w:t>
      </w:r>
      <w:r>
        <w:rPr/>
        <w:t>für mich zu</w:t>
      </w:r>
      <w:r>
        <w:rPr>
          <w:b/>
          <w:color w:val="808080"/>
        </w:rPr>
        <w:t>]</w:t>
      </w:r>
      <w:r>
        <w:rPr/>
        <w:t xml:space="preserve"> </w:t>
      </w:r>
      <w:r>
        <w:rPr>
          <w:rStyle w:val="Funotenanker"/>
        </w:rPr>
        <w:footnoteReference w:customMarkFollows="1" w:id="1114"/>
        <w:t>g</w:t>
      </w:r>
      <w:r>
        <w:rPr/>
        <w:t xml:space="preserve"> großen Zielen </w:t>
      </w:r>
      <w:r>
        <w:rPr>
          <w:color w:val="808080"/>
        </w:rPr>
        <w:t>(Großem, großen Dingen)</w:t>
      </w:r>
      <w:r>
        <w:rPr/>
        <w:t xml:space="preserve"> </w:t>
      </w:r>
      <w:r>
        <w:rPr>
          <w:rStyle w:val="Funotenanker"/>
        </w:rPr>
        <w:footnoteReference w:customMarkFollows="1" w:id="1115"/>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1116"/>
        <w:t>i</w:t>
      </w:r>
      <w:r>
        <w:rPr/>
        <w:t xml:space="preserve"> ich habe meine Seele </w:t>
      </w:r>
      <w:r>
        <w:rPr>
          <w:color w:val="808080"/>
        </w:rPr>
        <w:t>(mich)</w:t>
      </w:r>
      <w:r>
        <w:rPr/>
        <w:t xml:space="preserve"> </w:t>
      </w:r>
      <w:r>
        <w:rPr>
          <w:rStyle w:val="Funotenanker"/>
        </w:rPr>
        <w:footnoteReference w:customMarkFollows="1" w:id="1117"/>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1118"/>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1119"/>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1120"/>
        <w:t>m</w:t>
      </w:r>
      <w:r>
        <w:rPr/>
        <w:t xml:space="preserve"> </w:t>
      </w:r>
      <w:r>
        <w:rPr>
          <w:b/>
          <w:color w:val="808080"/>
        </w:rPr>
        <w:t>[</w:t>
      </w:r>
      <w:r>
        <w:rPr/>
        <w:t>auch du</w:t>
      </w:r>
      <w:r>
        <w:rPr>
          <w:b/>
          <w:color w:val="808080"/>
        </w:rPr>
        <w:t>]</w:t>
      </w:r>
      <w:r>
        <w:rPr/>
        <w:t xml:space="preserve"> </w:t>
      </w:r>
      <w:r>
        <w:rPr>
          <w:rStyle w:val="Funotenanker"/>
        </w:rPr>
        <w:footnoteReference w:customMarkFollows="1" w:id="1121"/>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1122"/>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1123"/>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1124"/>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1125"/>
        <w:t>c</w:t>
      </w:r>
      <w:r>
        <w:rPr/>
        <w:t xml:space="preserve"> für deine Liebe </w:t>
      </w:r>
      <w:r>
        <w:rPr>
          <w:color w:val="808080"/>
        </w:rPr>
        <w:t>(Güte, Gnade, liebende Treue, Bundestreue)</w:t>
      </w:r>
      <w:r>
        <w:rPr/>
        <w:t xml:space="preserve"> </w:t>
      </w:r>
      <w:r>
        <w:rPr>
          <w:rStyle w:val="Funotenanker"/>
        </w:rPr>
        <w:footnoteReference w:customMarkFollows="1" w:id="1126"/>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1127"/>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1128"/>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1129"/>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1130"/>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1131"/>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1132"/>
        <w:t>j</w:t>
      </w:r>
      <w:r>
        <w:rPr/>
        <w:t xml:space="preserve"> singen. </w:t>
        <w:br/>
        <w:t xml:space="preserve">Wie </w:t>
      </w:r>
      <w:r>
        <w:rPr>
          <w:color w:val="808080"/>
        </w:rPr>
        <w:t>(denn, ja)</w:t>
      </w:r>
      <w:r>
        <w:rPr/>
        <w:t xml:space="preserve"> groß</w:t>
      </w:r>
      <w:r>
        <w:rPr>
          <w:rStyle w:val="Funotenanker"/>
        </w:rPr>
        <w:footnoteReference w:customMarkFollows="1" w:id="1133"/>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1134"/>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1135"/>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1136"/>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1137"/>
        <w:t>o</w:t>
      </w:r>
      <w:r>
        <w:rPr/>
        <w:t xml:space="preserve"> </w:t>
        <w:br/>
        <w:t xml:space="preserve">und deine rechte Hand rettet mich </w:t>
      </w:r>
      <w:r>
        <w:rPr>
          <w:color w:val="808080"/>
        </w:rPr>
        <w:t>(hilft mir; wird/möge mich retten)</w:t>
      </w:r>
      <w:r>
        <w:rPr/>
        <w:t>!</w:t>
      </w:r>
      <w:r>
        <w:rPr>
          <w:rStyle w:val="Funotenanker"/>
        </w:rPr>
        <w:footnoteReference w:customMarkFollows="1" w:id="1138"/>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1139"/>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1140"/>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1141"/>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1142"/>
        <w:t>a</w:t>
      </w:r>
      <w:r>
        <w:rPr/>
        <w:t xml:space="preserve"> </w:t>
      </w:r>
      <w:r>
        <w:rPr>
          <w:b/>
          <w:color w:val="808080"/>
        </w:rPr>
        <w:t>[</w:t>
      </w:r>
      <w:r>
        <w:rPr/>
        <w:t>singt</w:t>
      </w:r>
      <w:r>
        <w:rPr>
          <w:b/>
          <w:color w:val="808080"/>
        </w:rPr>
        <w:t>]</w:t>
      </w:r>
      <w:r>
        <w:rPr/>
        <w:t xml:space="preserve"> </w:t>
      </w:r>
      <w:r>
        <w:rPr>
          <w:rStyle w:val="Funotenanker"/>
        </w:rPr>
        <w:footnoteReference w:customMarkFollows="1" w:id="1143"/>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1144"/>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1145"/>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1146"/>
        <w:t>e</w:t>
      </w:r>
      <w:r>
        <w:rPr/>
        <w:t xml:space="preserve"> preisen mit </w:t>
      </w:r>
      <w:r>
        <w:rPr>
          <w:color w:val="808080"/>
        </w:rPr>
        <w:t>(im</w:t>
      </w:r>
      <w:r>
        <w:rPr/>
        <w:t xml:space="preserve"> </w:t>
      </w:r>
      <w:r>
        <w:rPr>
          <w:rStyle w:val="Funotenanker"/>
        </w:rPr>
        <w:footnoteReference w:customMarkFollows="1" w:id="1147"/>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1148"/>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1149"/>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1150"/>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1151"/>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1152"/>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1153"/>
        <w:t>l</w:t>
      </w:r>
      <w:r>
        <w:rPr/>
        <w:t xml:space="preserve"> Herrlichkeit </w:t>
      </w:r>
      <w:r>
        <w:rPr>
          <w:color w:val="808080"/>
        </w:rPr>
        <w:t>(Herrlichen, Mächtigen)</w:t>
      </w:r>
      <w:r>
        <w:rPr/>
        <w:t>, jubeln sollen sie auf ihren Lagern</w:t>
      </w:r>
      <w:r>
        <w:rPr>
          <w:rStyle w:val="Funotenanker"/>
        </w:rPr>
        <w:footnoteReference w:customMarkFollows="1" w:id="1154"/>
        <w:t>m</w:t>
      </w:r>
      <w:r>
        <w:rPr/>
        <w:t>,</w:t>
      </w:r>
      <w:r>
        <w:rPr>
          <w:color w:val="808080"/>
        </w:rPr>
        <w:t>(-)</w:t>
      </w:r>
      <w:r>
        <w:rPr/>
        <w:t xml:space="preserve"> </w:t>
      </w:r>
      <w:r>
        <w:rPr>
          <w:rStyle w:val="Funotenanker"/>
        </w:rPr>
        <w:footnoteReference w:customMarkFollows="1" w:id="1155"/>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1156"/>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1157"/>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1158"/>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1159"/>
        <w:t>r</w:t>
      </w:r>
      <w:r>
        <w:rPr/>
        <w:t xml:space="preserve"> wie geschrieben </w:t>
      </w:r>
      <w:r>
        <w:rPr>
          <w:b/>
          <w:color w:val="808080"/>
        </w:rPr>
        <w:t>[</w:t>
      </w:r>
      <w:r>
        <w:rPr/>
        <w:t>steht</w:t>
      </w:r>
      <w:r>
        <w:rPr>
          <w:b/>
          <w:color w:val="808080"/>
        </w:rPr>
        <w:t>]</w:t>
      </w:r>
      <w:r>
        <w:rPr/>
        <w:t xml:space="preserve"> </w:t>
      </w:r>
      <w:r>
        <w:rPr>
          <w:rStyle w:val="Funotenanker"/>
        </w:rPr>
        <w:footnoteReference w:customMarkFollows="1" w:id="1160"/>
        <w:t>s</w:t>
      </w:r>
      <w:r>
        <w:rPr/>
        <w:t xml:space="preserve">. Er </w:t>
      </w:r>
      <w:r>
        <w:rPr>
          <w:color w:val="808080"/>
        </w:rPr>
        <w:t>(Das)</w:t>
      </w:r>
      <w:r>
        <w:rPr/>
        <w:t xml:space="preserve"> </w:t>
      </w:r>
      <w:r>
        <w:rPr>
          <w:rStyle w:val="Funotenanker"/>
        </w:rPr>
        <w:footnoteReference w:customMarkFollows="1" w:id="1161"/>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1162"/>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1163"/>
        <w:t>a</w:t>
      </w:r>
      <w:r>
        <w:rPr/>
        <w:t xml:space="preserve">, mein Getreuer </w:t>
      </w:r>
      <w:r>
        <w:rPr>
          <w:color w:val="808080"/>
        </w:rPr>
        <w:t>(Diener, Knecht, Sklave)</w:t>
      </w:r>
      <w:r>
        <w:rPr/>
        <w:t xml:space="preserve"> </w:t>
      </w:r>
      <w:r>
        <w:rPr>
          <w:rStyle w:val="Funotenanker"/>
        </w:rPr>
        <w:footnoteReference w:customMarkFollows="1" w:id="1164"/>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1165"/>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1166"/>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1167"/>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1168"/>
        <w:t>f</w:t>
      </w:r>
      <w:r>
        <w:rPr/>
        <w:t>,</w:t>
        <w:br/>
        <w:t xml:space="preserve">über ihn </w:t>
      </w:r>
      <w:r>
        <w:rPr>
          <w:color w:val="808080"/>
        </w:rPr>
        <w:t>(ihm gegenüber)</w:t>
      </w:r>
      <w:r>
        <w:rPr/>
        <w:t xml:space="preserve"> werden Könige ihren Mund verschließen.</w:t>
      </w:r>
      <w:r>
        <w:rPr>
          <w:rStyle w:val="Funotenanker"/>
        </w:rPr>
        <w:footnoteReference w:customMarkFollows="1" w:id="1169"/>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1170"/>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1171"/>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1172"/>
        <w:t>a</w:t>
      </w:r>
      <w:r>
        <w:rPr/>
        <w:t xml:space="preserve"> an uns </w:t>
      </w:r>
      <w:r>
        <w:rPr>
          <w:color w:val="808080"/>
        </w:rPr>
        <w:t>(von uns)</w:t>
      </w:r>
      <w:r>
        <w:rPr/>
        <w:t xml:space="preserve"> </w:t>
      </w:r>
      <w:r>
        <w:rPr>
          <w:rStyle w:val="Funotenanker"/>
        </w:rPr>
        <w:footnoteReference w:customMarkFollows="1" w:id="1173"/>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1174"/>
        <w:t>c</w:t>
      </w:r>
      <w:r>
        <w:rPr/>
        <w:t>,</w:t>
        <w:br/>
        <w:t xml:space="preserve">wie ein Schössling </w:t>
      </w:r>
      <w:r>
        <w:rPr>
          <w:color w:val="808080"/>
        </w:rPr>
        <w:t>(eine Wurzel)</w:t>
      </w:r>
      <w:r>
        <w:rPr/>
        <w:t xml:space="preserve"> </w:t>
      </w:r>
      <w:r>
        <w:rPr>
          <w:rStyle w:val="Funotenanker"/>
        </w:rPr>
        <w:footnoteReference w:customMarkFollows="1" w:id="1175"/>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1176"/>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1177"/>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1178"/>
        <w:t>g</w:t>
      </w:r>
      <w:r>
        <w:rPr/>
        <w:t xml:space="preserve"> </w:t>
        <w:br/>
        <w:t>wie jemand, vor dem man das Gesicht verhüllt.</w:t>
      </w:r>
      <w:r>
        <w:rPr>
          <w:rStyle w:val="Funotenanker"/>
        </w:rPr>
        <w:footnoteReference w:customMarkFollows="1" w:id="1179"/>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1180"/>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1181"/>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1182"/>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1183"/>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1184"/>
        <w:t>m</w:t>
      </w:r>
      <w:r>
        <w:rPr/>
        <w:t xml:space="preserve"> </w:t>
        <w:br/>
        <w:t xml:space="preserve">durch seine </w:t>
      </w:r>
      <w:r>
        <w:rPr>
          <w:color w:val="808080"/>
        </w:rPr>
        <w:t>(bei seinen)</w:t>
      </w:r>
      <w:r>
        <w:rPr/>
        <w:t xml:space="preserve"> Wunden gab es Heilung für uns</w:t>
      </w:r>
      <w:r>
        <w:rPr>
          <w:rStyle w:val="Funotenanker"/>
        </w:rPr>
        <w:footnoteReference w:customMarkFollows="1" w:id="1185"/>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1186"/>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1187"/>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1188"/>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1189"/>
        <w:t>r</w:t>
      </w:r>
      <w:r>
        <w:rPr/>
        <w:t xml:space="preserve"> seinen Scherern verstummt. </w:t>
        <w:br/>
        <w:t>Und er öffnete seinen Mund nicht.</w:t>
      </w:r>
      <w:r>
        <w:rPr>
          <w:rStyle w:val="Funotenanker"/>
        </w:rPr>
        <w:footnoteReference w:customMarkFollows="1" w:id="1190"/>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1191"/>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1192"/>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1193"/>
        <w:t>v</w:t>
      </w:r>
      <w:r>
        <w:rPr/>
        <w:t xml:space="preserve"> Volkes wurde er geschlagen </w:t>
      </w:r>
      <w:r>
        <w:rPr>
          <w:color w:val="808080"/>
        </w:rPr>
        <w:t>(erschlagen, verprügelt)</w:t>
      </w:r>
      <w:r>
        <w:rPr/>
        <w:t xml:space="preserve"> </w:t>
      </w:r>
      <w:r>
        <w:rPr>
          <w:rStyle w:val="Funotenanker"/>
        </w:rPr>
        <w:footnoteReference w:customMarkFollows="1" w:id="1194"/>
        <w:t>w</w:t>
      </w:r>
      <w:r>
        <w:rPr/>
        <w:t>.</w:t>
        <w:br/>
        <w:t xml:space="preserve">{{field-off:bible}} </w:t>
        <w:br/>
        <w:t>[[@BibleTOBIBLE:Is 53:9]]</w:t>
      </w:r>
      <w:r>
        <w:rPr>
          <w:b/>
        </w:rPr>
        <w:t>9</w:t>
      </w:r>
      <w:r>
        <w:rPr/>
        <w:t xml:space="preserve"> {{field-on:bible}} </w:t>
        <w:br/>
        <w:t>Dann gab man</w:t>
      </w:r>
      <w:r>
        <w:rPr>
          <w:rStyle w:val="Funotenanker"/>
        </w:rPr>
        <w:footnoteReference w:customMarkFollows="1" w:id="1195"/>
        <w:t>x</w:t>
      </w:r>
      <w:r>
        <w:rPr/>
        <w:t xml:space="preserve"> ihm bei Frevlern</w:t>
      </w:r>
      <w:r>
        <w:rPr>
          <w:rStyle w:val="Funotenanker"/>
        </w:rPr>
        <w:footnoteReference w:customMarkFollows="1" w:id="1196"/>
        <w:t>y</w:t>
      </w:r>
      <w:r>
        <w:rPr/>
        <w:t xml:space="preserve"> sein Grab </w:t>
        <w:br/>
        <w:t xml:space="preserve">und </w:t>
      </w:r>
      <w:r>
        <w:rPr>
          <w:color w:val="808080"/>
        </w:rPr>
        <w:t>(doch)</w:t>
      </w:r>
      <w:r>
        <w:rPr/>
        <w:t xml:space="preserve"> bei einem Reichen</w:t>
      </w:r>
      <w:r>
        <w:rPr>
          <w:rStyle w:val="Funotenanker"/>
        </w:rPr>
        <w:footnoteReference w:customMarkFollows="1" w:id="1197"/>
        <w:t>z</w:t>
      </w:r>
      <w:r>
        <w:rPr/>
        <w:t xml:space="preserve"> nach seinem Tod</w:t>
      </w:r>
      <w:r>
        <w:rPr>
          <w:rStyle w:val="Funotenanker"/>
        </w:rPr>
        <w:footnoteReference w:customMarkFollows="1" w:id="1198"/>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1199"/>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1200"/>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1201"/>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1202"/>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1203"/>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1204"/>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1205"/>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1206"/>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1207"/>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1208"/>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1209"/>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1210"/>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1211"/>
        <w:t>b</w:t>
      </w:r>
      <w:r>
        <w:rPr/>
        <w:t>,</w:t>
      </w:r>
      <w:r>
        <w:rPr>
          <w:position w:val="8"/>
          <w:sz w:val="19"/>
        </w:rPr>
        <w:t>[[ ℘ &gt;&gt; BibleTOBIBLE:Jon 3:2]]</w:t>
      </w:r>
      <w:r>
        <w:rPr/>
        <w:t xml:space="preserve"> weil ihre</w:t>
      </w:r>
      <w:r>
        <w:rPr>
          <w:rStyle w:val="Funotenanker"/>
        </w:rPr>
        <w:footnoteReference w:customMarkFollows="1" w:id="1212"/>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1213"/>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1214"/>
        <w:t>e</w:t>
      </w:r>
      <w:r>
        <w:rPr/>
        <w:t xml:space="preserve"> ein Schiff, das im Begriff war, nach Tarschisch zu fahren</w:t>
      </w:r>
      <w:r>
        <w:rPr>
          <w:rStyle w:val="Funotenanker"/>
        </w:rPr>
        <w:footnoteReference w:customMarkFollows="1" w:id="1215"/>
        <w:t>f</w:t>
      </w:r>
      <w:r>
        <w:rPr/>
        <w:t xml:space="preserve">, </w:t>
      </w:r>
      <w:r>
        <w:rPr>
          <w:strike/>
          <w:color w:val="808080"/>
        </w:rPr>
        <w:t>{und}</w:t>
      </w:r>
      <w:r>
        <w:rPr/>
        <w:t xml:space="preserve"> zahlte sein Fährgeld und bestieg es, um mit ihnen</w:t>
      </w:r>
      <w:r>
        <w:rPr>
          <w:rStyle w:val="Funotenanker"/>
        </w:rPr>
        <w:footnoteReference w:customMarkFollows="1" w:id="1216"/>
        <w:t>g</w:t>
      </w:r>
      <w:r>
        <w:rPr/>
        <w:t xml:space="preserve"> nach Tarschisch zu fahren, weg von </w:t>
      </w:r>
      <w:r>
        <w:rPr>
          <w:smallCaps/>
          <w:color w:val="FF0000"/>
        </w:rPr>
        <w:t>JHWH</w:t>
      </w:r>
      <w:r>
        <w:rPr/>
        <w:t xml:space="preserve"> </w:t>
      </w:r>
      <w:r>
        <w:rPr>
          <w:rStyle w:val="Funotenanker"/>
        </w:rPr>
        <w:footnoteReference w:customMarkFollows="1" w:id="1217"/>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1218"/>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1219"/>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1220"/>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1221"/>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1222"/>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1223"/>
        <w:t>n</w:t>
      </w:r>
      <w:r>
        <w:rPr/>
        <w:t xml:space="preserve"> in seine Nähe</w:t>
      </w:r>
      <w:r>
        <w:rPr>
          <w:rStyle w:val="Funotenanker"/>
        </w:rPr>
        <w:footnoteReference w:customMarkFollows="1" w:id="1224"/>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1225"/>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1226"/>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1227"/>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1228"/>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1229"/>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1230"/>
        <w:t>u</w:t>
      </w:r>
      <w:r>
        <w:rPr/>
        <w:t xml:space="preserve"> und sagten zu ihm: „Warum hast du das getan?“ Denn die Männer wussten, dass er ''vor </w:t>
      </w:r>
      <w:r>
        <w:rPr>
          <w:smallCaps/>
          <w:color w:val="FF0000"/>
        </w:rPr>
        <w:t>JHWH</w:t>
      </w:r>
      <w:r>
        <w:rPr/>
        <w:t>''</w:t>
      </w:r>
      <w:r>
        <w:rPr>
          <w:rStyle w:val="Funotenanker"/>
        </w:rPr>
        <w:footnoteReference w:customMarkFollows="1" w:id="1231"/>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1232"/>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1233"/>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1234"/>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1235"/>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1236"/>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1237"/>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1238"/>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1239"/>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1240"/>
        <w:t>c</w:t>
      </w:r>
      <w:r>
        <w:rPr/>
        <w:t xml:space="preserve"> gefestigt sein </w:t>
      </w:r>
      <w:r>
        <w:rPr>
          <w:color w:val="808080"/>
        </w:rPr>
        <w:t>(feststehen, festgelegt/eingesetzt sein)</w:t>
      </w:r>
      <w:r>
        <w:rPr/>
        <w:t xml:space="preserve"> </w:t>
      </w:r>
      <w:r>
        <w:rPr>
          <w:rStyle w:val="Funotenanker"/>
        </w:rPr>
        <w:footnoteReference w:customMarkFollows="1" w:id="1241"/>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1242"/>
        <w:t>e</w:t>
      </w:r>
      <w:r>
        <w:rPr/>
        <w:t xml:space="preserve"> können!“</w:t>
      </w:r>
      <w:r>
        <w:rPr>
          <w:rStyle w:val="Funotenanker"/>
        </w:rPr>
        <w:footnoteReference w:customMarkFollows="1" w:id="1243"/>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1244"/>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1245"/>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1246"/>
        <w:t>i</w:t>
      </w:r>
      <w:r>
        <w:rPr/>
        <w:t xml:space="preserve"> sammeln</w:t>
      </w:r>
      <w:r>
        <w:rPr>
          <w:rStyle w:val="Funotenanker"/>
        </w:rPr>
        <w:footnoteReference w:customMarkFollows="1" w:id="1247"/>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1248"/>
        <w:t>k</w:t>
      </w:r>
      <w:r>
        <w:rPr/>
        <w:t xml:space="preserve"> zu einer mächtigen Nation </w:t>
      </w:r>
      <w:r>
        <w:rPr>
          <w:color w:val="808080"/>
        </w:rPr>
        <w:t>(Volk)</w:t>
      </w:r>
      <w:r>
        <w:rPr/>
        <w:t xml:space="preserve"> </w:t>
      </w:r>
      <w:r>
        <w:rPr>
          <w:rStyle w:val="Funotenanker"/>
        </w:rPr>
        <w:footnoteReference w:customMarkFollows="1" w:id="1249"/>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1250"/>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1251"/>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1252"/>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1253"/>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1254"/>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1255"/>
        <w:t>c</w:t>
      </w:r>
      <w:r>
        <w:rPr/>
        <w:t xml:space="preserve"> die Hörner der Völker</w:t>
      </w:r>
      <w:r>
        <w:rPr>
          <w:rStyle w:val="Funotenanker"/>
        </w:rPr>
        <w:footnoteReference w:customMarkFollows="1" w:id="1256"/>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1257"/>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1258"/>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1259"/>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1260"/>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1261"/>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1262"/>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1263"/>
        <w:t>k</w:t>
      </w:r>
      <w:r>
        <w:rPr/>
        <w:t xml:space="preserve">, schlägt </w:t>
      </w:r>
      <w:r>
        <w:rPr>
          <w:color w:val="808080"/>
        </w:rPr>
        <w:t>(rührt an)</w:t>
      </w:r>
      <w:r>
        <w:rPr/>
        <w:t xml:space="preserve"> </w:t>
      </w:r>
      <w:r>
        <w:rPr>
          <w:rStyle w:val="Funotenanker"/>
        </w:rPr>
        <w:footnoteReference w:customMarkFollows="1" w:id="1264"/>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1265"/>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1266"/>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1267"/>
        <w:t>o</w:t>
      </w:r>
      <w:r>
        <w:rPr/>
        <w:t xml:space="preserve"> meine Hand gegen sie</w:t>
      </w:r>
      <w:r>
        <w:rPr>
          <w:rStyle w:val="Funotenanker"/>
        </w:rPr>
        <w:footnoteReference w:customMarkFollows="1" w:id="1268"/>
        <w:t>p</w:t>
      </w:r>
      <w:r>
        <w:rPr/>
        <w:t xml:space="preserve">, so dass </w:t>
      </w:r>
      <w:r>
        <w:rPr>
          <w:color w:val="808080"/>
        </w:rPr>
        <w:t>(und)</w:t>
      </w:r>
      <w:r>
        <w:rPr/>
        <w:t xml:space="preserve"> sie eine Beute</w:t>
      </w:r>
      <w:r>
        <w:rPr>
          <w:rStyle w:val="Funotenanker"/>
        </w:rPr>
        <w:footnoteReference w:customMarkFollows="1" w:id="1269"/>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1270"/>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1271"/>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1272"/>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1273"/>
        <w:t>Status</w:t>
      </w:r>
      <w:r>
        <w:rPr/>
        <w:t xml:space="preserve"> Ihr</w:t>
      </w:r>
      <w:r>
        <w:rPr>
          <w:rStyle w:val="Funotenanker"/>
        </w:rPr>
        <w:footnoteReference w:customMarkFollows="1" w:id="1274"/>
        <w:t>a</w:t>
      </w:r>
      <w:r>
        <w:rPr/>
        <w:t xml:space="preserve"> sollt daher </w:t>
      </w:r>
      <w:r>
        <w:rPr>
          <w:color w:val="808080"/>
        </w:rPr>
        <w:t>(also)</w:t>
      </w:r>
      <w:r>
        <w:rPr/>
        <w:t xml:space="preserve"> folgendermaßen beten: </w:t>
        <w:br/>
        <w:t xml:space="preserve">Unser Vater </w:t>
      </w:r>
      <w:r>
        <w:rPr>
          <w:strike/>
          <w:color w:val="808080"/>
        </w:rPr>
        <w:t>{der}</w:t>
      </w:r>
      <w:r>
        <w:rPr/>
        <w:t xml:space="preserve"> im Himmel</w:t>
      </w:r>
      <w:r>
        <w:rPr>
          <w:rStyle w:val="Funotenanker"/>
        </w:rPr>
        <w:footnoteReference w:customMarkFollows="1" w:id="1275"/>
        <w:t>b</w:t>
      </w:r>
      <w:r>
        <w:rPr/>
        <w:t xml:space="preserve"> </w:t>
      </w:r>
      <w:r>
        <w:rPr>
          <w:rStyle w:val="Funotenanker"/>
        </w:rPr>
        <w:footnoteReference w:customMarkFollows="1" w:id="1276"/>
        <w:t>c</w:t>
      </w:r>
      <w:r>
        <w:rPr/>
        <w:t>,</w:t>
      </w:r>
      <w:r>
        <w:rPr>
          <w:position w:val="8"/>
          <w:sz w:val="19"/>
        </w:rPr>
        <w:t>[[ ℘ &gt;&gt; BibleTOBIBLE:Wis 14:3]][[ ℘ &gt;&gt; BibleTOBIBLE:Is 63:16]][[ ℘ &gt;&gt; BibleTOBIBLE:Is 64:7]][[ ℘ &gt;&gt; BibleTOBIBLE:Je 3:19]][[ ℘ &gt;&gt; BibleTOBIBLE:Mk 11:25]][[ ℘ &gt;&gt; BibleTOBIBLE:Mk 14:36]]</w:t>
      </w:r>
      <w:r>
        <w:rPr/>
        <w:t xml:space="preserve"> </w:t>
        <w:br/>
        <w:t xml:space="preserve">Möge </w:t>
      </w:r>
      <w:r>
        <w:rPr>
          <w:color w:val="808080"/>
        </w:rPr>
        <w:t>(Mögest)</w:t>
      </w:r>
      <w:r>
        <w:rPr/>
        <w:t xml:space="preserve"> </w:t>
      </w:r>
      <w:r>
        <w:rPr>
          <w:rStyle w:val="Funotenanker"/>
        </w:rPr>
        <w:footnoteReference w:customMarkFollows="1" w:id="1277"/>
        <w:t>d</w:t>
      </w:r>
      <w:r>
        <w:rPr/>
        <w:t xml:space="preserve"> dein Name </w:t>
      </w:r>
      <w:r>
        <w:rPr>
          <w:color w:val="808080"/>
        </w:rPr>
        <w:t>(du)</w:t>
      </w:r>
      <w:r>
        <w:rPr/>
        <w:t xml:space="preserve"> geheiligt</w:t>
      </w:r>
      <w:r>
        <w:rPr>
          <w:rStyle w:val="Funotenanker"/>
        </w:rPr>
        <w:footnoteReference w:customMarkFollows="1" w:id="1278"/>
        <w:t>e</w:t>
      </w:r>
      <w:r>
        <w:rPr/>
        <w:t xml:space="preserve"> werden.</w:t>
      </w:r>
      <w:r>
        <w:rPr>
          <w:position w:val="8"/>
          <w:sz w:val="19"/>
        </w:rPr>
        <w:t>[[ ℘ &gt;&gt; BibleTOBIBLE:Is 29:23]][[ ℘ &gt;&gt; BibleTOBIBLE:1Pe 3:15]][[ ℘ &gt;&gt; BibleTOBIBLE:Php 2:10]]</w:t>
      </w:r>
      <w:r>
        <w:rPr/>
        <w:t xml:space="preserve"> </w:t>
        <w:br/>
        <w:t xml:space="preserve">{{field-off:bible}} </w:t>
        <w:br/>
        <w:t>[[@BibleTOBIBLE:Mt 6:10]]</w:t>
      </w:r>
      <w:r>
        <w:rPr>
          <w:b/>
        </w:rPr>
        <w:t>10</w:t>
      </w:r>
      <w:r>
        <w:rPr/>
        <w:t xml:space="preserve"> {{field-on:bible}} </w:t>
        <w:br/>
        <w:t xml:space="preserve">Möge dein Königtum </w:t>
      </w:r>
      <w:r>
        <w:rPr>
          <w:color w:val="808080"/>
        </w:rPr>
        <w:t>(Königsherrschaft, Königreich)</w:t>
      </w:r>
      <w:r>
        <w:rPr/>
        <w:t xml:space="preserve"> </w:t>
      </w:r>
      <w:r>
        <w:rPr>
          <w:rStyle w:val="Funotenanker"/>
        </w:rPr>
        <w:footnoteReference w:customMarkFollows="1" w:id="1279"/>
        <w:t>f</w:t>
      </w:r>
      <w:r>
        <w:rPr/>
        <w:t xml:space="preserve"> kommen</w:t>
      </w:r>
      <w:r>
        <w:rPr>
          <w:rStyle w:val="Funotenanker"/>
        </w:rPr>
        <w:footnoteReference w:customMarkFollows="1" w:id="1280"/>
        <w:t>g</w:t>
      </w:r>
      <w:r>
        <w:rPr/>
        <w:t>.Möge dein Wille geschehen - wie im Himmel so auch auf der Erde</w:t>
      </w:r>
      <w:r>
        <w:rPr>
          <w:rStyle w:val="Funotenanker"/>
        </w:rPr>
        <w:footnoteReference w:customMarkFollows="1" w:id="1281"/>
        <w:t>h</w:t>
      </w:r>
      <w:r>
        <w:rPr/>
        <w:t>.</w:t>
        <w:br/>
        <w:t xml:space="preserve">{{field-off:bible}} </w:t>
        <w:br/>
        <w:t>[[@BibleTOBIBLE:Mt 6:11]]</w:t>
      </w:r>
      <w:r>
        <w:rPr>
          <w:b/>
        </w:rPr>
        <w:t>11</w:t>
      </w:r>
      <w:r>
        <w:rPr/>
        <w:t xml:space="preserve"> {{field-on:bible}} </w:t>
        <w:br/>
        <w:t xml:space="preserve">Unser Brot </w:t>
      </w:r>
      <w:r>
        <w:rPr>
          <w:color w:val="808080"/>
        </w:rPr>
        <w:t>(Essen)</w:t>
      </w:r>
      <w:r>
        <w:rPr/>
        <w:t xml:space="preserve"> </w:t>
      </w:r>
      <w:r>
        <w:rPr>
          <w:rStyle w:val="Funotenanker"/>
        </w:rPr>
        <w:footnoteReference w:customMarkFollows="1" w:id="1282"/>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1283"/>
        <w:t>j</w:t>
      </w:r>
      <w:r>
        <w:rPr/>
        <w:t xml:space="preserve"> gib uns heute </w:t>
      </w:r>
      <w:r>
        <w:rPr>
          <w:position w:val="8"/>
          <w:sz w:val="19"/>
        </w:rPr>
        <w:t>[[ ℘ &gt;&gt; BibleTOBIBLE:Pr 30:8]]</w:t>
      </w:r>
      <w:r>
        <w:rPr/>
        <w:t xml:space="preserve"> </w:t>
        <w:br/>
        <w:t xml:space="preserve">{{field-off:bible}} </w:t>
        <w:br/>
        <w:t>[[@BibleTOBIBLE:Mt 6:12]]</w:t>
      </w:r>
      <w:r>
        <w:rPr>
          <w:b/>
        </w:rPr>
        <w:t>12</w:t>
      </w:r>
      <w:r>
        <w:rPr/>
        <w:t xml:space="preserve"> {{field-on:bible}} </w:t>
        <w:br/>
        <w:t xml:space="preserve">und vergib uns unsere Schulden </w:t>
      </w:r>
      <w:r>
        <w:rPr>
          <w:color w:val="808080"/>
        </w:rPr>
        <w:t>(Schuld, Sünden)</w:t>
      </w:r>
      <w:r>
        <w:rPr/>
        <w:t xml:space="preserve"> </w:t>
      </w:r>
      <w:r>
        <w:rPr>
          <w:rStyle w:val="Funotenanker"/>
        </w:rPr>
        <w:footnoteReference w:customMarkFollows="1" w:id="1284"/>
        <w:t>k</w:t>
      </w:r>
      <w:r>
        <w:rPr/>
        <w:t xml:space="preserve">,wie auch wir unseren Schuldnern vergeben haben </w:t>
      </w:r>
      <w:r>
        <w:rPr>
          <w:color w:val="808080"/>
        </w:rPr>
        <w:t>(vergeben)</w:t>
      </w:r>
      <w:r>
        <w:rPr/>
        <w:t xml:space="preserve"> </w:t>
      </w:r>
      <w:r>
        <w:rPr>
          <w:rStyle w:val="Funotenanker"/>
        </w:rPr>
        <w:footnoteReference w:customMarkFollows="1" w:id="1285"/>
        <w:t>l</w:t>
      </w:r>
      <w:r>
        <w:rPr/>
        <w:t>.</w:t>
        <w:br/>
        <w:t xml:space="preserve">{{field-off:bible}} </w:t>
        <w:br/>
        <w:t>[[@BibleTOBIBLE:Mt 6:13]]</w:t>
      </w:r>
      <w:r>
        <w:rPr>
          <w:b/>
        </w:rPr>
        <w:t>13</w:t>
      </w:r>
      <w:r>
        <w:rPr/>
        <w:t xml:space="preserve"> {{field-on:bible}} </w:t>
        <w:br/>
        <w:t xml:space="preserve">Und führe </w:t>
      </w:r>
      <w:r>
        <w:rPr>
          <w:color w:val="808080"/>
        </w:rPr>
        <w:t>(lass nicht zu, dass wir geraten)</w:t>
      </w:r>
      <w:r>
        <w:rPr/>
        <w:t xml:space="preserve"> </w:t>
      </w:r>
      <w:r>
        <w:rPr>
          <w:rStyle w:val="Funotenanker"/>
        </w:rPr>
        <w:footnoteReference w:customMarkFollows="1" w:id="1286"/>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sondern rette </w:t>
      </w:r>
      <w:r>
        <w:rPr>
          <w:color w:val="808080"/>
        </w:rPr>
        <w:t>(erlöse)</w:t>
      </w:r>
      <w:r>
        <w:rPr/>
        <w:t xml:space="preserve"> uns von dem Bösen.</w:t>
      </w:r>
      <w:r>
        <w:rPr>
          <w:rStyle w:val="Funotenanker"/>
        </w:rPr>
        <w:footnoteReference w:customMarkFollows="1" w:id="1287"/>
        <w:t>n</w:t>
      </w:r>
      <w:r>
        <w:rPr/>
        <w:t xml:space="preserve"> </w:t>
        <w:br/>
        <w:t xml:space="preserve">{{field-off:bible}}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customMarkFollows="1" w:id="1288"/>
        <w:t>Status</w:t>
      </w:r>
      <w:r>
        <w:rPr/>
        <w:t xml:space="preserve"> </w:t>
      </w:r>
      <w:r>
        <w:rPr>
          <w:strike/>
          <w:color w:val="808080"/>
        </w:rPr>
        <w:t>{Und}</w:t>
      </w:r>
      <w:r>
        <w:rPr/>
        <w:t xml:space="preserve"> </w:t>
      </w:r>
      <w:r>
        <w:rPr>
          <w:rStyle w:val="Funotenanker"/>
        </w:rPr>
        <w:footnoteReference w:customMarkFollows="1" w:id="1289"/>
        <w:t>a</w:t>
      </w:r>
      <w:r>
        <w:rPr/>
        <w:t xml:space="preserve"> Die Pharisäer und Sadduzäer</w:t>
      </w:r>
      <w:r>
        <w:rPr>
          <w:rStyle w:val="Funotenanker"/>
        </w:rPr>
        <w:footnoteReference w:customMarkFollows="1" w:id="1290"/>
        <w:t>b</w:t>
      </w:r>
      <w:r>
        <w:rPr/>
        <w:t xml:space="preserve"> kamen, </w:t>
      </w:r>
      <w:r>
        <w:rPr>
          <w:b/>
          <w:color w:val="808080"/>
        </w:rPr>
        <w:t>[</w:t>
      </w:r>
      <w:r>
        <w:rPr/>
        <w:t>und</w:t>
      </w:r>
      <w:r>
        <w:rPr>
          <w:b/>
          <w:color w:val="808080"/>
        </w:rPr>
        <w:t>]</w:t>
      </w:r>
      <w:r>
        <w:rPr/>
        <w:t xml:space="preserve"> um ihn zu prüfen </w:t>
      </w:r>
      <w:r>
        <w:rPr>
          <w:color w:val="808080"/>
        </w:rPr>
        <w:t>(auf die Probe zu stellen, herauszufordern)</w:t>
      </w:r>
      <w:r>
        <w:rPr/>
        <w:t xml:space="preserve">, baten sie ihn, ihnen ein Zeichen aus dem Himmel zu zeigen </w:t>
      </w:r>
      <w:r>
        <w:rPr>
          <w:color w:val="808080"/>
        </w:rPr>
        <w:t>(vorzuzeigen, vorzuführen, sehen zu lassen)</w:t>
      </w:r>
      <w:r>
        <w:rPr/>
        <w:t xml:space="preserve">.{{field-off:bible}} </w:t>
        <w:br/>
        <w:t>[[@BibleTOBIBLE:Mt 16:2]]</w:t>
      </w:r>
      <w:r>
        <w:rPr>
          <w:b/>
        </w:rPr>
        <w:t>2</w:t>
      </w:r>
      <w:r>
        <w:rPr/>
        <w:t xml:space="preserve"> {{field-on:bible}}Er aber antworte ihnen: „Wenn es Abend geworden ist, sagt ihr: »Heiteres </w:t>
      </w:r>
      <w:r>
        <w:rPr>
          <w:color w:val="808080"/>
        </w:rPr>
        <w:t>(schönes)</w:t>
      </w:r>
      <w:r>
        <w:rPr/>
        <w:t xml:space="preserve"> Wetter </w:t>
      </w:r>
      <w:r>
        <w:rPr>
          <w:b/>
          <w:color w:val="808080"/>
        </w:rPr>
        <w:t>[</w:t>
      </w:r>
      <w:r>
        <w:rPr/>
        <w:t>wird es geben</w:t>
      </w:r>
      <w:r>
        <w:rPr>
          <w:b/>
          <w:color w:val="808080"/>
        </w:rPr>
        <w:t>]</w:t>
      </w:r>
      <w:r>
        <w:rPr/>
        <w:t xml:space="preserve">, denn feuerrot ist der Himmel.«{{field-off:bible}} </w:t>
        <w:br/>
        <w:t>[[@BibleTOBIBLE:Mt 16:3]]</w:t>
      </w:r>
      <w:r>
        <w:rPr>
          <w:b/>
        </w:rPr>
        <w:t>3</w:t>
      </w:r>
      <w:r>
        <w:rPr/>
        <w:t xml:space="preserve"> {{field-on:bible}}Und früh </w:t>
      </w:r>
      <w:r>
        <w:rPr>
          <w:b/>
          <w:color w:val="808080"/>
        </w:rPr>
        <w:t>[</w:t>
      </w:r>
      <w:r>
        <w:rPr/>
        <w:t>morgens</w:t>
      </w:r>
      <w:r>
        <w:rPr>
          <w:b/>
          <w:color w:val="808080"/>
        </w:rPr>
        <w:t>]</w:t>
      </w:r>
      <w:r>
        <w:rPr/>
        <w:t xml:space="preserve">: »Heute </w:t>
      </w:r>
      <w:r>
        <w:rPr>
          <w:b/>
          <w:color w:val="808080"/>
        </w:rPr>
        <w:t>[</w:t>
      </w:r>
      <w:r>
        <w:rPr/>
        <w:t>wird es</w:t>
      </w:r>
      <w:r>
        <w:rPr>
          <w:b/>
          <w:color w:val="808080"/>
        </w:rPr>
        <w:t>]</w:t>
      </w:r>
      <w:r>
        <w:rPr/>
        <w:t xml:space="preserve"> schlechtes Wetter </w:t>
      </w:r>
      <w:r>
        <w:rPr>
          <w:b/>
          <w:color w:val="808080"/>
        </w:rPr>
        <w:t>[</w:t>
      </w:r>
      <w:r>
        <w:rPr/>
        <w:t>geben</w:t>
      </w:r>
      <w:r>
        <w:rPr>
          <w:b/>
          <w:color w:val="808080"/>
        </w:rPr>
        <w:t>]</w:t>
      </w:r>
      <w:r>
        <w:rPr/>
        <w:t xml:space="preserve">, denn feuerrot </w:t>
      </w:r>
      <w:r>
        <w:rPr>
          <w:b/>
          <w:color w:val="808080"/>
        </w:rPr>
        <w:t>[</w:t>
      </w:r>
      <w:r>
        <w:rPr/>
        <w:t>und</w:t>
      </w:r>
      <w:r>
        <w:rPr>
          <w:b/>
          <w:color w:val="808080"/>
        </w:rPr>
        <w:t>]</w:t>
      </w:r>
      <w:r>
        <w:rPr/>
        <w:t xml:space="preserve"> bedrohlich </w:t>
      </w:r>
      <w:r>
        <w:rPr>
          <w:color w:val="808080"/>
        </w:rPr>
        <w:t>(finster)</w:t>
      </w:r>
      <w:r>
        <w:rPr/>
        <w:t xml:space="preserve"> ist der Himmel.« Das Aussehen des Himmels versteht ihr </w:t>
      </w:r>
      <w:r>
        <w:rPr>
          <w:color w:val="808080"/>
        </w:rPr>
        <w:t>(richtig, sorgfältig)</w:t>
      </w:r>
      <w:r>
        <w:rPr/>
        <w:t xml:space="preserve"> zu beurteilen, aber die Zeichen der Zeit</w:t>
      </w:r>
      <w:r>
        <w:rPr>
          <w:rStyle w:val="Funotenanker"/>
        </w:rPr>
        <w:footnoteReference w:customMarkFollows="1" w:id="1291"/>
        <w:t>c</w:t>
      </w:r>
      <w:r>
        <w:rPr/>
        <w:t xml:space="preserve"> vermögt ihr nicht </w:t>
      </w:r>
      <w:r>
        <w:rPr>
          <w:color w:val="808080"/>
        </w:rPr>
        <w:t>(könnt ihr nicht)</w:t>
      </w:r>
      <w:r>
        <w:rPr/>
        <w:t xml:space="preserve"> </w:t>
      </w:r>
      <w:r>
        <w:rPr>
          <w:b/>
          <w:color w:val="808080"/>
        </w:rPr>
        <w:t>[</w:t>
      </w:r>
      <w:r>
        <w:rPr/>
        <w:t>zu beurteilen</w:t>
      </w:r>
      <w:r>
        <w:rPr>
          <w:b/>
          <w:color w:val="808080"/>
        </w:rPr>
        <w:t>]</w:t>
      </w:r>
      <w:r>
        <w:rPr/>
        <w:t>.</w:t>
      </w:r>
      <w:r>
        <w:rPr>
          <w:rStyle w:val="Funotenanker"/>
        </w:rPr>
        <w:footnoteReference w:customMarkFollows="1" w:id="1292"/>
        <w:t>d</w:t>
      </w:r>
      <w:r>
        <w:rPr/>
        <w:t xml:space="preserve"> {{field-off:bible}} </w:t>
        <w:br/>
        <w:t>[[@BibleTOBIBLE:Mt 16:4]]</w:t>
      </w:r>
      <w:r>
        <w:rPr>
          <w:b/>
        </w:rPr>
        <w:t>4</w:t>
      </w:r>
      <w:r>
        <w:rPr/>
        <w:t xml:space="preserve"> {{field-on:bible}}Ein böses und ehebrecherisches </w:t>
      </w:r>
      <w:r>
        <w:rPr>
          <w:color w:val="808080"/>
        </w:rPr>
        <w:t>(bundesbrüchiges)</w:t>
      </w:r>
      <w:r>
        <w:rPr/>
        <w:t xml:space="preserve"> </w:t>
      </w:r>
      <w:r>
        <w:rPr>
          <w:rStyle w:val="Funotenanker"/>
        </w:rPr>
        <w:footnoteReference w:customMarkFollows="1" w:id="1293"/>
        <w:t>e</w:t>
      </w:r>
      <w:r>
        <w:rPr/>
        <w:t xml:space="preserve"> Geschlecht </w:t>
      </w:r>
      <w:r>
        <w:rPr>
          <w:color w:val="808080"/>
        </w:rPr>
        <w:t>(Generation, Pack)</w:t>
      </w:r>
      <w:r>
        <w:rPr/>
        <w:t xml:space="preserve"> </w:t>
      </w:r>
      <w:r>
        <w:rPr>
          <w:rStyle w:val="Funotenanker"/>
        </w:rPr>
        <w:footnoteReference w:customMarkFollows="1" w:id="1294"/>
        <w:t>f</w:t>
      </w:r>
      <w:r>
        <w:rPr/>
        <w:t xml:space="preserve"> sucht </w:t>
      </w:r>
      <w:r>
        <w:rPr>
          <w:color w:val="808080"/>
        </w:rPr>
        <w:t>(verlangt, fordert)</w:t>
      </w:r>
      <w:r>
        <w:rPr/>
        <w:t xml:space="preserve"> ein Zeichen, aber ein Zeichen wird ihr nicht gegeben werden, außer dem Zeichen Jonas.“ Und er ließ sie zurück </w:t>
      </w:r>
      <w:r>
        <w:rPr>
          <w:color w:val="808080"/>
        </w:rPr>
        <w:t>(stehen)</w:t>
      </w:r>
      <w:r>
        <w:rPr/>
        <w:t xml:space="preserve"> und ging.{{field-off:bible}} </w:t>
        <w:br/>
        <w:t>[[@BibleTOBIBLE:Mt 16:5]]</w:t>
      </w:r>
      <w:r>
        <w:rPr>
          <w:b/>
        </w:rPr>
        <w:t>5</w:t>
      </w:r>
      <w:r>
        <w:rPr/>
        <w:t xml:space="preserve"> {{field-on:bible}} </w:t>
      </w:r>
      <w:r>
        <w:rPr>
          <w:strike/>
          <w:color w:val="808080"/>
        </w:rPr>
        <w:t>{Und}</w:t>
      </w:r>
      <w:r>
        <w:rPr/>
        <w:t xml:space="preserve"> als die Jünger an das jenseitige </w:t>
      </w:r>
      <w:r>
        <w:rPr>
          <w:b/>
          <w:color w:val="808080"/>
        </w:rPr>
        <w:t>[</w:t>
      </w:r>
      <w:r>
        <w:rPr/>
        <w:t>Ufer</w:t>
      </w:r>
      <w:r>
        <w:rPr>
          <w:b/>
          <w:color w:val="808080"/>
        </w:rPr>
        <w:t>]</w:t>
      </w:r>
      <w:r>
        <w:rPr/>
        <w:t xml:space="preserve"> </w:t>
      </w:r>
      <w:r>
        <w:rPr>
          <w:rStyle w:val="Funotenanker"/>
        </w:rPr>
        <w:footnoteReference w:customMarkFollows="1" w:id="1295"/>
        <w:t>g</w:t>
      </w:r>
      <w:r>
        <w:rPr/>
        <w:t xml:space="preserve"> kamen,</w:t>
      </w:r>
      <w:r>
        <w:rPr>
          <w:rStyle w:val="Funotenanker"/>
        </w:rPr>
        <w:footnoteReference w:customMarkFollows="1" w:id="1296"/>
        <w:t>h</w:t>
      </w:r>
      <w:r>
        <w:rPr/>
        <w:t xml:space="preserve"> hatten sie vergessen, Brote mitzunehmen.{{field-off:bible}} </w:t>
        <w:br/>
        <w:t>[[@BibleTOBIBLE:Mt 16:6]]</w:t>
      </w:r>
      <w:r>
        <w:rPr>
          <w:b/>
        </w:rPr>
        <w:t>6</w:t>
      </w:r>
      <w:r>
        <w:rPr/>
        <w:t xml:space="preserve"> {{field-on:bible}} </w:t>
      </w:r>
      <w:r>
        <w:rPr>
          <w:strike/>
          <w:color w:val="808080"/>
        </w:rPr>
        <w:t>{Aber}</w:t>
      </w:r>
      <w:r>
        <w:rPr/>
        <w:t xml:space="preserve"> Jesus sagte ihnen: „Seht zu </w:t>
      </w:r>
      <w:r>
        <w:rPr>
          <w:color w:val="808080"/>
        </w:rPr>
        <w:t>(gebt acht)</w:t>
      </w:r>
      <w:r>
        <w:rPr/>
        <w:t xml:space="preserve"> und hütet euch </w:t>
      </w:r>
      <w:r>
        <w:rPr>
          <w:color w:val="808080"/>
        </w:rPr>
        <w:t>(achtet auf)</w:t>
      </w:r>
      <w:r>
        <w:rPr/>
        <w:t xml:space="preserve"> vor dem Sauerteig der Pharisäer und Sadduzäer!“{{field-off:bible}} </w:t>
        <w:br/>
        <w:t>[[@BibleTOBIBLE:Mt 16:7]]</w:t>
      </w:r>
      <w:r>
        <w:rPr>
          <w:b/>
        </w:rPr>
        <w:t>7</w:t>
      </w:r>
      <w:r>
        <w:rPr/>
        <w:t xml:space="preserve"> {{field-on:bible}}Sie aber diskutierten </w:t>
      </w:r>
      <w:r>
        <w:rPr>
          <w:b/>
          <w:color w:val="808080"/>
        </w:rPr>
        <w:t>[</w:t>
      </w:r>
      <w:r>
        <w:rPr/>
        <w:t>gerade</w:t>
      </w:r>
      <w:r>
        <w:rPr>
          <w:b/>
          <w:color w:val="808080"/>
        </w:rPr>
        <w:t>]</w:t>
      </w:r>
      <w:r>
        <w:rPr/>
        <w:t xml:space="preserve"> </w:t>
      </w:r>
      <w:r>
        <w:rPr>
          <w:rStyle w:val="Funotenanker"/>
        </w:rPr>
        <w:footnoteReference w:customMarkFollows="1" w:id="1297"/>
        <w:t>i</w:t>
      </w:r>
      <w:r>
        <w:rPr/>
        <w:t xml:space="preserve"> miteinander </w:t>
      </w:r>
      <w:r>
        <w:rPr>
          <w:strike/>
          <w:color w:val="808080"/>
        </w:rPr>
        <w:t>{sagend}</w:t>
      </w:r>
      <w:r>
        <w:rPr/>
        <w:t>: „Wir haben keine Brote mitgenommen!“</w:t>
      </w:r>
      <w:r>
        <w:rPr>
          <w:rStyle w:val="Funotenanker"/>
        </w:rPr>
        <w:footnoteReference w:customMarkFollows="1" w:id="1298"/>
        <w:t>j</w:t>
      </w:r>
      <w:r>
        <w:rPr/>
        <w:t xml:space="preserve"> {{field-off:bible}} </w:t>
        <w:br/>
        <w:t>[[@BibleTOBIBLE:Mt 16:8]]</w:t>
      </w:r>
      <w:r>
        <w:rPr>
          <w:b/>
        </w:rPr>
        <w:t>8</w:t>
      </w:r>
      <w:r>
        <w:rPr/>
        <w:t xml:space="preserve"> {{field-on:bible}}Als aber Jesus das merkte, sagte er zu ihnen: „Was diskutiert ihr miteinander, Kleingläubige </w:t>
      </w:r>
      <w:r>
        <w:rPr>
          <w:color w:val="808080"/>
        </w:rPr>
        <w:t>(von schwachem Vertrauen)</w:t>
      </w:r>
      <w:r>
        <w:rPr/>
        <w:t xml:space="preserve">, dass </w:t>
      </w:r>
      <w:r>
        <w:rPr>
          <w:color w:val="808080"/>
        </w:rPr>
        <w:t>(weil)</w:t>
      </w:r>
      <w:r>
        <w:rPr/>
        <w:t xml:space="preserve"> </w:t>
      </w:r>
      <w:r>
        <w:rPr>
          <w:rStyle w:val="Funotenanker"/>
        </w:rPr>
        <w:footnoteReference w:customMarkFollows="1" w:id="1299"/>
        <w:t>k</w:t>
      </w:r>
      <w:r>
        <w:rPr/>
        <w:t xml:space="preserve"> ihr kein Brot habt?{{field-off:bible}} </w:t>
        <w:br/>
        <w:t>[[@BibleTOBIBLE:Mt 16:9]]</w:t>
      </w:r>
      <w:r>
        <w:rPr>
          <w:b/>
        </w:rPr>
        <w:t>9</w:t>
      </w:r>
      <w:r>
        <w:rPr/>
        <w:t xml:space="preserve"> {{field-on:bible}}Begreift </w:t>
      </w:r>
      <w:r>
        <w:rPr>
          <w:color w:val="808080"/>
        </w:rPr>
        <w:t>(versteht, erkennt)</w:t>
      </w:r>
      <w:r>
        <w:rPr/>
        <w:t xml:space="preserve"> ihr noch nicht, und erinnert ihr euch nicht </w:t>
      </w:r>
      <w:r>
        <w:rPr>
          <w:b/>
          <w:color w:val="808080"/>
        </w:rPr>
        <w:t>[</w:t>
      </w:r>
      <w:r>
        <w:rPr/>
        <w:t>mehr</w:t>
      </w:r>
      <w:r>
        <w:rPr>
          <w:b/>
          <w:color w:val="808080"/>
        </w:rPr>
        <w:t>]</w:t>
      </w:r>
      <w:r>
        <w:rPr/>
        <w:t xml:space="preserve"> </w:t>
      </w:r>
      <w:r>
        <w:rPr>
          <w:rStyle w:val="Funotenanker"/>
        </w:rPr>
        <w:footnoteReference w:customMarkFollows="1" w:id="1300"/>
        <w:t>l</w:t>
      </w:r>
      <w:r>
        <w:rPr/>
        <w:t xml:space="preserve"> an die fünf Brote der Fünftausend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16:10]]</w:t>
      </w:r>
      <w:r>
        <w:rPr>
          <w:b/>
        </w:rPr>
        <w:t>10</w:t>
      </w:r>
      <w:r>
        <w:rPr/>
        <w:t xml:space="preserve"> {{field-on:bible}}Und nicht an die sieben Brote der Viertausend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16:11]]</w:t>
      </w:r>
      <w:r>
        <w:rPr>
          <w:b/>
        </w:rPr>
        <w:t>11</w:t>
      </w:r>
      <w:r>
        <w:rPr/>
        <w:t xml:space="preserve"> {{field-on:bible}}Warum </w:t>
      </w:r>
      <w:r>
        <w:rPr>
          <w:color w:val="808080"/>
        </w:rPr>
        <w:t>(wie)</w:t>
      </w:r>
      <w:r>
        <w:rPr/>
        <w:t xml:space="preserve"> begreift </w:t>
      </w:r>
      <w:r>
        <w:rPr>
          <w:color w:val="808080"/>
        </w:rPr>
        <w:t>(versteht, erkennt)</w:t>
      </w:r>
      <w:r>
        <w:rPr/>
        <w:t xml:space="preserve"> ihr nicht, dass ich </w:t>
      </w:r>
      <w:r>
        <w:rPr>
          <w:b/>
          <w:color w:val="808080"/>
        </w:rPr>
        <w:t>[</w:t>
      </w:r>
      <w:r>
        <w:rPr/>
        <w:t>gerade</w:t>
      </w:r>
      <w:r>
        <w:rPr>
          <w:b/>
          <w:color w:val="808080"/>
        </w:rPr>
        <w:t>]</w:t>
      </w:r>
      <w:r>
        <w:rPr/>
        <w:t xml:space="preserve"> nicht über Brote zu euch sprach? Nehmt euch </w:t>
      </w:r>
      <w:r>
        <w:rPr>
          <w:strike/>
          <w:color w:val="808080"/>
        </w:rPr>
        <w:t>{aber}</w:t>
      </w:r>
      <w:r>
        <w:rPr/>
        <w:t xml:space="preserve"> in Acht vor dem Sauerteig der Pharisäer und Sadduzäer.“{{field-off:bible}} </w:t>
        <w:br/>
        <w:t>[[@BibleTOBIBLE:Mt 16:12]]</w:t>
      </w:r>
      <w:r>
        <w:rPr>
          <w:b/>
        </w:rPr>
        <w:t>12</w:t>
      </w:r>
      <w:r>
        <w:rPr/>
        <w:t xml:space="preserve"> {{field-on:bible}}Da verstanden sie, dass er nicht meinte </w:t>
      </w:r>
      <w:r>
        <w:rPr>
          <w:color w:val="808080"/>
        </w:rPr>
        <w:t>(sagte)</w:t>
      </w:r>
      <w:r>
        <w:rPr/>
        <w:t xml:space="preserve">, sich vor dem Sauerteig </w:t>
      </w:r>
      <w:r>
        <w:rPr>
          <w:strike/>
          <w:color w:val="808080"/>
        </w:rPr>
        <w:t>{des Brotes}</w:t>
      </w:r>
      <w:r>
        <w:rPr/>
        <w:t xml:space="preserve"> </w:t>
      </w:r>
      <w:r>
        <w:rPr>
          <w:rStyle w:val="Funotenanker"/>
        </w:rPr>
        <w:footnoteReference w:customMarkFollows="1" w:id="1301"/>
        <w:t>m</w:t>
      </w:r>
      <w:r>
        <w:rPr/>
        <w:t xml:space="preserve"> in Acht zu nehmen, sondern vor der Lehre der Pharisäer und Sadduzäer.{{field-off:bible}} </w:t>
        <w:br/>
        <w:t>[[@BibleTOBIBLE:Mt 16:13]]</w:t>
      </w:r>
      <w:r>
        <w:rPr>
          <w:b/>
        </w:rPr>
        <w:t>13</w:t>
      </w:r>
      <w:r>
        <w:rPr/>
        <w:t xml:space="preserve"> {{field-on:bible}}Als </w:t>
      </w:r>
      <w:r>
        <w:rPr>
          <w:strike/>
          <w:color w:val="808080"/>
        </w:rPr>
        <w:t>{aber}</w:t>
      </w:r>
      <w:r>
        <w:rPr/>
        <w:t xml:space="preserve"> Jesus in das Gebiet von Cäsaräa Philippi gekommen war, fragte er seine Jünger </w:t>
      </w:r>
      <w:r>
        <w:rPr>
          <w:strike/>
          <w:color w:val="808080"/>
        </w:rPr>
        <w:t>{und sprach}</w:t>
      </w:r>
      <w:r>
        <w:rPr/>
        <w:t>: „Wer, sagen die Leute, dass ich - der Menschensohn!</w:t>
      </w:r>
      <w:r>
        <w:rPr>
          <w:rStyle w:val="Funotenanker"/>
        </w:rPr>
        <w:footnoteReference w:customMarkFollows="1" w:id="1302"/>
        <w:t>n</w:t>
      </w:r>
      <w:r>
        <w:rPr/>
        <w:t xml:space="preserve"> - </w:t>
      </w:r>
      <w:r>
        <w:rPr>
          <w:color w:val="808080"/>
        </w:rPr>
        <w:t>(dass der Menschensohn)</w:t>
      </w:r>
      <w:r>
        <w:rPr/>
        <w:t xml:space="preserve"> </w:t>
      </w:r>
      <w:r>
        <w:rPr>
          <w:rStyle w:val="Funotenanker"/>
        </w:rPr>
        <w:footnoteReference w:customMarkFollows="1" w:id="1303"/>
        <w:t>o</w:t>
      </w:r>
      <w:r>
        <w:rPr/>
        <w:t xml:space="preserve"> sei?“{{field-off:bible}} </w:t>
        <w:br/>
        <w:t>[[@BibleTOBIBLE:Mt 16:14]]</w:t>
      </w:r>
      <w:r>
        <w:rPr>
          <w:b/>
        </w:rPr>
        <w:t>14</w:t>
      </w:r>
      <w:r>
        <w:rPr/>
        <w:t xml:space="preserve"> {{field-on:bible}}Sie aber sagten: „Die einen </w:t>
      </w:r>
      <w:r>
        <w:rPr>
          <w:b/>
          <w:color w:val="808080"/>
        </w:rPr>
        <w:t>[</w:t>
      </w:r>
      <w:r>
        <w:rPr/>
        <w:t>sagen</w:t>
      </w:r>
      <w:r>
        <w:rPr>
          <w:b/>
          <w:color w:val="808080"/>
        </w:rPr>
        <w:t>]</w:t>
      </w:r>
      <w:r>
        <w:rPr/>
        <w:t xml:space="preserve">: »Johannes der Täufer«, andere </w:t>
      </w:r>
      <w:r>
        <w:rPr>
          <w:strike/>
          <w:color w:val="808080"/>
        </w:rPr>
        <w:t>{aber}</w:t>
      </w:r>
      <w:r>
        <w:rPr/>
        <w:t xml:space="preserve"> »Elija«, andere </w:t>
      </w:r>
      <w:r>
        <w:rPr>
          <w:strike/>
          <w:color w:val="808080"/>
        </w:rPr>
        <w:t>{aber}</w:t>
      </w:r>
      <w:r>
        <w:rPr/>
        <w:t xml:space="preserve"> »Jeremia oder einer der Propheten«.“{{field-off:bible}} </w:t>
        <w:br/>
        <w:t>[[@BibleTOBIBLE:Mt 16:15]]</w:t>
      </w:r>
      <w:r>
        <w:rPr>
          <w:b/>
        </w:rPr>
        <w:t>15</w:t>
      </w:r>
      <w:r>
        <w:rPr/>
        <w:t xml:space="preserve"> {{field-on:bible}}Er sagte zu ihnen: „Ihr aber, wer sagt ihr, dass ich sei?“{{field-off:bible}} </w:t>
        <w:br/>
        <w:t>[[@BibleTOBIBLE:Mt 16:16]]</w:t>
      </w:r>
      <w:r>
        <w:rPr>
          <w:b/>
        </w:rPr>
        <w:t>16</w:t>
      </w:r>
      <w:r>
        <w:rPr/>
        <w:t xml:space="preserve"> {{field-on:bible}}Es antwortete </w:t>
      </w:r>
      <w:r>
        <w:rPr>
          <w:strike/>
          <w:color w:val="808080"/>
        </w:rPr>
        <w:t>{aber}</w:t>
      </w:r>
      <w:r>
        <w:rPr/>
        <w:t xml:space="preserve"> Simon Petrus </w:t>
      </w:r>
      <w:r>
        <w:rPr>
          <w:strike/>
          <w:color w:val="808080"/>
        </w:rPr>
        <w:t>{und sprach}</w:t>
      </w:r>
      <w:r>
        <w:rPr/>
        <w:t>: „Du bist der Gesalbte</w:t>
      </w:r>
      <w:r>
        <w:rPr>
          <w:rStyle w:val="Funotenanker"/>
        </w:rPr>
        <w:footnoteReference w:customMarkFollows="1" w:id="1304"/>
        <w:t>p</w:t>
      </w:r>
      <w:r>
        <w:rPr/>
        <w:t xml:space="preserve">, der Sohn des lebendigen </w:t>
      </w:r>
      <w:r>
        <w:rPr>
          <w:b/>
          <w:color w:val="808080"/>
        </w:rPr>
        <w:t>[</w:t>
      </w:r>
      <w:r>
        <w:rPr/>
        <w:t>Gottes</w:t>
      </w:r>
      <w:r>
        <w:rPr>
          <w:b/>
          <w:color w:val="808080"/>
        </w:rPr>
        <w:t>]</w:t>
      </w:r>
      <w:r>
        <w:rPr/>
        <w:t xml:space="preserve">.“{{field-off:bible}} </w:t>
        <w:br/>
        <w:t>[[@BibleTOBIBLE:Mt 16:17]]</w:t>
      </w:r>
      <w:r>
        <w:rPr>
          <w:b/>
        </w:rPr>
        <w:t>17</w:t>
      </w:r>
      <w:r>
        <w:rPr/>
        <w:t xml:space="preserve"> {{field-on:bible}}Jesus </w:t>
      </w:r>
      <w:r>
        <w:rPr>
          <w:strike/>
          <w:color w:val="808080"/>
        </w:rPr>
        <w:t>{aber}</w:t>
      </w:r>
      <w:r>
        <w:rPr/>
        <w:t xml:space="preserve"> sagte zu ihm: „</w:t>
      </w:r>
      <w:r>
        <w:rPr>
          <w:b/>
          <w:color w:val="808080"/>
        </w:rPr>
        <w:t>[</w:t>
      </w:r>
      <w:r>
        <w:rPr/>
        <w:t>Wie</w:t>
      </w:r>
      <w:r>
        <w:rPr>
          <w:b/>
          <w:color w:val="808080"/>
        </w:rPr>
        <w:t>]</w:t>
      </w:r>
      <w:r>
        <w:rPr/>
        <w:t xml:space="preserve"> glücklich </w:t>
      </w:r>
      <w:r>
        <w:rPr>
          <w:color w:val="808080"/>
        </w:rPr>
        <w:t>(selig, glückselig)</w:t>
      </w:r>
      <w:r>
        <w:rPr/>
        <w:t xml:space="preserve"> </w:t>
      </w:r>
      <w:r>
        <w:rPr>
          <w:rStyle w:val="Funotenanker"/>
        </w:rPr>
        <w:footnoteReference w:customMarkFollows="1" w:id="1305"/>
        <w:t>q</w:t>
      </w:r>
      <w:r>
        <w:rPr/>
        <w:t xml:space="preserve"> bist du, Simon bar Jona</w:t>
      </w:r>
      <w:r>
        <w:rPr>
          <w:rStyle w:val="Funotenanker"/>
        </w:rPr>
        <w:footnoteReference w:customMarkFollows="1" w:id="1306"/>
        <w:t>r</w:t>
      </w:r>
      <w:r>
        <w:rPr/>
        <w:t>, denn nicht Fleisch und Blut</w:t>
      </w:r>
      <w:r>
        <w:rPr>
          <w:rStyle w:val="Funotenanker"/>
        </w:rPr>
        <w:footnoteReference w:customMarkFollows="1" w:id="1307"/>
        <w:t>s</w:t>
      </w:r>
      <w:r>
        <w:rPr/>
        <w:t xml:space="preserve"> haben dir </w:t>
      </w:r>
      <w:r>
        <w:rPr>
          <w:b/>
          <w:color w:val="808080"/>
        </w:rPr>
        <w:t>[</w:t>
      </w:r>
      <w:r>
        <w:rPr/>
        <w:t>das</w:t>
      </w:r>
      <w:r>
        <w:rPr>
          <w:b/>
          <w:color w:val="808080"/>
        </w:rPr>
        <w:t>]</w:t>
      </w:r>
      <w:r>
        <w:rPr/>
        <w:t xml:space="preserve"> offenbart </w:t>
      </w:r>
      <w:r>
        <w:rPr>
          <w:color w:val="808080"/>
        </w:rPr>
        <w:t>(enthüllt)</w:t>
      </w:r>
      <w:r>
        <w:rPr/>
        <w:t>, sondern mein Vater im Himmel.</w:t>
      </w:r>
      <w:r>
        <w:rPr>
          <w:rStyle w:val="Funotenanker"/>
        </w:rPr>
        <w:footnoteReference w:customMarkFollows="1" w:id="1308"/>
        <w:t>t</w:t>
      </w:r>
      <w:r>
        <w:rPr/>
        <w:t xml:space="preserve"> {{field-off:bible}} </w:t>
        <w:br/>
        <w:t>[[@BibleTOBIBLE:Mt 16:18]]</w:t>
      </w:r>
      <w:r>
        <w:rPr>
          <w:b/>
        </w:rPr>
        <w:t>18</w:t>
      </w:r>
      <w:r>
        <w:rPr/>
        <w:t xml:space="preserve"> {{field-on:bible}}Aber ich sage dir: Du bist Petrus </w:t>
      </w:r>
      <w:r>
        <w:rPr>
          <w:color w:val="808080"/>
        </w:rPr>
        <w:t>(Fels)</w:t>
      </w:r>
      <w:r>
        <w:rPr/>
        <w:t>, und auf dieses Gefels</w:t>
      </w:r>
      <w:r>
        <w:rPr>
          <w:rStyle w:val="Funotenanker"/>
        </w:rPr>
        <w:footnoteReference w:customMarkFollows="1" w:id="1309"/>
        <w:t>u</w:t>
      </w:r>
      <w:r>
        <w:rPr/>
        <w:t xml:space="preserve"> werde ich meine Kirche </w:t>
      </w:r>
      <w:r>
        <w:rPr>
          <w:color w:val="808080"/>
        </w:rPr>
        <w:t>(er)</w:t>
      </w:r>
      <w:r>
        <w:rPr/>
        <w:t>bauen, und die Pforten des Hades</w:t>
      </w:r>
      <w:r>
        <w:rPr>
          <w:rStyle w:val="Funotenanker"/>
        </w:rPr>
        <w:footnoteReference w:customMarkFollows="1" w:id="1310"/>
        <w:t>v</w:t>
      </w:r>
      <w:r>
        <w:rPr/>
        <w:t xml:space="preserve"> werden nicht die Oberhand haben </w:t>
      </w:r>
      <w:r>
        <w:rPr>
          <w:color w:val="808080"/>
        </w:rPr>
        <w:t>(erlangen)</w:t>
      </w:r>
      <w:r>
        <w:rPr/>
        <w:t xml:space="preserve"> über sie </w:t>
      </w:r>
      <w:r>
        <w:rPr>
          <w:color w:val="808080"/>
        </w:rPr>
        <w:t>(es)</w:t>
      </w:r>
      <w:r>
        <w:rPr/>
        <w:t>.</w:t>
      </w:r>
      <w:r>
        <w:rPr>
          <w:rStyle w:val="Funotenanker"/>
        </w:rPr>
        <w:footnoteReference w:customMarkFollows="1" w:id="1311"/>
        <w:t>w</w:t>
      </w:r>
      <w:r>
        <w:rPr/>
        <w:t xml:space="preserve"> {{field-off:bible}} </w:t>
        <w:br/>
        <w:t>[[@BibleTOBIBLE:Mt 16:19]]</w:t>
      </w:r>
      <w:r>
        <w:rPr>
          <w:b/>
        </w:rPr>
        <w:t>19</w:t>
      </w:r>
      <w:r>
        <w:rPr/>
        <w:t xml:space="preserve"> {{field-on:bible}}Ich werde dir die Schlüssel des Reiches des Himmels </w:t>
      </w:r>
      <w:r>
        <w:rPr>
          <w:color w:val="808080"/>
        </w:rPr>
        <w:t>(der Himmel)</w:t>
      </w:r>
      <w:r>
        <w:rPr/>
        <w:t xml:space="preserve"> geben,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binden wirst auf der Erde, wird gebunden sein im Himmel </w:t>
      </w:r>
      <w:r>
        <w:rPr>
          <w:color w:val="808080"/>
        </w:rPr>
        <w:t>(in den Himmeln)</w:t>
      </w:r>
      <w:r>
        <w:rPr/>
        <w:t xml:space="preserve">,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lösen wirst auf der Erde, wird gelöst sein im Himmel </w:t>
      </w:r>
      <w:r>
        <w:rPr>
          <w:color w:val="808080"/>
        </w:rPr>
        <w:t>(in den Himmeln)</w:t>
      </w:r>
      <w:r>
        <w:rPr/>
        <w:t>.“</w:t>
      </w:r>
      <w:r>
        <w:rPr>
          <w:rStyle w:val="Funotenanker"/>
        </w:rPr>
        <w:footnoteReference w:customMarkFollows="1" w:id="1312"/>
        <w:t>x</w:t>
      </w:r>
      <w:r>
        <w:rPr/>
        <w:t xml:space="preserve"> {{field-off:bible}} </w:t>
        <w:br/>
        <w:t>[[@BibleTOBIBLE:Mt 16:20]]</w:t>
      </w:r>
      <w:r>
        <w:rPr>
          <w:b/>
        </w:rPr>
        <w:t>20</w:t>
      </w:r>
      <w:r>
        <w:rPr/>
        <w:t xml:space="preserve"> {{field-on:bible}}Dann befahl er </w:t>
      </w:r>
      <w:r>
        <w:rPr>
          <w:color w:val="808080"/>
        </w:rPr>
        <w:t>(ordnete er an, schärfte er ein)</w:t>
      </w:r>
      <w:r>
        <w:rPr/>
        <w:t xml:space="preserve"> den Jüngern, dass sie niemandem sagen sollten, dass er der Gesalbte sei.{{field-off:bible}} </w:t>
        <w:br/>
        <w:t>[[@BibleTOBIBLE:Mt 16:21]]</w:t>
      </w:r>
      <w:r>
        <w:rPr>
          <w:b/>
        </w:rPr>
        <w:t>21</w:t>
      </w:r>
      <w:r>
        <w:rPr/>
        <w:t xml:space="preserve"> {{field-on:bible}}Von da an begann Jesus, den Jüngern zu zeigen </w:t>
      </w:r>
      <w:r>
        <w:rPr>
          <w:color w:val="808080"/>
        </w:rPr>
        <w:t>(darzutun, klarzumachen, hinzuweisen)</w:t>
      </w:r>
      <w:r>
        <w:rPr/>
        <w:t>, dass er nach Jerusalem gehen und vieles von den Ältesten und Führern und Schriftgelehrten erleiden und getötet werden und am dritten Tage auferstehen müsse.</w:t>
      </w:r>
      <w:r>
        <w:rPr>
          <w:rStyle w:val="Funotenanker"/>
        </w:rPr>
        <w:footnoteReference w:customMarkFollows="1" w:id="1313"/>
        <w:t>y</w:t>
      </w:r>
      <w:r>
        <w:rPr/>
        <w:t xml:space="preserve"> {{field-off:bible}} </w:t>
        <w:br/>
        <w:t>[[@BibleTOBIBLE:Mt 16:22]]</w:t>
      </w:r>
      <w:r>
        <w:rPr>
          <w:b/>
        </w:rPr>
        <w:t>22</w:t>
      </w:r>
      <w:r>
        <w:rPr/>
        <w:t xml:space="preserve"> {{field-on:bible}}Und es nahm ihn beiseite </w:t>
      </w:r>
      <w:r>
        <w:rPr>
          <w:color w:val="808080"/>
        </w:rPr>
        <w:t>(zu sich)</w:t>
      </w:r>
      <w:r>
        <w:rPr/>
        <w:t xml:space="preserve"> Petrus und begann ihn anzufahren </w:t>
      </w:r>
      <w:r>
        <w:rPr>
          <w:color w:val="808080"/>
        </w:rPr>
        <w:t>(zu tadeln, zurechtzuweisen)</w:t>
      </w:r>
      <w:r>
        <w:rPr/>
        <w:t xml:space="preserve"> </w:t>
      </w:r>
      <w:r>
        <w:rPr>
          <w:strike/>
          <w:color w:val="808080"/>
        </w:rPr>
        <w:t>{sagend}</w:t>
      </w:r>
      <w:r>
        <w:rPr/>
        <w:t xml:space="preserve">: „Gott sei dir gnädig </w:t>
      </w:r>
      <w:r>
        <w:rPr>
          <w:color w:val="808080"/>
        </w:rPr>
        <w:t>(wohlgesonnen, gütig gesinnt)</w:t>
      </w:r>
      <w:r>
        <w:rPr/>
        <w:t xml:space="preserve">, Herr! Dies darf </w:t>
      </w:r>
      <w:r>
        <w:rPr>
          <w:color w:val="808080"/>
        </w:rPr>
        <w:t>(soll)</w:t>
      </w:r>
      <w:r>
        <w:rPr/>
        <w:t xml:space="preserve"> dir nicht geschehen </w:t>
      </w:r>
      <w:r>
        <w:rPr>
          <w:color w:val="808080"/>
        </w:rPr>
        <w:t>(zustoßen)</w:t>
      </w:r>
      <w:r>
        <w:rPr/>
        <w:t xml:space="preserve">!“{{field-off:bible}} </w:t>
        <w:br/>
        <w:t>[[@BibleTOBIBLE:Mt 16:23]]</w:t>
      </w:r>
      <w:r>
        <w:rPr>
          <w:b/>
        </w:rPr>
        <w:t>23</w:t>
      </w:r>
      <w:r>
        <w:rPr/>
        <w:t xml:space="preserve"> {{field-on:bible}}Der aber wandte sich um</w:t>
      </w:r>
      <w:r>
        <w:rPr>
          <w:rStyle w:val="Funotenanker"/>
        </w:rPr>
        <w:footnoteReference w:customMarkFollows="1" w:id="1314"/>
        <w:t>z</w:t>
      </w:r>
      <w:r>
        <w:rPr/>
        <w:t xml:space="preserve"> und sagte zu Petrus: „Geh hinter mich </w:t>
      </w:r>
      <w:r>
        <w:rPr>
          <w:color w:val="808080"/>
        </w:rPr>
        <w:t>(geh weg von mir, lass mich in Ruhe)</w:t>
      </w:r>
      <w:r>
        <w:rPr/>
        <w:t>,</w:t>
      </w:r>
      <w:r>
        <w:rPr>
          <w:rStyle w:val="Funotenanker"/>
        </w:rPr>
        <w:footnoteReference w:customMarkFollows="1" w:id="1315"/>
        <w:t>aa</w:t>
      </w:r>
      <w:r>
        <w:rPr/>
        <w:t xml:space="preserve"> Satan! Eine Versuchung </w:t>
      </w:r>
      <w:r>
        <w:rPr>
          <w:color w:val="808080"/>
        </w:rPr>
        <w:t>(Verführung, Falle)</w:t>
      </w:r>
      <w:r>
        <w:rPr/>
        <w:t xml:space="preserve"> bist du mir, denn du denkst </w:t>
      </w:r>
      <w:r>
        <w:rPr>
          <w:color w:val="808080"/>
        </w:rPr>
        <w:t>(meinst)</w:t>
      </w:r>
      <w:r>
        <w:rPr/>
        <w:t xml:space="preserve"> nicht die Sache Gottes, sondern die Sache der Menschen.“{{field-off:bible}} </w:t>
        <w:br/>
        <w:t>[[@BibleTOBIBLE:Mt 16:24]]</w:t>
      </w:r>
      <w:r>
        <w:rPr>
          <w:b/>
        </w:rPr>
        <w:t>24</w:t>
      </w:r>
      <w:r>
        <w:rPr/>
        <w:t xml:space="preserve"> {{field-on:bible}}Dann sagte Jesus seinen Jüngern: „Wenn jemand hinter mir gehen </w:t>
      </w:r>
      <w:r>
        <w:rPr>
          <w:color w:val="808080"/>
        </w:rPr>
        <w:t>(mir nachfolgen)</w:t>
      </w:r>
      <w:r>
        <w:rPr/>
        <w:t xml:space="preserve"> möchte, verleugne er sich selbst, nehme sein Kreuz auf </w:t>
      </w:r>
      <w:r>
        <w:rPr>
          <w:color w:val="808080"/>
        </w:rPr>
        <w:t>(mit)</w:t>
      </w:r>
      <w:r>
        <w:rPr/>
        <w:t xml:space="preserve"> und folge mir nach.{{field-off:bible}} </w:t>
        <w:br/>
        <w:t>[[@BibleTOBIBLE:Mt 16:25]]</w:t>
      </w:r>
      <w:r>
        <w:rPr>
          <w:b/>
        </w:rPr>
        <w:t>25</w:t>
      </w:r>
      <w:r>
        <w:rPr/>
        <w:t xml:space="preserve"> {{field-on:bible}}Denn wer auch immer </w:t>
      </w:r>
      <w:r>
        <w:rPr>
          <w:color w:val="808080"/>
        </w:rPr>
        <w:t>(jeder, der)</w:t>
      </w:r>
      <w:r>
        <w:rPr/>
        <w:t xml:space="preserve"> sein Leben retten möchte, wird es verlieren. Aber wer auch immer </w:t>
      </w:r>
      <w:r>
        <w:rPr>
          <w:color w:val="808080"/>
        </w:rPr>
        <w:t>(jeder, der)</w:t>
      </w:r>
      <w:r>
        <w:rPr/>
        <w:t xml:space="preserve"> sein Leben verliert um meinetwillen </w:t>
      </w:r>
      <w:r>
        <w:rPr>
          <w:color w:val="808080"/>
        </w:rPr>
        <w:t>(wegen mir)</w:t>
      </w:r>
      <w:r>
        <w:rPr/>
        <w:t xml:space="preserve">, wird es erlangen </w:t>
      </w:r>
      <w:r>
        <w:rPr>
          <w:color w:val="808080"/>
        </w:rPr>
        <w:t>(gewinnen, finden)</w:t>
      </w:r>
      <w:r>
        <w:rPr/>
        <w:t xml:space="preserve">.{{field-off:bible}} </w:t>
        <w:br/>
        <w:t>[[@BibleTOBIBLE:Mt 16:26]]</w:t>
      </w:r>
      <w:r>
        <w:rPr>
          <w:b/>
        </w:rPr>
        <w:t>26</w:t>
      </w:r>
      <w:r>
        <w:rPr/>
        <w:t xml:space="preserve"> {{field-on:bible}}Denn was würde es einem Menschen helfen </w:t>
      </w:r>
      <w:r>
        <w:rPr>
          <w:color w:val="808080"/>
        </w:rPr>
        <w:t>(nützen, fördern)</w:t>
      </w:r>
      <w:r>
        <w:rPr/>
        <w:t xml:space="preserve">, wenn er die ganze Welt gewönne, ihm aber sein Leben </w:t>
      </w:r>
      <w:r>
        <w:rPr>
          <w:color w:val="808080"/>
        </w:rPr>
        <w:t>(Seele)</w:t>
      </w:r>
      <w:r>
        <w:rPr/>
        <w:t xml:space="preserve"> abhanden komme </w:t>
      </w:r>
      <w:r>
        <w:rPr>
          <w:color w:val="808080"/>
        </w:rPr>
        <w:t>(er sein Leben einbüßte, sein Leben Schaden erlitte)</w:t>
      </w:r>
      <w:r>
        <w:rPr/>
        <w:t xml:space="preserve">? Oder was kann ein Mensch geben als Tauschmittel </w:t>
      </w:r>
      <w:r>
        <w:rPr>
          <w:color w:val="808080"/>
        </w:rPr>
        <w:t>(Gegenwert)</w:t>
      </w:r>
      <w:r>
        <w:rPr/>
        <w:t xml:space="preserve"> für sein Leben </w:t>
      </w:r>
      <w:r>
        <w:rPr>
          <w:color w:val="808080"/>
        </w:rPr>
        <w:t>(seine Seele)</w:t>
      </w:r>
      <w:r>
        <w:rPr/>
        <w:t>?</w:t>
      </w:r>
      <w:r>
        <w:rPr>
          <w:rStyle w:val="Funotenanker"/>
        </w:rPr>
        <w:footnoteReference w:customMarkFollows="1" w:id="1316"/>
        <w:t>ab</w:t>
      </w:r>
      <w:r>
        <w:rPr/>
        <w:t xml:space="preserve"> {{field-off:bible}} </w:t>
        <w:br/>
        <w:t>[[@BibleTOBIBLE:Mt 16:27]]</w:t>
      </w:r>
      <w:r>
        <w:rPr>
          <w:b/>
        </w:rPr>
        <w:t>27</w:t>
      </w:r>
      <w:r>
        <w:rPr/>
        <w:t xml:space="preserve"> {{field-on:bible}}Denn der Sohn des Menschen wird mit seinen Engeln in der Herrlichkeit</w:t>
      </w:r>
      <w:r>
        <w:rPr>
          <w:rStyle w:val="Funotenanker"/>
        </w:rPr>
        <w:footnoteReference w:customMarkFollows="1" w:id="1317"/>
        <w:t>ac</w:t>
      </w:r>
      <w:r>
        <w:rPr/>
        <w:t xml:space="preserve"> seines Vaters kommen, und dann wird er vergelten einem jeden nach seinem Tun.{{field-off:bible}} </w:t>
        <w:br/>
        <w:t>[[@BibleTOBIBLE:Mt 16:28]]</w:t>
      </w:r>
      <w:r>
        <w:rPr>
          <w:b/>
        </w:rPr>
        <w:t>28</w:t>
      </w:r>
      <w:r>
        <w:rPr/>
        <w:t xml:space="preserve"> {{field-on:bible}}Amen, ich sage euch:</w:t>
      </w:r>
      <w:r>
        <w:rPr>
          <w:rStyle w:val="Funotenanker"/>
        </w:rPr>
        <w:footnoteReference w:customMarkFollows="1" w:id="1318"/>
        <w:t>ad</w:t>
      </w:r>
      <w:r>
        <w:rPr/>
        <w:t xml:space="preserve"> Einige von denen, die hier stehen, werden den Tod nicht schmecken </w:t>
      </w:r>
      <w:r>
        <w:rPr>
          <w:color w:val="808080"/>
        </w:rPr>
        <w:t>(kennen lernen, erfahren)</w:t>
      </w:r>
      <w:r>
        <w:rPr/>
        <w:t xml:space="preserve"> </w:t>
      </w:r>
      <w:r>
        <w:rPr>
          <w:rStyle w:val="Funotenanker"/>
        </w:rPr>
        <w:footnoteReference w:customMarkFollows="1" w:id="1319"/>
        <w:t>ae</w:t>
      </w:r>
      <w:r>
        <w:rPr/>
        <w:t xml:space="preserve"> bis sie gesehen haben den Sohn des Menschen kommend in seine Herrschaft </w:t>
      </w:r>
      <w:r>
        <w:rPr>
          <w:color w:val="808080"/>
        </w:rPr>
        <w:t>(Reich)</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320"/>
        <w:t>Status</w:t>
      </w:r>
      <w:r>
        <w:rPr/>
        <w:t xml:space="preserve"> Spät</w:t>
      </w:r>
      <w:r>
        <w:rPr>
          <w:rStyle w:val="Funotenanker"/>
        </w:rPr>
        <w:footnoteReference w:customMarkFollows="1" w:id="1321"/>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1322"/>
        <w:t>b</w:t>
      </w:r>
      <w:r>
        <w:rPr/>
        <w:t xml:space="preserve"> nämlich, der </w:t>
      </w:r>
      <w:r>
        <w:rPr>
          <w:color w:val="808080"/>
        </w:rPr>
        <w:t>(nachdem er)</w:t>
      </w:r>
      <w:r>
        <w:rPr/>
        <w:t xml:space="preserve"> </w:t>
      </w:r>
      <w:r>
        <w:rPr>
          <w:rStyle w:val="Funotenanker"/>
        </w:rPr>
        <w:footnoteReference w:customMarkFollows="1" w:id="1323"/>
        <w:t>c</w:t>
      </w:r>
      <w:r>
        <w:rPr/>
        <w:t xml:space="preserve"> aus dem Himmel hinabstieg und hinzutrat, rollte den Stein</w:t>
      </w:r>
      <w:r>
        <w:rPr>
          <w:rStyle w:val="Funotenanker"/>
        </w:rPr>
        <w:footnoteReference w:customMarkFollows="1" w:id="1324"/>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1325"/>
        <w:t>e</w:t>
      </w:r>
      <w:r>
        <w:rPr/>
        <w:t xml:space="preserve"> zu den Frauen: „Fürchtet ''ihr''</w:t>
      </w:r>
      <w:r>
        <w:rPr>
          <w:rStyle w:val="Funotenanker"/>
        </w:rPr>
        <w:footnoteReference w:customMarkFollows="1" w:id="1326"/>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1327"/>
        <w:t>g</w:t>
      </w:r>
      <w:r>
        <w:rPr/>
        <w:t xml:space="preserve"> lag!{{field-off:bible}} </w:t>
        <w:br/>
        <w:t>[[@BibleTOBIBLE:Mt 28:7]]</w:t>
      </w:r>
      <w:r>
        <w:rPr>
          <w:b/>
        </w:rPr>
        <w:t>7</w:t>
      </w:r>
      <w:r>
        <w:rPr/>
        <w:t xml:space="preserve"> {{field-on:bible}}Und schnell, geht los</w:t>
      </w:r>
      <w:r>
        <w:rPr>
          <w:rStyle w:val="Funotenanker"/>
        </w:rPr>
        <w:footnoteReference w:customMarkFollows="1" w:id="1328"/>
        <w:t>h</w:t>
      </w:r>
      <w:r>
        <w:rPr/>
        <w:t xml:space="preserve"> und sagt seinen Jüngern </w:t>
      </w:r>
      <w:r>
        <w:rPr>
          <w:color w:val="808080"/>
        </w:rPr>
        <w:t>(Jüngern und Jüngerinnen)</w:t>
      </w:r>
      <w:r>
        <w:rPr/>
        <w:t xml:space="preserve"> </w:t>
      </w:r>
      <w:r>
        <w:rPr>
          <w:rStyle w:val="Funotenanker"/>
        </w:rPr>
        <w:footnoteReference w:customMarkFollows="1" w:id="1329"/>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1330"/>
        <w:t>j</w:t>
      </w:r>
      <w:r>
        <w:rPr/>
        <w:t xml:space="preserve"> sie schnell fort</w:t>
      </w:r>
      <w:r>
        <w:rPr>
          <w:rStyle w:val="Funotenanker"/>
        </w:rPr>
        <w:footnoteReference w:customMarkFollows="1" w:id="1331"/>
        <w:t>k</w:t>
      </w:r>
      <w:r>
        <w:rPr/>
        <w:t xml:space="preserve"> vom Grab mit Furcht</w:t>
      </w:r>
      <w:r>
        <w:rPr>
          <w:rStyle w:val="Funotenanker"/>
        </w:rPr>
        <w:footnoteReference w:customMarkFollows="1" w:id="1332"/>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1333"/>
        <w:t>m</w:t>
      </w:r>
      <w:r>
        <w:rPr/>
        <w:t xml:space="preserve"> siehe, Jesus ging ihnen entgegen </w:t>
      </w:r>
      <w:r>
        <w:rPr>
          <w:color w:val="808080"/>
        </w:rPr>
        <w:t>(begegnete ihnen)</w:t>
      </w:r>
      <w:r>
        <w:rPr/>
        <w:t xml:space="preserve"> und</w:t>
      </w:r>
      <w:r>
        <w:rPr>
          <w:rStyle w:val="Funotenanker"/>
        </w:rPr>
        <w:footnoteReference w:customMarkFollows="1" w:id="1334"/>
        <w:t>n</w:t>
      </w:r>
      <w:r>
        <w:rPr/>
        <w:t xml:space="preserve"> sagte: „Freut euch! </w:t>
      </w:r>
      <w:r>
        <w:rPr>
          <w:color w:val="808080"/>
        </w:rPr>
        <w:t>(Seid gegrüßt!)</w:t>
      </w:r>
      <w:r>
        <w:rPr/>
        <w:t xml:space="preserve"> </w:t>
      </w:r>
      <w:r>
        <w:rPr>
          <w:rStyle w:val="Funotenanker"/>
        </w:rPr>
        <w:footnoteReference w:customMarkFollows="1" w:id="1335"/>
        <w:t>o</w:t>
      </w:r>
      <w:r>
        <w:rPr/>
        <w:t>“ Und als</w:t>
      </w:r>
      <w:r>
        <w:rPr>
          <w:rStyle w:val="Funotenanker"/>
        </w:rPr>
        <w:footnoteReference w:customMarkFollows="1" w:id="1336"/>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1337"/>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1338"/>
        <w:t>r</w:t>
      </w:r>
      <w:r>
        <w:rPr/>
        <w:t>, siehe, da kamen</w:t>
      </w:r>
      <w:r>
        <w:rPr>
          <w:rStyle w:val="Funotenanker"/>
        </w:rPr>
        <w:footnoteReference w:customMarkFollows="1" w:id="1339"/>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1340"/>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1341"/>
        <w:t>u</w:t>
      </w:r>
      <w:r>
        <w:rPr/>
        <w:t xml:space="preserve"> </w:t>
      </w:r>
      <w:r>
        <w:rPr>
          <w:b/>
          <w:color w:val="808080"/>
        </w:rPr>
        <w:t>[</w:t>
      </w:r>
      <w:r>
        <w:rPr/>
        <w:t>zu ihnen</w:t>
      </w:r>
      <w:r>
        <w:rPr>
          <w:b/>
          <w:color w:val="808080"/>
        </w:rPr>
        <w:t>]</w:t>
      </w:r>
      <w:r>
        <w:rPr/>
        <w:t>: „Sagt:</w:t>
      </w:r>
      <w:r>
        <w:rPr>
          <w:rStyle w:val="Funotenanker"/>
        </w:rPr>
        <w:footnoteReference w:customMarkFollows="1" w:id="1342"/>
        <w:t>v</w:t>
      </w:r>
      <w:r>
        <w:rPr/>
        <w:t xml:space="preserve"> »Seine Jünger sind nachts gekommen</w:t>
      </w:r>
      <w:r>
        <w:rPr>
          <w:rStyle w:val="Funotenanker"/>
        </w:rPr>
        <w:footnoteReference w:customMarkFollows="1" w:id="1343"/>
        <w:t>w</w:t>
      </w:r>
      <w:r>
        <w:rPr/>
        <w:t xml:space="preserve"> und haben ihn genommen, während</w:t>
      </w:r>
      <w:r>
        <w:rPr>
          <w:rStyle w:val="Funotenanker"/>
        </w:rPr>
        <w:footnoteReference w:customMarkFollows="1" w:id="1344"/>
        <w:t>x</w:t>
      </w:r>
      <w:r>
        <w:rPr/>
        <w:t xml:space="preserve"> wir schliefen.</w:t>
      </w:r>
      <w:r>
        <w:rPr>
          <w:rStyle w:val="Funotenanker"/>
        </w:rPr>
        <w:footnoteReference w:customMarkFollows="1" w:id="1345"/>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1346"/>
        <w:t>z</w:t>
      </w:r>
      <w:r>
        <w:rPr/>
        <w:t xml:space="preserve"> und sicher stellen, dass ihr ohne Sorge sein könnt</w:t>
      </w:r>
      <w:r>
        <w:rPr>
          <w:rStyle w:val="Funotenanker"/>
        </w:rPr>
        <w:footnoteReference w:customMarkFollows="1" w:id="1347"/>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1348"/>
        <w:t>ab</w:t>
      </w:r>
      <w:r>
        <w:rPr/>
        <w:t xml:space="preserve"> die Silbermünzen und taten so, wie sie gelehrt worden waren. Und dieses Wort verbreitete sich</w:t>
      </w:r>
      <w:r>
        <w:rPr>
          <w:rStyle w:val="Funotenanker"/>
        </w:rPr>
        <w:footnoteReference w:customMarkFollows="1" w:id="1349"/>
        <w:t>ac</w:t>
      </w:r>
      <w:r>
        <w:rPr/>
        <w:t xml:space="preserve"> unter </w:t>
      </w:r>
      <w:r>
        <w:rPr>
          <w:b/>
          <w:color w:val="808080"/>
        </w:rPr>
        <w:t>[</w:t>
      </w:r>
      <w:r>
        <w:rPr/>
        <w:t>vielen</w:t>
      </w:r>
      <w:r>
        <w:rPr>
          <w:b/>
          <w:color w:val="808080"/>
        </w:rPr>
        <w:t>]</w:t>
      </w:r>
      <w:r>
        <w:rPr/>
        <w:t xml:space="preserve"> </w:t>
      </w:r>
      <w:r>
        <w:rPr>
          <w:rStyle w:val="Funotenanker"/>
        </w:rPr>
        <w:footnoteReference w:customMarkFollows="1" w:id="1350"/>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1351"/>
        <w:t>ae</w:t>
      </w:r>
      <w:r>
        <w:rPr/>
        <w:t xml:space="preserve"> sie ihn sahen, warfen sie sich vor ihm verehrend </w:t>
      </w:r>
      <w:r>
        <w:rPr>
          <w:color w:val="808080"/>
        </w:rPr>
        <w:t>(huldigend, anbetend)</w:t>
      </w:r>
      <w:r>
        <w:rPr/>
        <w:t xml:space="preserve"> nieder</w:t>
      </w:r>
      <w:r>
        <w:rPr>
          <w:rStyle w:val="Funotenanker"/>
        </w:rPr>
        <w:footnoteReference w:customMarkFollows="1" w:id="1352"/>
        <w:t>af</w:t>
      </w:r>
      <w:r>
        <w:rPr/>
        <w:t xml:space="preserve">; doch zweifelten sie </w:t>
      </w:r>
      <w:r>
        <w:rPr>
          <w:color w:val="808080"/>
        </w:rPr>
        <w:t>(einige von ihnen)</w:t>
      </w:r>
      <w:r>
        <w:rPr/>
        <w:t xml:space="preserve"> </w:t>
      </w:r>
      <w:r>
        <w:rPr>
          <w:rStyle w:val="Funotenanker"/>
        </w:rPr>
        <w:footnoteReference w:customMarkFollows="1" w:id="1353"/>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1354"/>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1355"/>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1356"/>
        <w:t>aj</w:t>
      </w:r>
      <w:r>
        <w:rPr/>
        <w:t xml:space="preserve"> Erde.{{field-off:bible}} </w:t>
        <w:br/>
        <w:t>[[@BibleTOBIBLE:Mt 28:19]]</w:t>
      </w:r>
      <w:r>
        <w:rPr>
          <w:b/>
        </w:rPr>
        <w:t>19</w:t>
      </w:r>
      <w:r>
        <w:rPr/>
        <w:t xml:space="preserve"> {{field-on:bible}}Geht also</w:t>
      </w:r>
      <w:r>
        <w:rPr>
          <w:rStyle w:val="Funotenanker"/>
        </w:rPr>
        <w:footnoteReference w:customMarkFollows="1" w:id="1357"/>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358"/>
        <w:t>Status</w:t>
      </w:r>
      <w:r>
        <w:rPr/>
        <w:t xml:space="preserve"> </w:t>
      </w:r>
      <w:r>
        <w:rPr>
          <w:b/>
          <w:color w:val="808080"/>
        </w:rPr>
        <w:t>[</w:t>
      </w:r>
      <w:r>
        <w:rPr/>
        <w:t>Der</w:t>
      </w:r>
      <w:r>
        <w:rPr>
          <w:b/>
          <w:color w:val="808080"/>
        </w:rPr>
        <w:t>]</w:t>
      </w:r>
      <w:r>
        <w:rPr/>
        <w:t xml:space="preserve"> Anfang der frohen Botschaft </w:t>
      </w:r>
      <w:r>
        <w:rPr>
          <w:rStyle w:val="Funotenanker"/>
        </w:rPr>
        <w:footnoteReference w:customMarkFollows="1" w:id="1359"/>
        <w:t>a</w:t>
      </w:r>
      <w:r>
        <w:rPr/>
        <w:t xml:space="preserve"> von Jesus Christus, </w:t>
      </w:r>
      <w:r>
        <w:rPr>
          <w:b/>
          <w:color w:val="808080"/>
        </w:rPr>
        <w:t>[</w:t>
      </w:r>
      <w:r>
        <w:rPr/>
        <w:t>dem</w:t>
      </w:r>
      <w:r>
        <w:rPr>
          <w:b/>
          <w:color w:val="808080"/>
        </w:rPr>
        <w:t>]</w:t>
      </w:r>
      <w:r>
        <w:rPr/>
        <w:t xml:space="preserve"> Sohn Gottes, </w:t>
      </w:r>
      <w:r>
        <w:rPr>
          <w:rStyle w:val="Funotenanker"/>
        </w:rPr>
        <w:footnoteReference w:customMarkFollows="1" w:id="1360"/>
        <w:t>b</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heißt </w:t>
      </w:r>
      <w:r>
        <w:rPr>
          <w:color w:val="808080"/>
        </w:rPr>
        <w:t>(geschrieben steht)</w:t>
      </w:r>
      <w:r>
        <w:rPr/>
        <w:t xml:space="preserve">: </w:t>
      </w:r>
      <w:r>
        <w:rPr>
          <w:rStyle w:val="Funotenanker"/>
        </w:rPr>
        <w:footnoteReference w:customMarkFollows="1" w:id="1361"/>
        <w:t>c</w:t>
      </w:r>
      <w:r>
        <w:rPr/>
        <w:t xml:space="preserve"> „Siehe, ich sende meinen Boten vor dir her </w:t>
      </w:r>
      <w:r>
        <w:rPr>
          <w:rStyle w:val="Funotenanker"/>
        </w:rPr>
        <w:footnoteReference w:customMarkFollows="1" w:id="1362"/>
        <w:t>d</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1363"/>
        <w:t>e</w:t>
      </w:r>
      <w:r>
        <w:rPr/>
        <w:t xml:space="preserve"> »Bereitet den Weg des Herrn vor, macht seine Pfade gerade«“, </w:t>
      </w:r>
      <w:r>
        <w:rPr>
          <w:rStyle w:val="Funotenanker"/>
        </w:rPr>
        <w:footnoteReference w:customMarkFollows="1" w:id="1364"/>
        <w:t>f</w:t>
      </w:r>
      <w:r>
        <w:rPr/>
        <w:t xml:space="preserve"> </w:t>
      </w:r>
      <w:r>
        <w:rPr>
          <w:position w:val="8"/>
          <w:sz w:val="19"/>
        </w:rPr>
        <w:t>[[ ℘ &gt;&gt; BibleTOBIBLE:Is 40:3]][[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1365"/>
        <w:t>g</w:t>
      </w:r>
      <w:r>
        <w:rPr/>
        <w:t xml:space="preserve"> </w:t>
      </w:r>
      <w:r>
        <w:rPr>
          <w:color w:val="808080"/>
        </w:rPr>
        <w:t>(trat Johannes auf, der in der Wüste taufte)</w:t>
      </w:r>
      <w:r>
        <w:rPr/>
        <w:t xml:space="preserve"> </w:t>
      </w:r>
      <w:r>
        <w:rPr>
          <w:rStyle w:val="Funotenanker"/>
        </w:rPr>
        <w:footnoteReference w:customMarkFollows="1" w:id="1366"/>
        <w:t>h</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1367"/>
        <w:t>i</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1368"/>
        <w:t>j</w:t>
      </w:r>
      <w:r>
        <w:rPr/>
        <w:t xml:space="preserve"> </w:t>
      </w:r>
      <w:r>
        <w:rPr>
          <w:color w:val="808080"/>
        </w:rPr>
        <w:t>(Gegend, Land)</w:t>
      </w:r>
      <w:r>
        <w:rPr/>
        <w:t xml:space="preserve"> und alle Jerusalemer begaben sich </w:t>
      </w:r>
      <w:r>
        <w:rPr>
          <w:rStyle w:val="Funotenanker"/>
        </w:rPr>
        <w:footnoteReference w:customMarkFollows="1" w:id="1369"/>
        <w:t>k</w:t>
      </w:r>
      <w:r>
        <w:rPr/>
        <w:t xml:space="preserve"> </w:t>
      </w:r>
      <w:r>
        <w:rPr>
          <w:color w:val="808080"/>
        </w:rPr>
        <w:t>(gingen)</w:t>
      </w:r>
      <w:r>
        <w:rPr/>
        <w:t xml:space="preserve"> hinaus zu ihm und ließen sich von ihm im Fluss Jordan taufen </w:t>
      </w:r>
      <w:r>
        <w:rPr>
          <w:rStyle w:val="Funotenanker"/>
        </w:rPr>
        <w:footnoteReference w:customMarkFollows="1" w:id="1370"/>
        <w:t>l</w:t>
      </w:r>
      <w:r>
        <w:rPr/>
        <w:t xml:space="preserve">, wobei </w:t>
      </w:r>
      <w:r>
        <w:rPr>
          <w:color w:val="808080"/>
        </w:rPr>
        <w:t>(und)</w:t>
      </w:r>
      <w:r>
        <w:rPr/>
        <w:t xml:space="preserve"> sie ihre Sünden bekannten. </w:t>
      </w:r>
      <w:r>
        <w:rPr>
          <w:rStyle w:val="Funotenanker"/>
        </w:rPr>
        <w:footnoteReference w:customMarkFollows="1" w:id="1371"/>
        <w:t>m</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1372"/>
        <w:t>n</w:t>
      </w:r>
      <w:r>
        <w:rPr/>
        <w:t xml:space="preserve"> und Heuschrecken und wilden Honig zu essen </w:t>
      </w:r>
      <w:r>
        <w:rPr>
          <w:rStyle w:val="Funotenanker"/>
        </w:rPr>
        <w:footnoteReference w:customMarkFollows="1" w:id="1373"/>
        <w:t>o</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1374"/>
        <w:t>p</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1375"/>
        <w:t>q</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1376"/>
        <w:t>r</w:t>
      </w:r>
      <w:r>
        <w:rPr/>
        <w:t xml:space="preserve"> ihm </w:t>
      </w:r>
      <w:r>
        <w:rPr>
          <w:rStyle w:val="Funotenanker"/>
        </w:rPr>
        <w:footnoteReference w:customMarkFollows="1" w:id="1377"/>
        <w:t>s</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1378"/>
        <w:t>t</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1379"/>
        <w:t>u</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1380"/>
        <w:t>v</w:t>
      </w:r>
      <w:r>
        <w:rPr/>
        <w:t xml:space="preserve">, sah er, wie </w:t>
      </w:r>
      <w:r>
        <w:rPr>
          <w:color w:val="808080"/>
        </w:rPr>
        <w:t>(dass)</w:t>
      </w:r>
      <w:r>
        <w:rPr/>
        <w:t xml:space="preserve"> der Himmel </w:t>
      </w:r>
      <w:r>
        <w:rPr>
          <w:rStyle w:val="Funotenanker"/>
        </w:rPr>
        <w:footnoteReference w:customMarkFollows="1" w:id="1381"/>
        <w:t>w</w:t>
      </w:r>
      <w:r>
        <w:rPr/>
        <w:t xml:space="preserve"> geteilt </w:t>
      </w:r>
      <w:r>
        <w:rPr>
          <w:color w:val="808080"/>
        </w:rPr>
        <w:t>(geöffnet)</w:t>
      </w:r>
      <w:r>
        <w:rPr/>
        <w:t xml:space="preserve"> wurde </w:t>
      </w:r>
      <w:r>
        <w:rPr>
          <w:rStyle w:val="Funotenanker"/>
        </w:rPr>
        <w:footnoteReference w:customMarkFollows="1" w:id="1382"/>
        <w:t>x</w:t>
      </w:r>
      <w:r>
        <w:rPr/>
        <w:t xml:space="preserve"> und der Geist wie eine Taube in ihn </w:t>
      </w:r>
      <w:r>
        <w:rPr>
          <w:color w:val="808080"/>
        </w:rPr>
        <w:t>(zu ihm; auf ihn)</w:t>
      </w:r>
      <w:r>
        <w:rPr/>
        <w:t xml:space="preserve"> </w:t>
      </w:r>
      <w:r>
        <w:rPr>
          <w:rStyle w:val="Funotenanker"/>
        </w:rPr>
        <w:footnoteReference w:customMarkFollows="1" w:id="1383"/>
        <w:t>y</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1384"/>
        <w:t>z</w:t>
      </w:r>
      <w:r>
        <w:rPr/>
        <w:t xml:space="preserve"> aus dem Himmel </w:t>
      </w:r>
      <w:r>
        <w:rPr>
          <w:rStyle w:val="Funotenanker"/>
        </w:rPr>
        <w:footnoteReference w:customMarkFollows="1" w:id="1385"/>
        <w:t>aa</w:t>
      </w:r>
      <w:r>
        <w:rPr/>
        <w:t xml:space="preserve">: „Du bist mein geliebter Sohn, an dir habe ich Freude </w:t>
      </w:r>
      <w:r>
        <w:rPr>
          <w:color w:val="808080"/>
        </w:rPr>
        <w:t>(Gefallen gefunden)</w:t>
      </w:r>
      <w:r>
        <w:rPr/>
        <w:t xml:space="preserve"> </w:t>
      </w:r>
      <w:r>
        <w:rPr>
          <w:rStyle w:val="Funotenanker"/>
        </w:rPr>
        <w:footnoteReference w:customMarkFollows="1" w:id="1386"/>
        <w:t>ab</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1387"/>
        <w:t>ac</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1388"/>
        <w:t>ad</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1389"/>
        <w:t>ae</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1390"/>
        <w:t>af</w:t>
      </w:r>
      <w:r>
        <w:rPr/>
        <w:t xml:space="preserve"> das Evangelium Gottes </w:t>
      </w:r>
      <w:r>
        <w:rPr>
          <w:rStyle w:val="Funotenanker"/>
        </w:rPr>
        <w:footnoteReference w:customMarkFollows="1" w:id="1391"/>
        <w:t>ag</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1392"/>
        <w:t>ah</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1393"/>
        <w:t>ai</w:t>
      </w:r>
      <w:r>
        <w:rPr/>
        <w:t xml:space="preserve"> und Gottes Königsherrschaft </w:t>
      </w:r>
      <w:r>
        <w:rPr>
          <w:color w:val="808080"/>
        </w:rPr>
        <w:t>(Königreich)</w:t>
      </w:r>
      <w:r>
        <w:rPr/>
        <w:t xml:space="preserve"> </w:t>
      </w:r>
      <w:r>
        <w:rPr>
          <w:rStyle w:val="Funotenanker"/>
        </w:rPr>
        <w:footnoteReference w:customMarkFollows="1" w:id="1394"/>
        <w:t>aj</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1395"/>
        <w:t>ak</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1396"/>
        <w:t>al</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1397"/>
        <w:t>am</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1398"/>
        <w:t>an</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1399"/>
        <w:t>ao</w:t>
      </w:r>
      <w:r>
        <w:rPr/>
        <w:t xml:space="preserve">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 xml:space="preserve">, </w:t>
      </w:r>
      <w:r>
        <w:rPr>
          <w:rStyle w:val="Funotenanker"/>
        </w:rPr>
        <w:footnoteReference w:customMarkFollows="1" w:id="1400"/>
        <w:t>ap</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1401"/>
        <w:t>aq</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1402"/>
        <w:t>ar</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1403"/>
        <w:t>as</w:t>
      </w:r>
      <w:r>
        <w:rPr/>
        <w:t xml:space="preserve"> </w:t>
      </w:r>
      <w:r>
        <w:rPr>
          <w:color w:val="808080"/>
        </w:rPr>
        <w:t>begann)</w:t>
      </w:r>
      <w:r>
        <w:rPr/>
        <w:t xml:space="preserve"> </w:t>
      </w:r>
      <w:r>
        <w:rPr>
          <w:rStyle w:val="Funotenanker"/>
        </w:rPr>
        <w:footnoteReference w:customMarkFollows="1" w:id="1404"/>
        <w:t>at</w:t>
      </w:r>
      <w:r>
        <w:rPr/>
        <w:t xml:space="preserve"> zu lehren </w:t>
      </w:r>
      <w:r>
        <w:rPr>
          <w:rStyle w:val="Funotenanker"/>
        </w:rPr>
        <w:footnoteReference w:customMarkFollows="1" w:id="1405"/>
        <w:t>au</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1406"/>
        <w:t>av</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1407"/>
        <w:t>aw</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1408"/>
        <w:t>ax</w:t>
      </w:r>
      <w:r>
        <w:rPr/>
        <w:t xml:space="preserve"> Jesus von Nazaret </w:t>
      </w:r>
      <w:r>
        <w:rPr>
          <w:rStyle w:val="Funotenanker"/>
        </w:rPr>
        <w:footnoteReference w:customMarkFollows="1" w:id="1409"/>
        <w:t>ay</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1410"/>
        <w:t>az</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1411"/>
        <w:t>ba</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1412"/>
        <w:t>bb</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1413"/>
        <w:t>bc</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1414"/>
        <w:t>bd</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1415"/>
        <w:t>be</w:t>
      </w:r>
      <w:r>
        <w:rPr/>
        <w:t xml:space="preserve"> verließen sie </w:t>
      </w:r>
      <w:r>
        <w:rPr>
          <w:strike/>
          <w:color w:val="808080"/>
        </w:rPr>
        <w:t>{aus}</w:t>
      </w:r>
      <w:r>
        <w:rPr/>
        <w:t xml:space="preserve"> die Synagoge und </w:t>
      </w:r>
      <w:r>
        <w:rPr>
          <w:rStyle w:val="Funotenanker"/>
        </w:rPr>
        <w:footnoteReference w:customMarkFollows="1" w:id="1416"/>
        <w:t>bf</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1417"/>
        <w:t>bg</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1418"/>
        <w:t>bh</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1419"/>
        <w:t>bi</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1420"/>
        <w:t>bj</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1421"/>
        <w:t>bk</w:t>
      </w:r>
      <w:r>
        <w:rPr/>
        <w:t xml:space="preserve"> die Sonne untergegangen war </w:t>
      </w:r>
      <w:r>
        <w:rPr>
          <w:color w:val="808080"/>
        </w:rPr>
        <w:t>(unterging)</w:t>
      </w:r>
      <w:r>
        <w:rPr/>
        <w:t xml:space="preserve">, brachte </w:t>
      </w:r>
      <w:r>
        <w:rPr>
          <w:rStyle w:val="Funotenanker"/>
        </w:rPr>
        <w:footnoteReference w:customMarkFollows="1" w:id="1422"/>
        <w:t>bl</w:t>
      </w:r>
      <w:r>
        <w:rPr/>
        <w:t xml:space="preserve"> man alle Kranken </w:t>
      </w:r>
      <w:r>
        <w:rPr>
          <w:color w:val="808080"/>
        </w:rPr>
        <w:t>(denen es schlecht ging)</w:t>
      </w:r>
      <w:r>
        <w:rPr/>
        <w:t xml:space="preserve"> </w:t>
      </w:r>
      <w:r>
        <w:rPr>
          <w:rStyle w:val="Funotenanker"/>
        </w:rPr>
        <w:footnoteReference w:customMarkFollows="1" w:id="1423"/>
        <w:t>bm</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1424"/>
        <w:t>bn</w:t>
      </w:r>
      <w:r>
        <w:rPr/>
        <w:t xml:space="preserve"> stand er auf, </w:t>
      </w:r>
      <w:r>
        <w:rPr>
          <w:rStyle w:val="Funotenanker"/>
        </w:rPr>
        <w:footnoteReference w:customMarkFollows="1" w:id="1425"/>
        <w:t>bo</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1426"/>
        <w:t>bp</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1427"/>
        <w:t>bq</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1428"/>
        <w:t>br</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1429"/>
        <w:t>bs</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1430"/>
        <w:t>bt</w:t>
      </w:r>
      <w:r>
        <w:rPr/>
        <w:t xml:space="preserve"> und trieb die Dämonen aus. </w:t>
      </w:r>
      <w:r>
        <w:rPr>
          <w:rStyle w:val="Funotenanker"/>
        </w:rPr>
        <w:footnoteReference w:customMarkFollows="1" w:id="1431"/>
        <w:t>bu</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1432"/>
        <w:t>bv</w:t>
      </w:r>
      <w:r>
        <w:rPr/>
        <w:t xml:space="preserve"> , wobei er ihm zurief </w:t>
      </w:r>
      <w:r>
        <w:rPr>
          <w:color w:val="808080"/>
        </w:rPr>
        <w:t>(sagte)</w:t>
      </w:r>
      <w:r>
        <w:rPr/>
        <w:t xml:space="preserve"> </w:t>
      </w:r>
      <w:r>
        <w:rPr>
          <w:rStyle w:val="Funotenanker"/>
        </w:rPr>
        <w:footnoteReference w:customMarkFollows="1" w:id="1433"/>
        <w:t>bw</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[Jesus] hatte Mitleid </w:t>
      </w:r>
      <w:r>
        <w:rPr>
          <w:color w:val="808080"/>
        </w:rPr>
        <w:t>(wurde zornig)</w:t>
      </w:r>
      <w:r>
        <w:rPr/>
        <w:t xml:space="preserve">, </w:t>
      </w:r>
      <w:r>
        <w:rPr>
          <w:rStyle w:val="Funotenanker"/>
        </w:rPr>
        <w:footnoteReference w:customMarkFollows="1" w:id="1434"/>
        <w:t>bx</w:t>
      </w:r>
      <w:r>
        <w:rPr/>
        <w:t xml:space="preserve"> darum </w:t>
      </w:r>
      <w:r>
        <w:rPr>
          <w:rStyle w:val="Funotenanker"/>
        </w:rPr>
        <w:footnoteReference w:customMarkFollows="1" w:id="1435"/>
        <w:t>by</w:t>
      </w:r>
      <w:r>
        <w:rPr/>
        <w:t xml:space="preserve"> streckte er seine Hand aus </w:t>
      </w:r>
      <w:r>
        <w:rPr>
          <w:rStyle w:val="Funotenanker"/>
        </w:rPr>
        <w:footnoteReference w:customMarkFollows="1" w:id="1436"/>
        <w:t>bz</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1437"/>
        <w:t>ca</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1438"/>
        <w:t>cb</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1439"/>
        <w:t>cc</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1440"/>
        <w:t>cd</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1441"/>
        <w:t>ce</w:t>
      </w:r>
      <w:r>
        <w:rPr/>
        <w:t xml:space="preserve"> und die Geschichte </w:t>
      </w:r>
      <w:r>
        <w:rPr>
          <w:color w:val="808080"/>
        </w:rPr>
        <w:t>(Nachricht, das Wort)</w:t>
      </w:r>
      <w:r>
        <w:rPr/>
        <w:t xml:space="preserve"> zu verbreiten,</w:t>
      </w:r>
      <w:r>
        <w:rPr>
          <w:position w:val="8"/>
          <w:sz w:val="19"/>
        </w:rPr>
        <w:t>[[ ℘ &gt;&gt; BibleTOBIBLE:Mk 5:20]]</w:t>
      </w:r>
      <w:r>
        <w:rPr/>
        <w:t xml:space="preserve"> so dass [Jesus]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1442"/>
        <w:t>cf</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1443"/>
        <w:t>cg</w:t>
      </w:r>
      <w:r>
        <w:rPr/>
        <w:t xml:space="preserve"> von überall 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444"/>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1445"/>
        <w:t>a</w:t>
      </w:r>
      <w:r>
        <w:rPr/>
        <w:t xml:space="preserve"> , wurde bekannt </w:t>
      </w:r>
      <w:r>
        <w:rPr>
          <w:rStyle w:val="Funotenanker"/>
        </w:rPr>
        <w:footnoteReference w:customMarkFollows="1" w:id="1446"/>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1447"/>
        <w:t>c</w:t>
      </w:r>
      <w:r>
        <w:rPr/>
        <w:t xml:space="preserve"> war </w:t>
      </w:r>
      <w:r>
        <w:rPr>
          <w:rStyle w:val="Funotenanker"/>
        </w:rPr>
        <w:footnoteReference w:customMarkFollows="1" w:id="1448"/>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1449"/>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1450"/>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1451"/>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1452"/>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1453"/>
        <w:t>i</w:t>
      </w:r>
      <w:r>
        <w:rPr/>
        <w:t xml:space="preserve"> ihn zu [Jesus]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1454"/>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1455"/>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1456"/>
        <w:t>l</w:t>
      </w:r>
      <w:r>
        <w:rPr/>
        <w:t xml:space="preserve"> sagte </w:t>
      </w:r>
      <w:r>
        <w:rPr>
          <w:rStyle w:val="Funotenanker"/>
        </w:rPr>
        <w:footnoteReference w:customMarkFollows="1" w:id="1457"/>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1458"/>
        <w:t>n</w:t>
      </w:r>
      <w:r>
        <w:rPr/>
        <w:t xml:space="preserve"> in Gedanken </w:t>
      </w:r>
      <w:r>
        <w:rPr>
          <w:rStyle w:val="Funotenanker"/>
        </w:rPr>
        <w:footnoteReference w:customMarkFollows="1" w:id="1459"/>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1460"/>
        <w:t>p</w:t>
      </w:r>
      <w:r>
        <w:rPr/>
        <w:t xml:space="preserve"> in seinem Geist </w:t>
      </w:r>
      <w:r>
        <w:rPr>
          <w:rStyle w:val="Funotenanker"/>
        </w:rPr>
        <w:footnoteReference w:customMarkFollows="1" w:id="1461"/>
        <w:t>q</w:t>
      </w:r>
      <w:r>
        <w:rPr/>
        <w:t xml:space="preserve"> sofort, dass sie so </w:t>
      </w:r>
      <w:r>
        <w:rPr>
          <w:strike/>
          <w:color w:val="808080"/>
        </w:rPr>
        <w:t>{bei sich}</w:t>
      </w:r>
      <w:r>
        <w:rPr/>
        <w:t xml:space="preserve"> dachten, darum sagte </w:t>
      </w:r>
      <w:r>
        <w:rPr>
          <w:rStyle w:val="Funotenanker"/>
        </w:rPr>
        <w:footnoteReference w:customMarkFollows="1" w:id="1462"/>
        <w:t>r</w:t>
      </w:r>
      <w:r>
        <w:rPr/>
        <w:t xml:space="preserve"> er zu ihnen: „Warum habt ihr solche Gedanken? </w:t>
      </w:r>
      <w:r>
        <w:rPr>
          <w:rStyle w:val="Funotenanker"/>
        </w:rPr>
        <w:footnoteReference w:customMarkFollows="1" w:id="1463"/>
        <w:t>s</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1464"/>
        <w:t>t</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 sagte er zu dem Gelähmten:{{field-off:bible}} </w:t>
        <w:br/>
        <w:t>[[@BibleTOBIBLE:Mk 2:11]]</w:t>
      </w:r>
      <w:r>
        <w:rPr>
          <w:b/>
        </w:rPr>
        <w:t>11</w:t>
      </w:r>
      <w:r>
        <w:rPr/>
        <w:t xml:space="preserve"> {{field-on:bible}}„— sage ich dir: Steh auf, nimm deine Matte und geh nach Hause </w:t>
      </w:r>
      <w:r>
        <w:rPr>
          <w:rStyle w:val="Funotenanker"/>
        </w:rPr>
        <w:footnoteReference w:customMarkFollows="1" w:id="1465"/>
        <w:t>u</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1466"/>
        <w:t>v</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1467"/>
        <w:t>w</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[Jesus] wieder hinaus </w:t>
      </w:r>
      <w:r>
        <w:rPr>
          <w:rStyle w:val="Funotenanker"/>
        </w:rPr>
        <w:footnoteReference w:customMarkFollows="1" w:id="1468"/>
        <w:t>x</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1469"/>
        <w:t>y</w:t>
      </w:r>
      <w:r>
        <w:rPr/>
        <w:t xml:space="preserve"> . Und die gesamte Menschenmenge kam zu ihm, und er lehrte </w:t>
      </w:r>
      <w:r>
        <w:rPr>
          <w:rStyle w:val="Funotenanker"/>
        </w:rPr>
        <w:footnoteReference w:customMarkFollows="1" w:id="1470"/>
        <w:t>z</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1471"/>
        <w:t>aa</w:t>
      </w:r>
      <w:r>
        <w:rPr/>
        <w:t xml:space="preserve"> sah er Levi,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1472"/>
        <w:t>ab</w:t>
      </w:r>
      <w:r>
        <w:rPr/>
        <w:t xml:space="preserve"> sitzen </w:t>
      </w:r>
      <w:r>
        <w:rPr>
          <w:rStyle w:val="Funotenanker"/>
        </w:rPr>
        <w:footnoteReference w:customMarkFollows="1" w:id="1473"/>
        <w:t>ac</w:t>
      </w:r>
      <w:r>
        <w:rPr/>
        <w:t xml:space="preserve"> und sagte zu ihm: „Folge mir nach!“ </w:t>
      </w:r>
      <w:r>
        <w:rPr>
          <w:rStyle w:val="Funotenanker"/>
        </w:rPr>
        <w:footnoteReference w:customMarkFollows="1" w:id="1474"/>
        <w:t>ad</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1475"/>
        <w:t>ae</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1476"/>
        <w:t>af</w:t>
      </w:r>
      <w:r>
        <w:rPr/>
        <w:t xml:space="preserve"> in seinem Haus </w:t>
      </w:r>
      <w:r>
        <w:rPr>
          <w:rStyle w:val="Funotenanker"/>
        </w:rPr>
        <w:footnoteReference w:customMarkFollows="1" w:id="1477"/>
        <w:t>ag</w:t>
      </w:r>
      <w:r>
        <w:rPr/>
        <w:t xml:space="preserve"> bei Tisch war </w:t>
      </w:r>
      <w:r>
        <w:rPr>
          <w:color w:val="808080"/>
        </w:rPr>
        <w:t>(zu Gast war)</w:t>
      </w:r>
      <w:r>
        <w:rPr/>
        <w:t xml:space="preserve"> </w:t>
      </w:r>
      <w:r>
        <w:rPr>
          <w:rStyle w:val="Funotenanker"/>
        </w:rPr>
        <w:footnoteReference w:customMarkFollows="1" w:id="1478"/>
        <w:t>ah</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1479"/>
        <w:t>ai</w:t>
      </w:r>
      <w:r>
        <w:rPr/>
        <w:t xml:space="preserve"> . Es waren nämlich viele, die </w:t>
      </w:r>
      <w:r>
        <w:rPr>
          <w:rStyle w:val="Funotenanker"/>
        </w:rPr>
        <w:footnoteReference w:customMarkFollows="1" w:id="1480"/>
        <w:t>aj</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1481"/>
        <w:t>ak</w:t>
      </w:r>
      <w:r>
        <w:rPr/>
        <w:t xml:space="preserve"> sahen, </w:t>
      </w:r>
      <w:r>
        <w:rPr>
          <w:rStyle w:val="Funotenanker"/>
        </w:rPr>
        <w:footnoteReference w:customMarkFollows="1" w:id="1482"/>
        <w:t>al</w:t>
      </w:r>
      <w:r>
        <w:rPr/>
        <w:t xml:space="preserve"> dass er mit den Sündern und Zolleinnehmern </w:t>
      </w:r>
      <w:r>
        <w:rPr>
          <w:color w:val="808080"/>
        </w:rPr>
        <w:t>(Zöllnern)</w:t>
      </w:r>
      <w:r>
        <w:rPr/>
        <w:t xml:space="preserve"> aß </w:t>
      </w:r>
      <w:r>
        <w:rPr>
          <w:rStyle w:val="Funotenanker"/>
        </w:rPr>
        <w:footnoteReference w:customMarkFollows="1" w:id="1483"/>
        <w:t>am</w:t>
      </w:r>
      <w:r>
        <w:rPr/>
        <w:t xml:space="preserve"> , sagten sie zu seinen Jüngern: „Warum </w:t>
      </w:r>
      <w:r>
        <w:rPr>
          <w:rStyle w:val="Funotenanker"/>
        </w:rPr>
        <w:footnoteReference w:customMarkFollows="1" w:id="1484"/>
        <w:t>an</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1485"/>
        <w:t>ao</w:t>
      </w:r>
      <w:r>
        <w:rPr/>
        <w:t xml:space="preserve"> sagte er zu ihnen </w:t>
      </w:r>
      <w:r>
        <w:rPr>
          <w:strike/>
          <w:color w:val="808080"/>
        </w:rPr>
        <w:t>{dass}</w:t>
      </w:r>
      <w:r>
        <w:rPr/>
        <w:t xml:space="preserve"> </w:t>
      </w:r>
      <w:r>
        <w:rPr>
          <w:rStyle w:val="Funotenanker"/>
        </w:rPr>
        <w:footnoteReference w:customMarkFollows="1" w:id="1486"/>
        <w:t>ap</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1487"/>
        <w:t>aq</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1488"/>
        <w:t>ar</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1489"/>
        <w:t>as</w:t>
      </w:r>
      <w:r>
        <w:rPr/>
        <w:t xml:space="preserve"> ihn: „Weshalb fasten die Jünger von Johannes und die Jünger der Pharisäer </w:t>
      </w:r>
      <w:r>
        <w:rPr>
          <w:rStyle w:val="Funotenanker"/>
        </w:rPr>
        <w:footnoteReference w:customMarkFollows="1" w:id="1490"/>
        <w:t>at</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491"/>
        <w:t>au</w:t>
      </w:r>
      <w:r>
        <w:rPr/>
        <w:t xml:space="preserve"> denn fasten, während der Bräutigam bei ihnen ist? Solange sie den Bräutigam bei sich haben, können sie unmöglich </w:t>
      </w:r>
      <w:r>
        <w:rPr>
          <w:color w:val="808080"/>
        </w:rPr>
        <w:t>(nicht)</w:t>
      </w:r>
      <w:r>
        <w:rPr/>
        <w:t xml:space="preserve"> fasten!{{field-off:bible}}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492"/>
        <w:t>av</w:t>
      </w:r>
      <w:r>
        <w:rPr/>
        <w:t xml:space="preserve"> , und dann, an diesem Tag </w:t>
      </w:r>
      <w:r>
        <w:rPr>
          <w:rStyle w:val="Funotenanker"/>
        </w:rPr>
        <w:footnoteReference w:customMarkFollows="1" w:id="1493"/>
        <w:t>aw</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494"/>
        <w:t>ax</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495"/>
        <w:t>ay</w:t>
      </w:r>
      <w:r>
        <w:rPr/>
        <w:t xml:space="preserve"> Jungen </w:t>
      </w:r>
      <w:r>
        <w:rPr>
          <w:color w:val="808080"/>
        </w:rPr>
        <w:t>(neuen)</w:t>
      </w:r>
      <w:r>
        <w:rPr/>
        <w:t xml:space="preserve"> Wein </w:t>
      </w:r>
      <w:r>
        <w:rPr>
          <w:b/>
          <w:color w:val="808080"/>
        </w:rPr>
        <w:t>[</w:t>
      </w:r>
      <w:r>
        <w:rPr/>
        <w:t>füllt man</w:t>
      </w:r>
      <w:r>
        <w:rPr>
          <w:b/>
          <w:color w:val="808080"/>
        </w:rPr>
        <w:t>]</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496"/>
        <w:t>az</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abzureißen. </w:t>
      </w:r>
      <w:r>
        <w:rPr>
          <w:rStyle w:val="Funotenanker"/>
        </w:rPr>
        <w:footnoteReference w:customMarkFollows="1" w:id="1497"/>
        <w:t>ba</w:t>
      </w:r>
      <w:r>
        <w:rPr/>
        <w:t xml:space="preserve">.{{field-off:bible}}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498"/>
        <w:t>bb</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499"/>
        <w:t>bc</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500"/>
        <w:t>bd</w:t>
      </w:r>
      <w:r>
        <w:rPr/>
        <w:t xml:space="preserve"> in das Haus Gottes ging und die geweihten Brote </w:t>
      </w:r>
      <w:r>
        <w:rPr>
          <w:color w:val="808080"/>
        </w:rPr>
        <w:t>(Schaubrote, ausgestellten Brote)</w:t>
      </w:r>
      <w:r>
        <w:rPr/>
        <w:t xml:space="preserve"> </w:t>
      </w:r>
      <w:r>
        <w:rPr>
          <w:rStyle w:val="Funotenanker"/>
        </w:rPr>
        <w:footnoteReference w:customMarkFollows="1" w:id="1501"/>
        <w:t>be</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502"/>
        <w:t>bf</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503"/>
        <w:t>bg</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504"/>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505"/>
        <w:t>a</w:t>
      </w:r>
      <w:r>
        <w:rPr/>
        <w:t xml:space="preserve"> Hand hatte. </w:t>
      </w:r>
      <w:r>
        <w:rPr>
          <w:rStyle w:val="Funotenanker"/>
        </w:rPr>
        <w:footnoteReference w:customMarkFollows="1" w:id="1506"/>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507"/>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508"/>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509"/>
        <w:t>e</w:t>
      </w:r>
      <w:r>
        <w:rPr/>
        <w:t xml:space="preserve"> zu dem Mann mit der verkümmerten </w:t>
      </w:r>
      <w:r>
        <w:rPr>
          <w:color w:val="808080"/>
        </w:rPr>
        <w:t>(gelähmten, verdorrten)</w:t>
      </w:r>
      <w:r>
        <w:rPr/>
        <w:t xml:space="preserve"> Hand </w:t>
      </w:r>
      <w:r>
        <w:rPr>
          <w:rStyle w:val="Funotenanker"/>
        </w:rPr>
        <w:footnoteReference w:customMarkFollows="1" w:id="1510"/>
        <w:t>f</w:t>
      </w:r>
      <w:r>
        <w:rPr/>
        <w:t xml:space="preserve">: „Komm </w:t>
      </w:r>
      <w:r>
        <w:rPr>
          <w:color w:val="808080"/>
        </w:rPr>
        <w:t>(Steh auf)</w:t>
      </w:r>
      <w:r>
        <w:rPr/>
        <w:t xml:space="preserve"> </w:t>
      </w:r>
      <w:r>
        <w:rPr>
          <w:rStyle w:val="Funotenanker"/>
        </w:rPr>
        <w:footnoteReference w:customMarkFollows="1" w:id="1511"/>
        <w:t>g</w:t>
      </w:r>
      <w:r>
        <w:rPr/>
        <w:t xml:space="preserve"> in die Mitte!“{{field-off:bible}} </w:t>
        <w:br/>
        <w:t>[[@BibleTOBIBLE:Mk 3:4]]</w:t>
      </w:r>
      <w:r>
        <w:rPr>
          <w:b/>
        </w:rPr>
        <w:t>4</w:t>
      </w:r>
      <w:r>
        <w:rPr/>
        <w:t xml:space="preserve"> {{field-on:bible}}Und er fragte </w:t>
      </w:r>
      <w:r>
        <w:rPr>
          <w:color w:val="808080"/>
        </w:rPr>
        <w:t>(sagte)</w:t>
      </w:r>
      <w:r>
        <w:rPr/>
        <w:t xml:space="preserve"> </w:t>
      </w:r>
      <w:r>
        <w:rPr>
          <w:rStyle w:val="Funotenanker"/>
        </w:rPr>
        <w:footnoteReference w:customMarkFollows="1" w:id="1512"/>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513"/>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514"/>
        <w:t>j</w:t>
      </w:r>
      <w:r>
        <w:rPr/>
        <w:t xml:space="preserve"> alle der Reihe nach </w:t>
      </w:r>
      <w:r>
        <w:rPr>
          <w:color w:val="808080"/>
        </w:rPr>
        <w:t>(ringsum)</w:t>
      </w:r>
      <w:r>
        <w:rPr/>
        <w:t xml:space="preserve"> an. </w:t>
      </w:r>
      <w:r>
        <w:rPr>
          <w:rStyle w:val="Funotenanker"/>
        </w:rPr>
        <w:footnoteReference w:customMarkFollows="1" w:id="1515"/>
        <w:t>k</w:t>
      </w:r>
      <w:r>
        <w:rPr/>
        <w:t xml:space="preserve"> Tief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516"/>
        <w:t>l</w:t>
      </w:r>
      <w:r>
        <w:rPr/>
        <w:t xml:space="preserve"> ihrer Herzen </w:t>
      </w:r>
      <w:r>
        <w:rPr>
          <w:rStyle w:val="Funotenanker"/>
        </w:rPr>
        <w:footnoteReference w:customMarkFollows="1" w:id="1517"/>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518"/>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519"/>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520"/>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521"/>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522"/>
        <w:t>r</w:t>
      </w:r>
      <w:r>
        <w:rPr/>
        <w:t xml:space="preserve"> eine große Menge zu ihm, die </w:t>
      </w:r>
      <w:r>
        <w:rPr>
          <w:color w:val="808080"/>
        </w:rPr>
        <w:t>(weil/als sie)</w:t>
      </w:r>
      <w:r>
        <w:rPr/>
        <w:t xml:space="preserve"> hörten, </w:t>
      </w:r>
      <w:r>
        <w:rPr>
          <w:rStyle w:val="Funotenanker"/>
        </w:rPr>
        <w:footnoteReference w:customMarkFollows="1" w:id="1523"/>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524"/>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525"/>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526"/>
        <w:t>v</w:t>
      </w:r>
      <w:r>
        <w:rPr/>
        <w:t xml:space="preserve"> </w:t>
      </w:r>
      <w:r>
        <w:rPr>
          <w:strike/>
          <w:color w:val="808080"/>
        </w:rPr>
        <w:t>{dass}</w:t>
      </w:r>
      <w:r>
        <w:rPr/>
        <w:t xml:space="preserve"> </w:t>
      </w:r>
      <w:r>
        <w:rPr>
          <w:rStyle w:val="Funotenanker"/>
        </w:rPr>
        <w:footnoteReference w:customMarkFollows="1" w:id="1527"/>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bekannt machten. </w:t>
      </w:r>
      <w:r>
        <w:rPr>
          <w:rStyle w:val="Funotenanker"/>
        </w:rPr>
        <w:footnoteReference w:customMarkFollows="1" w:id="1528"/>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529"/>
        <w:t>y</w:t>
      </w:r>
      <w:r>
        <w:rPr/>
        <w:t xml:space="preserve"> diejenigen zu sich, die er selbst sich ausgesucht hatte </w:t>
      </w:r>
      <w:r>
        <w:rPr>
          <w:rStyle w:val="Funotenanker"/>
        </w:rPr>
        <w:footnoteReference w:customMarkFollows="1" w:id="1530"/>
        <w:t>z</w:t>
      </w:r>
      <w:r>
        <w:rPr/>
        <w:t xml:space="preserve">; und sie kamen zu ihm </w:t>
      </w:r>
      <w:r>
        <w:rPr>
          <w:rStyle w:val="Funotenanker"/>
        </w:rPr>
        <w:footnoteReference w:customMarkFollows="1" w:id="1531"/>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532"/>
        <w:t>ab</w:t>
      </w:r>
      <w:r>
        <w:rPr/>
        <w:t xml:space="preserve"> zwölf, damit sie mit ihm seien und damit er sie zum Predigen </w:t>
      </w:r>
      <w:r>
        <w:rPr>
          <w:color w:val="808080"/>
        </w:rPr>
        <w:t>(Verkündigen)</w:t>
      </w:r>
      <w:r>
        <w:rPr/>
        <w:t xml:space="preserve"> aussenden </w:t>
      </w:r>
      <w:r>
        <w:rPr>
          <w:b/>
          <w:color w:val="808080"/>
        </w:rPr>
        <w:t>[</w:t>
      </w:r>
      <w:r>
        <w:rPr/>
        <w:t>könnte</w:t>
      </w:r>
      <w:r>
        <w:rPr>
          <w:b/>
          <w:color w:val="808080"/>
        </w:rPr>
        <w:t>]</w:t>
      </w:r>
      <w:r>
        <w:rPr/>
        <w:t xml:space="preserve"> {{field-off:bible}} </w:t>
        <w:br/>
        <w:t>[[@BibleTOBIBLE:Mk 3:15]]</w:t>
      </w:r>
      <w:r>
        <w:rPr>
          <w:b/>
        </w:rPr>
        <w:t>15</w:t>
      </w:r>
      <w:r>
        <w:rPr/>
        <w:t xml:space="preserve"> {{field-on:bible}}und </w:t>
      </w:r>
      <w:r>
        <w:rPr>
          <w:b/>
          <w:color w:val="808080"/>
        </w:rPr>
        <w:t>[</w:t>
      </w:r>
      <w:r>
        <w:rPr/>
        <w:t>damit sie</w:t>
      </w:r>
      <w:r>
        <w:rPr>
          <w:b/>
          <w:color w:val="808080"/>
        </w:rPr>
        <w:t>]</w:t>
      </w:r>
      <w:r>
        <w:rPr/>
        <w:t xml:space="preserve"> Macht </w:t>
      </w:r>
      <w:r>
        <w:rPr>
          <w:color w:val="808080"/>
        </w:rPr>
        <w:t>(Vollmacht, Autorität, Ermächtigung)</w:t>
      </w:r>
      <w:r>
        <w:rPr/>
        <w:t xml:space="preserve"> zum Austreiben </w:t>
      </w:r>
      <w:r>
        <w:rPr>
          <w:b/>
          <w:color w:val="808080"/>
        </w:rPr>
        <w:t>[</w:t>
      </w:r>
      <w:r>
        <w:rPr/>
        <w:t>von</w:t>
      </w:r>
      <w:r>
        <w:rPr>
          <w:b/>
          <w:color w:val="808080"/>
        </w:rPr>
        <w:t>]</w:t>
      </w:r>
      <w:r>
        <w:rPr/>
        <w:t xml:space="preserve"> Dämonen hätten.{{field-off:bible}} </w:t>
        <w:br/>
        <w:t>[[@BibleTOBIBLE:Mk 3:16]]</w:t>
      </w:r>
      <w:r>
        <w:rPr>
          <w:b/>
        </w:rPr>
        <w:t>16</w:t>
      </w:r>
      <w:r>
        <w:rPr/>
        <w:t xml:space="preserve"> {{field-on:bible}}Und er bestimmte </w:t>
      </w:r>
      <w:r>
        <w:rPr>
          <w:color w:val="808080"/>
        </w:rPr>
        <w:t>(berief, setzte ein)</w:t>
      </w:r>
      <w:r>
        <w:rPr/>
        <w:t xml:space="preserve"> die Zwölf,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533"/>
        <w:t>ac</w:t>
      </w:r>
      <w:r>
        <w:rPr/>
        <w:t xml:space="preserve"> , das heißt </w:t>
      </w:r>
      <w:r>
        <w:rPr>
          <w:rStyle w:val="Funotenanker"/>
        </w:rPr>
        <w:footnoteReference w:customMarkFollows="1" w:id="1534"/>
        <w:t>ad</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535"/>
        <w:t>ae</w:t>
      </w:r>
      <w:r>
        <w:rPr/>
        <w:t xml:space="preserve"> {{field-off:bible}} </w:t>
        <w:br/>
        <w:t>[[@BibleTOBIBLE:Mk 3:19]]</w:t>
      </w:r>
      <w:r>
        <w:rPr>
          <w:b/>
        </w:rPr>
        <w:t>19</w:t>
      </w:r>
      <w:r>
        <w:rPr/>
        <w:t xml:space="preserve"> {{field-on:bible}}und Judas Iskariot </w:t>
      </w:r>
      <w:r>
        <w:rPr>
          <w:rStyle w:val="Funotenanker"/>
        </w:rPr>
        <w:footnoteReference w:customMarkFollows="1" w:id="1536"/>
        <w:t>af</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537"/>
        <w:t>ag</w:t>
      </w:r>
      <w:r>
        <w:rPr/>
        <w:t xml:space="preserve">.{{field-off:bible}} </w:t>
        <w:br/>
        <w:t>[[@BibleTOBIBLE:Mk 3:20]]</w:t>
      </w:r>
      <w:r>
        <w:rPr>
          <w:b/>
        </w:rPr>
        <w:t>20</w:t>
      </w:r>
      <w:r>
        <w:rPr/>
        <w:t xml:space="preserve"> {{field-on:bible}}Später </w:t>
      </w:r>
      <w:r>
        <w:rPr>
          <w:color w:val="808080"/>
        </w:rPr>
        <w:t>(Und)</w:t>
      </w:r>
      <w:r>
        <w:rPr/>
        <w:t xml:space="preserve"> ging [Jesus] nach Hause </w:t>
      </w:r>
      <w:r>
        <w:rPr>
          <w:color w:val="808080"/>
        </w:rPr>
        <w:t>(in ein Haus)</w:t>
      </w:r>
      <w:r>
        <w:rPr/>
        <w:t xml:space="preserve">. </w:t>
      </w:r>
      <w:r>
        <w:rPr>
          <w:rStyle w:val="Funotenanker"/>
        </w:rPr>
        <w:footnoteReference w:customMarkFollows="1" w:id="1538"/>
        <w:t>ah</w:t>
      </w:r>
      <w:r>
        <w:rPr/>
        <w:t xml:space="preserve"> Und wieder versammelte </w:t>
      </w:r>
      <w:r>
        <w:rPr>
          <w:rStyle w:val="Funotenanker"/>
        </w:rPr>
        <w:footnoteReference w:customMarkFollows="1" w:id="1539"/>
        <w:t>ai</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540"/>
        <w:t>aj</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541"/>
        <w:t>ak</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542"/>
        <w:t>al</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543"/>
        <w:t>am</w:t>
      </w:r>
      <w:r>
        <w:rPr/>
        <w:t xml:space="preserve"> verbreiteten </w:t>
      </w:r>
      <w:r>
        <w:rPr>
          <w:color w:val="808080"/>
        </w:rPr>
        <w:t>(meinten, sagten)</w:t>
      </w:r>
      <w:r>
        <w:rPr/>
        <w:t xml:space="preserve"> </w:t>
      </w:r>
      <w:r>
        <w:rPr>
          <w:rStyle w:val="Funotenanker"/>
        </w:rPr>
        <w:footnoteReference w:customMarkFollows="1" w:id="1544"/>
        <w:t>an</w:t>
      </w:r>
      <w:r>
        <w:rPr/>
        <w:t xml:space="preserve"> </w:t>
      </w:r>
      <w:r>
        <w:rPr>
          <w:strike/>
          <w:color w:val="808080"/>
        </w:rPr>
        <w:t>{dass}</w:t>
      </w:r>
      <w:r>
        <w:rPr/>
        <w:t xml:space="preserve">: „Er ist von Beelzebul besessen!“ </w:t>
      </w:r>
      <w:r>
        <w:rPr>
          <w:rStyle w:val="Funotenanker"/>
        </w:rPr>
        <w:footnoteReference w:customMarkFollows="1" w:id="1545"/>
        <w:t>ao</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546"/>
        <w:t>ap</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547"/>
        <w:t>aq</w:t>
      </w:r>
      <w:r>
        <w:rPr/>
        <w:t xml:space="preserve"> zu ihnen: „Wie kann Satan </w:t>
      </w:r>
      <w:r>
        <w:rPr>
          <w:rStyle w:val="Funotenanker"/>
        </w:rPr>
        <w:footnoteReference w:customMarkFollows="1" w:id="1548"/>
        <w:t>ar</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549"/>
        <w:t>as</w:t>
      </w:r>
      <w:r>
        <w:rPr/>
        <w:t xml:space="preserve"> ein Königreich </w:t>
      </w:r>
      <w:r>
        <w:rPr>
          <w:color w:val="808080"/>
        </w:rPr>
        <w:t>(Reich, Staat)</w:t>
      </w:r>
      <w:r>
        <w:rPr/>
        <w:t xml:space="preserve"> sich mit sich selbst verfeindet </w:t>
      </w:r>
      <w:r>
        <w:rPr>
          <w:rStyle w:val="Funotenanker"/>
        </w:rPr>
        <w:footnoteReference w:customMarkFollows="1" w:id="1550"/>
        <w:t>at</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551"/>
        <w:t>au</w:t>
      </w:r>
      <w:r>
        <w:rPr/>
        <w:t xml:space="preserve">.{{field-off:bible}} </w:t>
        <w:br/>
        <w:t>[[@BibleTOBIBLE:Mk 3:27]]</w:t>
      </w:r>
      <w:r>
        <w:rPr>
          <w:b/>
        </w:rPr>
        <w:t>27</w:t>
      </w:r>
      <w:r>
        <w:rPr/>
        <w:t xml:space="preserve"> {{field-on:bible}}Doch niemand kann </w:t>
      </w:r>
      <w:r>
        <w:rPr>
          <w:rStyle w:val="Funotenanker"/>
        </w:rPr>
        <w:footnoteReference w:customMarkFollows="1" w:id="1552"/>
        <w:t>av</w:t>
      </w:r>
      <w:r>
        <w:rPr/>
        <w:t xml:space="preserve"> in das Haus des Starken eindringen </w:t>
      </w:r>
      <w:r>
        <w:rPr>
          <w:color w:val="808080"/>
        </w:rPr>
        <w:t>(einbrechen, hineingehen)</w:t>
      </w:r>
      <w:r>
        <w:rPr/>
        <w:t xml:space="preserve"> und </w:t>
      </w:r>
      <w:r>
        <w:rPr>
          <w:rStyle w:val="Funotenanker"/>
        </w:rPr>
        <w:footnoteReference w:customMarkFollows="1" w:id="1553"/>
        <w:t>aw</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554"/>
        <w:t>ax</w:t>
      </w:r>
      <w:r>
        <w:rPr/>
        <w:t xml:space="preserve"> dann erst kann er sein Haus ausplündern </w:t>
      </w:r>
      <w:r>
        <w:rPr>
          <w:rStyle w:val="Funotenanker"/>
        </w:rPr>
        <w:footnoteReference w:customMarkFollows="1" w:id="1555"/>
        <w:t>ay</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556"/>
        <w:t>az</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557"/>
        <w:t>ba</w:t>
      </w:r>
      <w:r>
        <w:rPr/>
        <w:t xml:space="preserve"> kann </w:t>
      </w:r>
      <w:r>
        <w:rPr>
          <w:color w:val="808080"/>
        </w:rPr>
        <w:t>(wird)</w:t>
      </w:r>
      <w:r>
        <w:rPr/>
        <w:t xml:space="preserve"> alles vergeben werden </w:t>
      </w:r>
      <w:r>
        <w:rPr>
          <w:rStyle w:val="Funotenanker"/>
        </w:rPr>
        <w:footnoteReference w:customMarkFollows="1" w:id="1558"/>
        <w:t>bb</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559"/>
        <w:t>bc</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560"/>
        <w:t>bd</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561"/>
        <w:t>be</w:t>
      </w:r>
      <w:r>
        <w:rPr/>
        <w:t xml:space="preserve"> seine Mutter und seine Geschwister </w:t>
      </w:r>
      <w:r>
        <w:rPr>
          <w:color w:val="808080"/>
        </w:rPr>
        <w:t>(Brüder)</w:t>
      </w:r>
      <w:r>
        <w:rPr/>
        <w:t xml:space="preserve"> </w:t>
      </w:r>
      <w:r>
        <w:rPr>
          <w:rStyle w:val="Funotenanker"/>
        </w:rPr>
        <w:footnoteReference w:customMarkFollows="1" w:id="1562"/>
        <w:t>bf</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563"/>
        <w:t>bg</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564"/>
        <w:t>bh</w:t>
      </w:r>
      <w:r>
        <w:rPr/>
        <w:t xml:space="preserve"> um </w:t>
      </w:r>
      <w:r>
        <w:rPr>
          <w:color w:val="808080"/>
        </w:rPr>
        <w:t>(wobei sie)</w:t>
      </w:r>
      <w:r>
        <w:rPr/>
        <w:t xml:space="preserve"> ihn zu rufen. </w:t>
      </w:r>
      <w:r>
        <w:rPr>
          <w:rStyle w:val="Funotenanker"/>
        </w:rPr>
        <w:footnoteReference w:customMarkFollows="1" w:id="1565"/>
        <w:t>bi</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566"/>
        <w:t>bj</w:t>
      </w:r>
      <w:r>
        <w:rPr/>
        <w:t xml:space="preserve"> zu ihm: „Da draußen </w:t>
      </w:r>
      <w:r>
        <w:rPr>
          <w:rStyle w:val="Funotenanker"/>
        </w:rPr>
        <w:footnoteReference w:customMarkFollows="1" w:id="1567"/>
        <w:t>bk</w:t>
      </w:r>
      <w:r>
        <w:rPr/>
        <w:t xml:space="preserve"> fragen deine Mutter und deine Geschwister </w:t>
      </w:r>
      <w:r>
        <w:rPr>
          <w:color w:val="808080"/>
        </w:rPr>
        <w:t>(Brüder)</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568"/>
        <w:t>bl</w:t>
      </w:r>
      <w:r>
        <w:rPr/>
        <w:t xml:space="preserve">: „Wer sind </w:t>
      </w:r>
      <w:r>
        <w:rPr>
          <w:rStyle w:val="Funotenanker"/>
        </w:rPr>
        <w:footnoteReference w:customMarkFollows="1" w:id="1569"/>
        <w:t>bm</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570"/>
        <w:t>bn</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571"/>
        <w:t>bo</w:t>
      </w:r>
      <w:r>
        <w:rPr/>
        <w:t xml:space="preserve"> um ihn saßen, </w:t>
      </w:r>
      <w:r>
        <w:rPr>
          <w:rStyle w:val="Funotenanker"/>
        </w:rPr>
        <w:footnoteReference w:customMarkFollows="1" w:id="1572"/>
        <w:t>bp</w:t>
      </w:r>
      <w:r>
        <w:rPr/>
        <w:t xml:space="preserve"> sagte er: „Siehe, </w:t>
      </w:r>
      <w:r>
        <w:rPr>
          <w:color w:val="808080"/>
        </w:rPr>
        <w:t>(Das hier sind, Ihr hier seid)</w:t>
      </w:r>
      <w:r>
        <w:rPr/>
        <w:t xml:space="preserve"> </w:t>
      </w:r>
      <w:r>
        <w:rPr>
          <w:rStyle w:val="Funotenanker"/>
        </w:rPr>
        <w:footnoteReference w:customMarkFollows="1" w:id="1573"/>
        <w:t>bq</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574"/>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575"/>
        <w:t>a</w:t>
      </w:r>
      <w:r>
        <w:rPr/>
        <w:t xml:space="preserve"> zu lehren. Und eine so gewaltige Menschenmenge versammelte sich bei ihm, dass er in ein Boot stieg und </w:t>
      </w:r>
      <w:r>
        <w:rPr>
          <w:rStyle w:val="Funotenanker"/>
        </w:rPr>
        <w:footnoteReference w:customMarkFollows="1" w:id="1576"/>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577"/>
        <w:t>c</w:t>
      </w:r>
      <w:r>
        <w:rPr/>
        <w:t xml:space="preserve"> , und die ganze Menschenmenge blieb </w:t>
      </w:r>
      <w:r>
        <w:rPr>
          <w:color w:val="808080"/>
        </w:rPr>
        <w:t>(war)</w:t>
      </w:r>
      <w:r>
        <w:rPr/>
        <w:t xml:space="preserve"> </w:t>
      </w:r>
      <w:r>
        <w:rPr>
          <w:rStyle w:val="Funotenanker"/>
        </w:rPr>
        <w:footnoteReference w:customMarkFollows="1" w:id="1578"/>
        <w:t>d</w:t>
      </w:r>
      <w:r>
        <w:rPr/>
        <w:t xml:space="preserve"> am Ufer </w:t>
      </w:r>
      <w:r>
        <w:rPr>
          <w:rStyle w:val="Funotenanker"/>
        </w:rPr>
        <w:footnoteReference w:customMarkFollows="1" w:id="1579"/>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580"/>
        <w:t>f</w:t>
      </w:r>
      <w:r>
        <w:rPr/>
        <w:t xml:space="preserve"> zu ihnen, während er lehrte </w:t>
      </w:r>
      <w:r>
        <w:rPr>
          <w:color w:val="808080"/>
        </w:rPr>
        <w:t>(bei/in/während seiner Lehre)</w:t>
      </w:r>
      <w:r>
        <w:rPr/>
        <w:t xml:space="preserve"> </w:t>
      </w:r>
      <w:r>
        <w:rPr>
          <w:rStyle w:val="Funotenanker"/>
        </w:rPr>
        <w:footnoteReference w:customMarkFollows="1" w:id="1581"/>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582"/>
        <w:t>h</w:t>
      </w:r>
      <w:r>
        <w:rPr/>
        <w:t xml:space="preserve"> an den Wegesrand </w:t>
      </w:r>
      <w:r>
        <w:rPr>
          <w:color w:val="808080"/>
        </w:rPr>
        <w:t>(auf den Weg)</w:t>
      </w:r>
      <w:r>
        <w:rPr/>
        <w:t xml:space="preserve"> </w:t>
      </w:r>
      <w:r>
        <w:rPr>
          <w:rStyle w:val="Funotenanker"/>
        </w:rPr>
        <w:footnoteReference w:customMarkFollows="1" w:id="1583"/>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584"/>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585"/>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586"/>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587"/>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588"/>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589"/>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590"/>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591"/>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592"/>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593"/>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594"/>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595"/>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596"/>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597"/>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598"/>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599"/>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600"/>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601"/>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oder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602"/>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603"/>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604"/>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605"/>
        <w:t>ae</w:t>
      </w:r>
      <w:r>
        <w:rPr/>
        <w:t xml:space="preserve">.{{field-off:bible}} </w:t>
        <w:br/>
        <w:t>[[@BibleTOBIBLE:Mk 4:28]]</w:t>
      </w:r>
      <w:r>
        <w:rPr>
          <w:b/>
        </w:rPr>
        <w:t>28</w:t>
      </w:r>
      <w:r>
        <w:rPr/>
        <w:t xml:space="preserve"> {{field-on:bible}}Von selbst bringt die Erde Frucht, zuerst einen Halm, dann eine Ähre, dann mit voll ausgereiftem Weizen </w:t>
      </w:r>
      <w:r>
        <w:rPr>
          <w:rStyle w:val="Funotenanker"/>
        </w:rPr>
        <w:footnoteReference w:customMarkFollows="1" w:id="1606"/>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607"/>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608"/>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609"/>
        <w:t>ai</w:t>
      </w:r>
      <w:r>
        <w:rPr/>
        <w:t xml:space="preserve"> aller Samenkörner ist </w:t>
      </w:r>
      <w:r>
        <w:rPr>
          <w:rStyle w:val="Funotenanker"/>
        </w:rPr>
        <w:footnoteReference w:customMarkFollows="1" w:id="1610"/>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611"/>
        <w:t>ak</w:t>
      </w:r>
      <w:r>
        <w:rPr/>
        <w:t xml:space="preserve"> aller Gartenpflanzen, und es treibt so große Zweige, dass in seinem Schatten </w:t>
      </w:r>
      <w:r>
        <w:rPr>
          <w:rStyle w:val="Funotenanker"/>
        </w:rPr>
        <w:footnoteReference w:customMarkFollows="1" w:id="1612"/>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613"/>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614"/>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615"/>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616"/>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617"/>
        <w:t>aq</w:t>
      </w:r>
      <w:r>
        <w:rPr/>
        <w:t xml:space="preserve"> „Fahren wir doch </w:t>
      </w:r>
      <w:r>
        <w:rPr>
          <w:color w:val="808080"/>
        </w:rPr>
        <w:t>(lasst uns)</w:t>
      </w:r>
      <w:r>
        <w:rPr/>
        <w:t xml:space="preserve"> ans andere Ufer.“ </w:t>
      </w:r>
      <w:r>
        <w:rPr>
          <w:rStyle w:val="Funotenanker"/>
        </w:rPr>
        <w:footnoteReference w:customMarkFollows="1" w:id="1618"/>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619"/>
        <w:t>as</w:t>
      </w:r>
      <w:r>
        <w:rPr/>
        <w:t xml:space="preserve"> nahmen sie ihn im Boot mit </w:t>
      </w:r>
      <w:r>
        <w:rPr>
          <w:color w:val="808080"/>
        </w:rPr>
        <w:t>(zu sich ins Boot)</w:t>
      </w:r>
      <w:r>
        <w:rPr/>
        <w:t xml:space="preserve">, wie er war, </w:t>
      </w:r>
      <w:r>
        <w:rPr>
          <w:rStyle w:val="Funotenanker"/>
        </w:rPr>
        <w:footnoteReference w:customMarkFollows="1" w:id="1620"/>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621"/>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622"/>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623"/>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624"/>
        <w:t>ax</w:t>
      </w:r>
      <w:r>
        <w:rPr/>
        <w:t xml:space="preserve"> unterwarf </w:t>
      </w:r>
      <w:r>
        <w:rPr>
          <w:color w:val="808080"/>
        </w:rPr>
        <w:t>(fuhr an)</w:t>
      </w:r>
      <w:r>
        <w:rPr/>
        <w:t xml:space="preserve"> </w:t>
      </w:r>
      <w:r>
        <w:rPr>
          <w:rStyle w:val="Funotenanker"/>
        </w:rPr>
        <w:footnoteReference w:customMarkFollows="1" w:id="1625"/>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626"/>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627"/>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628"/>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629"/>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630"/>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konnte man ihn noch </w:t>
      </w:r>
      <w:r>
        <w:rPr>
          <w:rStyle w:val="Funotenanker"/>
        </w:rPr>
        <w:footnoteReference w:customMarkFollows="1" w:id="1631"/>
        <w:t>c</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632"/>
        <w:t>d</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633"/>
        <w:t>e</w:t>
      </w:r>
      <w:r>
        <w:rPr/>
        <w:t xml:space="preserve"> und die Fußfesseln zerrieben </w:t>
      </w:r>
      <w:r>
        <w:rPr>
          <w:color w:val="808080"/>
        </w:rPr>
        <w:t>(zerschmettert)</w:t>
      </w:r>
      <w:r>
        <w:rPr/>
        <w:t xml:space="preserve">, </w:t>
      </w:r>
      <w:r>
        <w:rPr>
          <w:rStyle w:val="Funotenanker"/>
        </w:rPr>
        <w:footnoteReference w:customMarkFollows="1" w:id="1634"/>
        <w:t>f</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635"/>
        <w:t>g</w:t>
      </w:r>
      <w:r>
        <w:rPr/>
        <w:t xml:space="preserve"> und sich </w:t>
      </w:r>
      <w:r>
        <w:rPr>
          <w:b/>
          <w:color w:val="808080"/>
        </w:rPr>
        <w:t>[</w:t>
      </w:r>
      <w:r>
        <w:rPr/>
        <w:t>mit</w:t>
      </w:r>
      <w:r>
        <w:rPr>
          <w:b/>
          <w:color w:val="808080"/>
        </w:rPr>
        <w:t>]</w:t>
      </w:r>
      <w:r>
        <w:rPr/>
        <w:t xml:space="preserve"> Steinen schnitt </w:t>
      </w:r>
      <w:r>
        <w:rPr>
          <w:color w:val="808080"/>
        </w:rPr>
        <w:t>(verletzte; auf sich einschlug)</w:t>
      </w:r>
      <w:r>
        <w:rPr/>
        <w:t xml:space="preserve"> </w:t>
      </w:r>
      <w:r>
        <w:rPr>
          <w:rStyle w:val="Funotenanker"/>
        </w:rPr>
        <w:footnoteReference w:customMarkFollows="1" w:id="1636"/>
        <w:t>h</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637"/>
        <w:t>i</w:t>
      </w:r>
      <w:r>
        <w:rPr/>
        <w:t xml:space="preserve"> kam er angerannt und warf sich vor ihm nieder </w:t>
      </w:r>
      <w:r>
        <w:rPr>
          <w:rStyle w:val="Funotenanker"/>
        </w:rPr>
        <w:footnoteReference w:customMarkFollows="1" w:id="1638"/>
        <w:t>j</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und </w:t>
      </w:r>
      <w:r>
        <w:rPr>
          <w:rStyle w:val="Funotenanker"/>
        </w:rPr>
        <w:footnoteReference w:customMarkFollows="1" w:id="1639"/>
        <w:t>k</w:t>
      </w:r>
      <w:r>
        <w:rPr/>
        <w:t xml:space="preserve"> sagte: „Was willst du von mir </w:t>
      </w:r>
      <w:r>
        <w:rPr>
          <w:rStyle w:val="Funotenanker"/>
        </w:rPr>
        <w:footnoteReference w:customMarkFollows="1" w:id="1640"/>
        <w:t>l</w:t>
      </w:r>
      <w:r>
        <w:rPr/>
        <w:t xml:space="preserve">, Jesus, Sohn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[Jesus] hatte zu ihm gesagt </w:t>
      </w:r>
      <w:r>
        <w:rPr>
          <w:color w:val="808080"/>
        </w:rPr>
        <w:t>(sagte gerade/wiederholt)</w:t>
      </w:r>
      <w:r>
        <w:rPr/>
        <w:t xml:space="preserve"> </w:t>
      </w:r>
      <w:r>
        <w:rPr>
          <w:rStyle w:val="Funotenanker"/>
        </w:rPr>
        <w:footnoteReference w:customMarkFollows="1" w:id="1641"/>
        <w:t>m</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642"/>
        <w:t>n</w:t>
      </w:r>
      <w:r>
        <w:rPr/>
        <w:t xml:space="preserve">, </w:t>
      </w:r>
      <w:r>
        <w:rPr>
          <w:rStyle w:val="Funotenanker"/>
        </w:rPr>
        <w:footnoteReference w:customMarkFollows="1" w:id="1643"/>
        <w:t>o</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644"/>
        <w:t>p</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645"/>
        <w:t>q</w:t>
      </w:r>
      <w:r>
        <w:rPr/>
        <w:t xml:space="preserve"> gerade </w:t>
      </w:r>
      <w:r>
        <w:rPr>
          <w:rStyle w:val="Funotenanker"/>
        </w:rPr>
        <w:footnoteReference w:customMarkFollows="1" w:id="1646"/>
        <w:t>r</w:t>
      </w:r>
      <w:r>
        <w:rPr/>
        <w:t xml:space="preserve"> eine große Schweineherde </w:t>
      </w:r>
      <w:r>
        <w:rPr>
          <w:rStyle w:val="Funotenanker"/>
        </w:rPr>
        <w:footnoteReference w:customMarkFollows="1" w:id="1647"/>
        <w:t>s</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648"/>
        <w:t>t</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649"/>
        <w:t>u</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650"/>
        <w:t>v</w:t>
      </w:r>
      <w:r>
        <w:rPr/>
        <w:t xml:space="preserve">.{{field-off:bible}} </w:t>
        <w:br/>
        <w:t>[[@BibleTOBIBLE:Mk 5:14]]</w:t>
      </w:r>
      <w:r>
        <w:rPr>
          <w:b/>
        </w:rPr>
        <w:t>14</w:t>
      </w:r>
      <w:r>
        <w:rPr/>
        <w:t xml:space="preserve"> {{field-on:bible}}Und ihre Hirten </w:t>
      </w:r>
      <w:r>
        <w:rPr>
          <w:rStyle w:val="Funotenanker"/>
        </w:rPr>
        <w:footnoteReference w:customMarkFollows="1" w:id="1651"/>
        <w:t>w</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652"/>
        <w:t>x</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653"/>
        <w:t>y</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dass der Besessene saß, bekleidet und bei Verstand </w:t>
      </w:r>
      <w:r>
        <w:rPr>
          <w:rStyle w:val="Funotenanker"/>
        </w:rPr>
        <w:footnoteReference w:customMarkFollows="1" w:id="1654"/>
        <w:t>z</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655"/>
        <w:t>aa</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656"/>
        <w:t>ab</w:t>
      </w:r>
      <w:r>
        <w:rPr/>
        <w:t xml:space="preserve"> bat </w:t>
      </w:r>
      <w:r>
        <w:rPr>
          <w:color w:val="808080"/>
        </w:rPr>
        <w:t>(flehte)</w:t>
      </w:r>
      <w:r>
        <w:rPr/>
        <w:t xml:space="preserve"> ihn der, der besessen gewesen war, </w:t>
      </w:r>
      <w:r>
        <w:rPr>
          <w:rStyle w:val="Funotenanker"/>
        </w:rPr>
        <w:footnoteReference w:customMarkFollows="1" w:id="1657"/>
        <w:t>ac</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658"/>
        <w:t>ad</w:t>
      </w:r>
      <w:r>
        <w:rPr/>
        <w:t xml:space="preserve"> zu erzählen </w:t>
      </w:r>
      <w:r>
        <w:rPr>
          <w:color w:val="808080"/>
        </w:rPr>
        <w:t>(predigen, verkündigen)</w:t>
      </w:r>
      <w:r>
        <w:rPr/>
        <w:t xml:space="preserve">, was Jesus ihm getan hatte, </w:t>
      </w:r>
      <w:r>
        <w:rPr>
          <w:rStyle w:val="Funotenanker"/>
        </w:rPr>
        <w:footnoteReference w:customMarkFollows="1" w:id="1659"/>
        <w:t>ae</w:t>
      </w:r>
      <w:r>
        <w:rPr/>
        <w:t xml:space="preserve"> und alle staunten </w:t>
      </w:r>
      <w:r>
        <w:rPr>
          <w:color w:val="808080"/>
        </w:rPr>
        <w:t>(wunderten sich)</w:t>
      </w:r>
      <w:r>
        <w:rPr/>
        <w:t xml:space="preserve"> </w:t>
      </w:r>
      <w:r>
        <w:rPr>
          <w:rStyle w:val="Funotenanker"/>
        </w:rPr>
        <w:footnoteReference w:customMarkFollows="1" w:id="1660"/>
        <w:t>af</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wieder </w:t>
      </w:r>
      <w:r>
        <w:rPr>
          <w:color w:val="808080"/>
        </w:rPr>
        <w:t>(zurück)</w:t>
      </w:r>
      <w:r>
        <w:rPr/>
        <w:t xml:space="preserve"> ans andere Ufer gefahren war, </w:t>
      </w:r>
      <w:r>
        <w:rPr>
          <w:rStyle w:val="Funotenanker"/>
        </w:rPr>
        <w:footnoteReference w:customMarkFollows="1" w:id="1661"/>
        <w:t>ag</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662"/>
        <w:t>ah</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663"/>
        <w:t>ai</w:t>
      </w:r>
      <w:r>
        <w:rPr/>
        <w:t xml:space="preserve"> namens Jairus </w:t>
      </w:r>
      <w:r>
        <w:rPr>
          <w:rStyle w:val="Funotenanker"/>
        </w:rPr>
        <w:footnoteReference w:customMarkFollows="1" w:id="1664"/>
        <w:t>aj</w:t>
      </w:r>
      <w:r>
        <w:rPr/>
        <w:t xml:space="preserve"> kam, und als er ihn sah, </w:t>
      </w:r>
      <w:r>
        <w:rPr>
          <w:rStyle w:val="Funotenanker"/>
        </w:rPr>
        <w:footnoteReference w:customMarkFollows="1" w:id="1665"/>
        <w:t>ak</w:t>
      </w:r>
      <w:r>
        <w:rPr/>
        <w:t xml:space="preserve"> warf </w:t>
      </w:r>
      <w:r>
        <w:rPr>
          <w:color w:val="808080"/>
        </w:rPr>
        <w:t>(fiel)</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666"/>
        <w:t>al</w:t>
      </w:r>
      <w:r>
        <w:rPr/>
        <w:t xml:space="preserve"> </w:t>
      </w:r>
      <w:r>
        <w:rPr>
          <w:strike/>
          <w:color w:val="808080"/>
        </w:rPr>
        <w:t>{sagend}</w:t>
      </w:r>
      <w:r>
        <w:rPr/>
        <w:t xml:space="preserve">: „Meine kleine Tochter ist dem Tode nahe </w:t>
      </w:r>
      <w:r>
        <w:rPr>
          <w:color w:val="808080"/>
        </w:rPr>
        <w:t>(liegt im Sterben, ist todkrank)</w:t>
      </w:r>
      <w:r>
        <w:rPr/>
        <w:t xml:space="preserve"> </w:t>
      </w:r>
      <w:r>
        <w:rPr>
          <w:rStyle w:val="Funotenanker"/>
        </w:rPr>
        <w:footnoteReference w:customMarkFollows="1" w:id="1667"/>
        <w:t>am</w:t>
      </w:r>
      <w:r>
        <w:rPr/>
        <w:t xml:space="preserve"> – komm doch und </w:t>
      </w:r>
      <w:r>
        <w:rPr>
          <w:rStyle w:val="Funotenanker"/>
        </w:rPr>
        <w:footnoteReference w:customMarkFollows="1" w:id="1668"/>
        <w:t>an</w:t>
      </w:r>
      <w:r>
        <w:rPr/>
        <w:t xml:space="preserve"> lege ihr deine Hände auf, </w:t>
      </w:r>
      <w:r>
        <w:rPr>
          <w:rStyle w:val="Funotenanker"/>
        </w:rPr>
        <w:footnoteReference w:customMarkFollows="1" w:id="1669"/>
        <w:t>ao</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670"/>
        <w:t>ap</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671"/>
        <w:t>aq</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672"/>
        <w:t>ar</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673"/>
        <w:t>as</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674"/>
        <w:t>at</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675"/>
        <w:t>au</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676"/>
        <w:t>av</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677"/>
        <w:t>aw</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678"/>
        <w:t>ax</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679"/>
        <w:t>ay</w:t>
      </w:r>
      <w:r>
        <w:rPr/>
        <w:t xml:space="preserve"> drehte sich in der Menschenmenge um und fragte </w:t>
      </w:r>
      <w:r>
        <w:rPr>
          <w:color w:val="808080"/>
        </w:rPr>
        <w:t>(sagte, wiederholte)</w:t>
      </w:r>
      <w:r>
        <w:rPr/>
        <w:t xml:space="preserve"> </w:t>
      </w:r>
      <w:r>
        <w:rPr>
          <w:rStyle w:val="Funotenanker"/>
        </w:rPr>
        <w:footnoteReference w:customMarkFollows="1" w:id="1680"/>
        <w:t>az</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681"/>
        <w:t>ba</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682"/>
        <w:t>bb</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683"/>
        <w:t>bc</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684"/>
        <w:t>bd</w:t>
      </w:r>
      <w:r>
        <w:rPr/>
        <w:t xml:space="preserve"> kamen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685"/>
        <w:t>be</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686"/>
        <w:t>bf</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687"/>
        <w:t>bg</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er ein lärmendes Durcheinander </w:t>
      </w:r>
      <w:r>
        <w:rPr>
          <w:color w:val="808080"/>
        </w:rPr>
        <w:t>(Aufregung, Tumult)</w:t>
      </w:r>
      <w:r>
        <w:rPr/>
        <w:t xml:space="preserve"> </w:t>
      </w:r>
      <w:r>
        <w:rPr>
          <w:rStyle w:val="Funotenanker"/>
        </w:rPr>
        <w:footnoteReference w:customMarkFollows="1" w:id="1688"/>
        <w:t>bh</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689"/>
        <w:t>bi</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690"/>
        <w:t>bj</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[Jesus]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xml:space="preserve">, mit und ging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691"/>
        <w:t>bk</w:t>
      </w:r>
      <w:r>
        <w:rPr/>
        <w:t xml:space="preserve"> und sagte zu ihr: „Talita kum!“ </w:t>
      </w:r>
      <w:r>
        <w:rPr>
          <w:rStyle w:val="Funotenanker"/>
        </w:rPr>
        <w:footnoteReference w:customMarkFollows="1" w:id="1692"/>
        <w:t>bl</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693"/>
        <w:t>bm</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694"/>
        <w:t>bn</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695"/>
        <w:t>bo</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696"/>
        <w:t>bp</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697"/>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698"/>
        <w:t>a</w:t>
      </w:r>
      <w:r>
        <w:rPr/>
        <w:t xml:space="preserve"> , wobei </w:t>
      </w:r>
      <w:r>
        <w:rPr>
          <w:color w:val="808080"/>
        </w:rPr>
        <w:t>(und)</w:t>
      </w:r>
      <w:r>
        <w:rPr/>
        <w:t xml:space="preserve"> seine Jünger ihn begleiteten </w:t>
      </w:r>
      <w:r>
        <w:rPr>
          <w:color w:val="808080"/>
        </w:rPr>
        <w:t>(ihm folgten)</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699"/>
        <w:t>b</w:t>
      </w:r>
      <w:r>
        <w:rPr/>
        <w:t xml:space="preserve"> begann er, in der Synagoge zu lehren </w:t>
      </w:r>
      <w:r>
        <w:rPr>
          <w:color w:val="808080"/>
        </w:rPr>
        <w:t>(lehrte er)</w:t>
      </w:r>
      <w:r>
        <w:rPr/>
        <w:t xml:space="preserve"> </w:t>
      </w:r>
      <w:r>
        <w:rPr>
          <w:rStyle w:val="Funotenanker"/>
        </w:rPr>
        <w:footnoteReference w:customMarkFollows="1" w:id="1700"/>
        <w:t>c</w:t>
      </w:r>
      <w:r>
        <w:rPr/>
        <w:t xml:space="preserve">, und viele, die zuhörten, waren überwältigt </w:t>
      </w:r>
      <w:r>
        <w:rPr>
          <w:color w:val="808080"/>
        </w:rPr>
        <w:t>(überrascht, erstaunt, außer sich)</w:t>
      </w:r>
      <w:r>
        <w:rPr/>
        <w:t xml:space="preserve"> und sagten </w:t>
      </w:r>
      <w:r>
        <w:rPr>
          <w:rStyle w:val="Funotenanker"/>
        </w:rPr>
        <w:footnoteReference w:customMarkFollows="1" w:id="1701"/>
        <w:t>d</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702"/>
        <w:t>e</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703"/>
        <w:t>f</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704"/>
        <w:t>g</w:t>
      </w:r>
      <w:r>
        <w:rPr/>
        <w:t xml:space="preserve">.{{field-off:bible}} </w:t>
        <w:br/>
        <w:t>[[@BibleTOBIBLE:Mk 6:7]]</w:t>
      </w:r>
      <w:r>
        <w:rPr>
          <w:b/>
        </w:rPr>
        <w:t>7</w:t>
      </w:r>
      <w:r>
        <w:rPr/>
        <w:t xml:space="preserve"> {{field-on:bible}}Und er rief die Zwölf zu sich und sandte sie paarweise </w:t>
      </w:r>
      <w:r>
        <w:rPr>
          <w:rStyle w:val="Funotenanker"/>
        </w:rPr>
        <w:footnoteReference w:customMarkFollows="1" w:id="1705"/>
        <w:t>h</w:t>
      </w:r>
      <w:r>
        <w:rPr/>
        <w:t xml:space="preserve"> aus, </w:t>
      </w:r>
      <w:r>
        <w:rPr>
          <w:rStyle w:val="Funotenanker"/>
        </w:rPr>
        <w:footnoteReference w:customMarkFollows="1" w:id="1706"/>
        <w:t>i</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707"/>
        <w:t>j</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708"/>
        <w:t>k</w:t>
      </w:r>
      <w:r>
        <w:rPr/>
        <w:t xml:space="preserve">, „und zieht keine zwei Unterhemden an!“ </w:t>
      </w:r>
      <w:r>
        <w:rPr>
          <w:rStyle w:val="Funotenanker"/>
        </w:rPr>
        <w:footnoteReference w:customMarkFollows="1" w:id="1709"/>
        <w:t>l</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710"/>
        <w:t>m</w:t>
      </w:r>
      <w:r>
        <w:rPr/>
        <w:t xml:space="preserve"> dann schüttelt beim Aufbruch </w:t>
      </w:r>
      <w:r>
        <w:rPr>
          <w:color w:val="808080"/>
        </w:rPr>
        <w:t>(geht von dort weg und)</w:t>
      </w:r>
      <w:r>
        <w:rPr/>
        <w:t xml:space="preserve"> </w:t>
      </w:r>
      <w:r>
        <w:rPr>
          <w:rStyle w:val="Funotenanker"/>
        </w:rPr>
        <w:footnoteReference w:customMarkFollows="1" w:id="1711"/>
        <w:t>n</w:t>
      </w:r>
      <w:r>
        <w:rPr/>
        <w:t xml:space="preserve"> den Staub von euren Schuhsohlen </w:t>
      </w:r>
      <w:r>
        <w:rPr>
          <w:rStyle w:val="Funotenanker"/>
        </w:rPr>
        <w:footnoteReference w:customMarkFollows="1" w:id="1712"/>
        <w:t>o</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713"/>
        <w:t>p</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714"/>
        <w:t>q</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715"/>
        <w:t>r</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716"/>
        <w:t>s</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717"/>
        <w:t>t</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718"/>
        <w:t>u</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719"/>
        <w:t>v</w:t>
      </w:r>
      <w:r>
        <w:rPr/>
        <w:t xml:space="preserve"> glaubte </w:t>
      </w:r>
      <w:r>
        <w:rPr>
          <w:color w:val="808080"/>
        </w:rPr>
        <w:t>(sagte, rief)</w:t>
      </w:r>
      <w:r>
        <w:rPr/>
        <w:t xml:space="preserve"> er </w:t>
      </w:r>
      <w:r>
        <w:rPr>
          <w:rStyle w:val="Funotenanker"/>
        </w:rPr>
        <w:footnoteReference w:customMarkFollows="1" w:id="1720"/>
        <w:t>w</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721"/>
        <w:t>x</w:t>
      </w:r>
      <w:r>
        <w:rPr/>
        <w:t xml:space="preserve"> lassen </w:t>
      </w:r>
      <w:r>
        <w:rPr>
          <w:rStyle w:val="Funotenanker"/>
        </w:rPr>
        <w:footnoteReference w:customMarkFollows="1" w:id="1722"/>
        <w:t>y</w:t>
      </w:r>
      <w:r>
        <w:rPr/>
        <w:t xml:space="preserve">. </w:t>
      </w:r>
      <w:r>
        <w:rPr>
          <w:b/>
          <w:color w:val="808080"/>
        </w:rPr>
        <w:t>[</w:t>
      </w:r>
      <w:r>
        <w:rPr/>
        <w:t>Das tat er</w:t>
      </w:r>
      <w:r>
        <w:rPr>
          <w:b/>
          <w:color w:val="808080"/>
        </w:rPr>
        <w:t>]</w:t>
      </w:r>
      <w:r>
        <w:rPr/>
        <w:t xml:space="preserve"> </w:t>
      </w:r>
      <w:r>
        <w:rPr>
          <w:rStyle w:val="Funotenanker"/>
        </w:rPr>
        <w:footnoteReference w:customMarkFollows="1" w:id="1723"/>
        <w:t>z</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724"/>
        <w:t>aa</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725"/>
        <w:t>ab</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726"/>
        <w:t>ac</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727"/>
        <w:t>ad</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728"/>
        <w:t>ae</w:t>
      </w:r>
      <w:r>
        <w:rPr/>
        <w:t xml:space="preserve">, und wenn er ihm zuhörte </w:t>
      </w:r>
      <w:r>
        <w:rPr>
          <w:color w:val="808080"/>
        </w:rPr>
        <w:t>(zugehört hatte)</w:t>
      </w:r>
      <w:r>
        <w:rPr/>
        <w:t xml:space="preserve">, </w:t>
      </w:r>
      <w:r>
        <w:rPr>
          <w:rStyle w:val="Funotenanker"/>
        </w:rPr>
        <w:footnoteReference w:customMarkFollows="1" w:id="1729"/>
        <w:t>af</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730"/>
        <w:t>ag</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731"/>
        <w:t>ah</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732"/>
        <w:t>ai</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733"/>
        <w:t>aj</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734"/>
        <w:t>ak</w:t>
      </w:r>
      <w:r>
        <w:rPr/>
        <w:t xml:space="preserve"> hereinkam und tanzte, </w:t>
      </w:r>
      <w:r>
        <w:rPr>
          <w:rStyle w:val="Funotenanker"/>
        </w:rPr>
        <w:footnoteReference w:customMarkFollows="1" w:id="1735"/>
        <w:t>al</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736"/>
        <w:t>am</w:t>
      </w:r>
      <w:r>
        <w:rPr/>
        <w:t xml:space="preserve">. Der König sagte zu dem Mädchen </w:t>
      </w:r>
      <w:r>
        <w:rPr>
          <w:rStyle w:val="Funotenanker"/>
        </w:rPr>
        <w:footnoteReference w:customMarkFollows="1" w:id="1737"/>
        <w:t>an</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738"/>
        <w:t>ao</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739"/>
        <w:t>ap</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740"/>
        <w:t>aq</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741"/>
        <w:t>ar</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742"/>
        <w:t>as</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743"/>
        <w:t>at</w:t>
      </w:r>
      <w:r>
        <w:rPr/>
        <w:t xml:space="preserve"> wollte er sie nicht abweisen.{{field-off:bible}} </w:t>
        <w:br/>
        <w:t>[[@BibleTOBIBLE:Mk 6:27]]</w:t>
      </w:r>
      <w:r>
        <w:rPr>
          <w:b/>
        </w:rPr>
        <w:t>27</w:t>
      </w:r>
      <w:r>
        <w:rPr/>
        <w:t xml:space="preserve"> {{field-on:bible}}Also </w:t>
      </w:r>
      <w:r>
        <w:rPr>
          <w:rStyle w:val="Funotenanker"/>
        </w:rPr>
        <w:footnoteReference w:customMarkFollows="1" w:id="1744"/>
        <w:t>au</w:t>
      </w:r>
      <w:r>
        <w:rPr/>
        <w:t xml:space="preserve"> schickte der König einen Henker und </w:t>
      </w:r>
      <w:r>
        <w:rPr>
          <w:rStyle w:val="Funotenanker"/>
        </w:rPr>
        <w:footnoteReference w:customMarkFollows="1" w:id="1745"/>
        <w:t>av</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746"/>
        <w:t>aw</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747"/>
        <w:t>ax</w:t>
      </w:r>
      <w:r>
        <w:rPr/>
        <w:t xml:space="preserve"> kamen bei Jesus zusammen und berichteten ihm alles, was sie getan und was sie gelehrt hatten.{{field-off:bible}} </w:t>
        <w:br/>
        <w:t>[[@BibleTOBIBLE:Mk 6:31]]</w:t>
      </w:r>
      <w:r>
        <w:rPr>
          <w:b/>
        </w:rPr>
        <w:t>31</w:t>
      </w:r>
      <w:r>
        <w:rPr/>
        <w:t xml:space="preserve"> {{field-on:bible}}Und er sagte zu ihnen: „Kommt ''ihr'' doch ganz allein </w:t>
      </w:r>
      <w:r>
        <w:rPr>
          <w:b/>
          <w:color w:val="808080"/>
        </w:rPr>
        <w:t>[</w:t>
      </w:r>
      <w:r>
        <w:rPr/>
        <w:t>mit mir</w:t>
      </w:r>
      <w:r>
        <w:rPr>
          <w:b/>
          <w:color w:val="808080"/>
        </w:rPr>
        <w:t>]</w:t>
      </w:r>
      <w:r>
        <w:rPr/>
        <w:t xml:space="preserve"> an einen abgelegenen Ort und ruht euch ein wenig aus!“ Denn es waren viele, die kamen und gingen,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748"/>
        <w:t>ay</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749"/>
        <w:t>az</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750"/>
        <w:t>ba</w:t>
      </w:r>
      <w:r>
        <w:rPr/>
        <w:t xml:space="preserve"> an.{{field-off:bible}} </w:t>
        <w:br/>
        <w:t>[[@BibleTOBIBLE:Mk 6:34]]</w:t>
      </w:r>
      <w:r>
        <w:rPr>
          <w:b/>
        </w:rPr>
        <w:t>34</w:t>
      </w:r>
      <w:r>
        <w:rPr/>
        <w:t xml:space="preserve"> {{field-on:bible}}Und als er ausstieg, </w:t>
      </w:r>
      <w:r>
        <w:rPr>
          <w:rStyle w:val="Funotenanker"/>
        </w:rPr>
        <w:footnoteReference w:customMarkFollows="1" w:id="1751"/>
        <w:t>bb</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752"/>
        <w:t>bc</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753"/>
        <w:t>bd</w:t>
      </w:r>
      <w:r>
        <w:rPr/>
        <w:t xml:space="preserve"> kamen seine Jünger zu ihm und </w:t>
      </w:r>
      <w:r>
        <w:rPr>
          <w:rStyle w:val="Funotenanker"/>
        </w:rPr>
        <w:footnoteReference w:customMarkFollows="1" w:id="1754"/>
        <w:t>be</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755"/>
        <w:t>bf</w:t>
      </w:r>
      <w:r>
        <w:rPr/>
        <w:t xml:space="preserve"> und Dörfern gehen und </w:t>
      </w:r>
      <w:r>
        <w:rPr>
          <w:rStyle w:val="Funotenanker"/>
        </w:rPr>
        <w:footnoteReference w:customMarkFollows="1" w:id="1756"/>
        <w:t>bg</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757"/>
        <w:t>bh</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zu ihm: „Sollen wir losgehen und </w:t>
      </w:r>
      <w:r>
        <w:rPr>
          <w:rStyle w:val="Funotenanker"/>
        </w:rPr>
        <w:footnoteReference w:customMarkFollows="1" w:id="1758"/>
        <w:t>bi</w:t>
      </w:r>
      <w:r>
        <w:rPr/>
        <w:t xml:space="preserve"> </w:t>
      </w:r>
      <w:r>
        <w:rPr>
          <w:b/>
          <w:color w:val="808080"/>
        </w:rPr>
        <w:t>[</w:t>
      </w:r>
      <w:r>
        <w:rPr/>
        <w:t>für</w:t>
      </w:r>
      <w:r>
        <w:rPr>
          <w:b/>
          <w:color w:val="808080"/>
        </w:rPr>
        <w:t>]</w:t>
      </w:r>
      <w:r>
        <w:rPr/>
        <w:t xml:space="preserve"> zweihundert Denare </w:t>
      </w:r>
      <w:r>
        <w:rPr>
          <w:rStyle w:val="Funotenanker"/>
        </w:rPr>
        <w:footnoteReference w:customMarkFollows="1" w:id="1759"/>
        <w:t>bj</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760"/>
        <w:t>bk</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761"/>
        <w:t>bl</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762"/>
        <w:t>bm</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763"/>
        <w:t>bn</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764"/>
        <w:t>bo</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765"/>
        <w:t>bp</w:t>
      </w:r>
      <w:r>
        <w:rPr/>
        <w:t xml:space="preserve"> auf, auch von den Fischen </w:t>
      </w:r>
      <w:r>
        <w:rPr>
          <w:rStyle w:val="Funotenanker"/>
        </w:rPr>
        <w:footnoteReference w:customMarkFollows="1" w:id="1766"/>
        <w:t>bq</w:t>
      </w:r>
      <w:r>
        <w:rPr/>
        <w:t>.</w:t>
      </w:r>
      <w:r>
        <w:rPr>
          <w:position w:val="8"/>
          <w:sz w:val="19"/>
        </w:rPr>
        <w:t>[[ ℘ &gt;&gt; BibleTOBIBLE:Mk 8:8]]</w:t>
      </w:r>
      <w:r>
        <w:rPr/>
        <w:t xml:space="preserve"> {{field-off:bible}} </w:t>
        <w:br/>
        <w:t>[[@BibleTOBIBLE:Mk 6:44]]</w:t>
      </w:r>
      <w:r>
        <w:rPr>
          <w:b/>
        </w:rPr>
        <w:t>44</w:t>
      </w:r>
      <w:r>
        <w:rPr/>
        <w:t xml:space="preserve"> {{field-on:bible}}Und diejenigen, die die Brote gegessen hatten,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767"/>
        <w:t>br</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768"/>
        <w:t>bs</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769"/>
        <w:t>bt</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770"/>
        <w:t>bu</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er um die vierte Nachtwache </w:t>
      </w:r>
      <w:r>
        <w:rPr>
          <w:rStyle w:val="Funotenanker"/>
        </w:rPr>
        <w:footnoteReference w:customMarkFollows="1" w:id="1771"/>
        <w:t>bv</w:t>
      </w:r>
      <w:r>
        <w:rPr/>
        <w:t xml:space="preserve"> in ihre Richtung, indem er auf dem Meer lief. </w:t>
      </w:r>
      <w:r>
        <w:rPr>
          <w:rStyle w:val="Funotenanker"/>
        </w:rPr>
        <w:footnoteReference w:customMarkFollows="1" w:id="1772"/>
        <w:t>bw</w:t>
      </w:r>
      <w:r>
        <w:rPr/>
        <w:t xml:space="preserve"> Dabei </w:t>
      </w:r>
      <w:r>
        <w:rPr>
          <w:color w:val="808080"/>
        </w:rPr>
        <w:t>(und)</w:t>
      </w:r>
      <w:r>
        <w:rPr/>
        <w:t xml:space="preserve"> wollte </w:t>
      </w:r>
      <w:r>
        <w:rPr>
          <w:rStyle w:val="Funotenanker"/>
        </w:rPr>
        <w:footnoteReference w:customMarkFollows="1" w:id="1773"/>
        <w:t>bx</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774"/>
        <w:t>by</w:t>
      </w:r>
      <w:r>
        <w:rPr/>
        <w:t xml:space="preserve"> meinten sie, dass es ein Gespenst sei, und schrien auf </w:t>
      </w:r>
      <w:r>
        <w:rPr>
          <w:color w:val="808080"/>
        </w:rPr>
        <w:t>(fingen an zu schreien)</w:t>
      </w:r>
      <w:r>
        <w:rPr/>
        <w:t xml:space="preserve"> </w:t>
      </w:r>
      <w:r>
        <w:rPr>
          <w:rStyle w:val="Funotenanker"/>
        </w:rPr>
        <w:footnoteReference w:customMarkFollows="1" w:id="1775"/>
        <w:t>bz</w:t>
      </w:r>
      <w:r>
        <w:rPr/>
        <w:t xml:space="preserve">.{{field-off:bible}} </w:t>
        <w:br/>
        <w:t>[[@BibleTOBIBLE:Mk 6:50]]</w:t>
      </w:r>
      <w:r>
        <w:rPr>
          <w:b/>
        </w:rPr>
        <w:t>50</w:t>
      </w:r>
      <w:r>
        <w:rPr/>
        <w:t xml:space="preserve"> {{field-on:bible}}Denn alle sahen ihn und erschraken </w:t>
      </w:r>
      <w:r>
        <w:rPr>
          <w:rStyle w:val="Funotenanker"/>
        </w:rPr>
        <w:footnoteReference w:customMarkFollows="1" w:id="1776"/>
        <w:t>ca</w:t>
      </w:r>
      <w:r>
        <w:rPr/>
        <w:t xml:space="preserve">. Doch er begann sofort mit ihnen zu reden </w:t>
      </w:r>
      <w:r>
        <w:rPr>
          <w:rStyle w:val="Funotenanker"/>
        </w:rPr>
        <w:footnoteReference w:customMarkFollows="1" w:id="1777"/>
        <w:t>cb</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778"/>
        <w:t>cc</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779"/>
        <w:t>cd</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780"/>
        <w:t>ce</w:t>
      </w:r>
      <w:r>
        <w:rPr/>
        <w:t xml:space="preserve">, sondern ihr Herz war verstockt </w:t>
      </w:r>
      <w:r>
        <w:rPr>
          <w:color w:val="808080"/>
        </w:rPr>
        <w:t>(verhärtet)</w:t>
      </w:r>
      <w:r>
        <w:rPr/>
        <w:t xml:space="preserve"> </w:t>
      </w:r>
      <w:r>
        <w:rPr>
          <w:rStyle w:val="Funotenanker"/>
        </w:rPr>
        <w:footnoteReference w:customMarkFollows="1" w:id="1781"/>
        <w:t>cf</w:t>
      </w:r>
      <w:r>
        <w:rPr/>
        <w:t xml:space="preserve">.{{field-off:bible}} </w:t>
        <w:br/>
        <w:t>[[@BibleTOBIBLE:Mk 6:53]]</w:t>
      </w:r>
      <w:r>
        <w:rPr>
          <w:b/>
        </w:rPr>
        <w:t>53</w:t>
      </w:r>
      <w:r>
        <w:rPr/>
        <w:t xml:space="preserve"> {{field-on:bible}}Und nachdem sie übergesetzt hatten, </w:t>
      </w:r>
      <w:r>
        <w:rPr>
          <w:rStyle w:val="Funotenanker"/>
        </w:rPr>
        <w:footnoteReference w:customMarkFollows="1" w:id="1782"/>
        <w:t>cg</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783"/>
        <w:t>ch</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784"/>
        <w:t>ci</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785"/>
        <w:t>cj</w:t>
      </w:r>
      <w:r>
        <w:rPr/>
        <w:t xml:space="preserve"> gesamte Gegend, und sie trugen </w:t>
      </w:r>
      <w:r>
        <w:rPr>
          <w:color w:val="808080"/>
        </w:rPr>
        <w:t>(fingen an zu tragen)</w:t>
      </w:r>
      <w:r>
        <w:rPr/>
        <w:t xml:space="preserve"> </w:t>
      </w:r>
      <w:r>
        <w:rPr>
          <w:rStyle w:val="Funotenanker"/>
        </w:rPr>
        <w:footnoteReference w:customMarkFollows="1" w:id="1786"/>
        <w:t>ck</w:t>
      </w:r>
      <w:r>
        <w:rPr/>
        <w:t xml:space="preserve"> diejenigen, denen es schlecht ging </w:t>
      </w:r>
      <w:r>
        <w:rPr>
          <w:color w:val="808080"/>
        </w:rPr>
        <w:t>(die Kranken)</w:t>
      </w:r>
      <w:r>
        <w:rPr/>
        <w:t xml:space="preserve"> </w:t>
      </w:r>
      <w:r>
        <w:rPr>
          <w:rStyle w:val="Funotenanker"/>
        </w:rPr>
        <w:footnoteReference w:customMarkFollows="1" w:id="1787"/>
        <w:t>cl</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788"/>
        <w:t>cm</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789"/>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790"/>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791"/>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792"/>
        <w:t>c</w:t>
      </w:r>
      <w:r>
        <w:rPr/>
        <w:t xml:space="preserve"> die Brote </w:t>
      </w:r>
      <w:r>
        <w:rPr>
          <w:color w:val="808080"/>
        </w:rPr>
        <w:t>(ihr Essen)</w:t>
      </w:r>
      <w:r>
        <w:rPr/>
        <w:t xml:space="preserve"> aßen </w:t>
      </w:r>
      <w:r>
        <w:rPr>
          <w:rStyle w:val="Funotenanker"/>
        </w:rPr>
        <w:footnoteReference w:customMarkFollows="1" w:id="1793"/>
        <w:t>d</w:t>
      </w:r>
      <w:r>
        <w:rPr/>
        <w:t xml:space="preserve"> – </w:t>
      </w:r>
      <w:r>
        <w:rPr>
          <w:rStyle w:val="Funotenanker"/>
        </w:rPr>
        <w:footnoteReference w:customMarkFollows="1" w:id="1794"/>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795"/>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796"/>
        <w:t>g</w:t>
      </w:r>
      <w:r>
        <w:rPr/>
        <w:t xml:space="preserve"> festzuhalten, </w:t>
      </w:r>
      <w:r>
        <w:rPr>
          <w:rStyle w:val="Funotenanker"/>
        </w:rPr>
        <w:footnoteReference w:customMarkFollows="1" w:id="1797"/>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798"/>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799"/>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800"/>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801"/>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802"/>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803"/>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804"/>
        <w:t>o</w:t>
      </w:r>
      <w:r>
        <w:rPr/>
        <w:t xml:space="preserve"> außer Acht lasst, </w:t>
      </w:r>
      <w:r>
        <w:rPr>
          <w:rStyle w:val="Funotenanker"/>
        </w:rPr>
        <w:footnoteReference w:customMarkFollows="1" w:id="1805"/>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806"/>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w:t>
      </w:r>
      <w:r>
        <w:rPr>
          <w:color w:val="808080"/>
        </w:rPr>
        <w:t>(schmäht, schlechtmacht, herabsetzt)</w:t>
      </w:r>
      <w:r>
        <w:rPr/>
        <w:t xml:space="preserve">, muss sterben </w:t>
      </w:r>
      <w:r>
        <w:rPr>
          <w:rStyle w:val="Funotenanker"/>
        </w:rPr>
        <w:footnoteReference w:customMarkFollows="1" w:id="1807"/>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808"/>
        <w:t>s</w:t>
      </w:r>
      <w:r>
        <w:rPr/>
        <w:t xml:space="preserve">, das heißt »Opfergabe </w:t>
      </w:r>
      <w:r>
        <w:rPr>
          <w:color w:val="808080"/>
        </w:rPr>
        <w:t>(Geschenk)</w:t>
      </w:r>
      <w:r>
        <w:rPr/>
        <w:t>«,</w:t>
      </w:r>
      <w:r>
        <w:rPr>
          <w:rStyle w:val="Funotenanker"/>
        </w:rPr>
        <w:footnoteReference w:customMarkFollows="1" w:id="1809"/>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810"/>
        <w:t>u</w:t>
      </w:r>
      <w:r>
        <w:rPr/>
        <w:t xml:space="preserve"> ihr ihm nicht mehr, etwas </w:t>
      </w:r>
      <w:r>
        <w:rPr>
          <w:rStyle w:val="Funotenanker"/>
        </w:rPr>
        <w:footnoteReference w:customMarkFollows="1" w:id="1811"/>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812"/>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813"/>
        <w:t>x</w:t>
      </w:r>
      <w:r>
        <w:rPr/>
        <w:t xml:space="preserve"> auf </w:t>
      </w:r>
      <w:r>
        <w:rPr>
          <w:rStyle w:val="Funotenanker"/>
        </w:rPr>
        <w:footnoteReference w:customMarkFollows="1" w:id="1814"/>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815"/>
        <w:t>z</w:t>
      </w:r>
      <w:r>
        <w:rPr/>
        <w:t xml:space="preserve"> sprach nun </w:t>
      </w:r>
      <w:r>
        <w:rPr>
          <w:rStyle w:val="Funotenanker"/>
        </w:rPr>
        <w:footnoteReference w:customMarkFollows="1" w:id="1816"/>
        <w:t>aa</w:t>
      </w:r>
      <w:r>
        <w:rPr/>
        <w:t xml:space="preserve"> zu ihnen: „Hört mir alle zu und versteht </w:t>
      </w:r>
      <w:r>
        <w:rPr>
          <w:rStyle w:val="Funotenanker"/>
        </w:rPr>
        <w:footnoteReference w:customMarkFollows="1" w:id="1817"/>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818"/>
        <w:t>ac</w:t>
      </w:r>
      <w:r>
        <w:rPr/>
        <w:t xml:space="preserve"> Es ist vielmehr, was aus dem Menschen herauskommt, das den Menschen verunreinigt </w:t>
      </w:r>
      <w:r>
        <w:rPr>
          <w:rStyle w:val="Funotenanker"/>
        </w:rPr>
        <w:footnoteReference w:customMarkFollows="1" w:id="1819"/>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820"/>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821"/>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822"/>
        <w:t>ag</w:t>
      </w:r>
      <w:r>
        <w:rPr/>
        <w:t xml:space="preserve"> ausgeschieden wird </w:t>
      </w:r>
      <w:r>
        <w:rPr>
          <w:color w:val="808080"/>
        </w:rPr>
        <w:t>(hinausgelangt)</w:t>
      </w:r>
      <w:r>
        <w:rPr/>
        <w:t xml:space="preserve">?“ So erklärte [Jesus] alle Speisen für rein. </w:t>
      </w:r>
      <w:r>
        <w:rPr>
          <w:rStyle w:val="Funotenanker"/>
        </w:rPr>
        <w:footnoteReference w:customMarkFollows="1" w:id="1823"/>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824"/>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825"/>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826"/>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827"/>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828"/>
        <w:t>am</w:t>
      </w:r>
      <w:r>
        <w:rPr/>
        <w:t xml:space="preserve">. Und er begab sich in ein Haus und </w:t>
      </w:r>
      <w:r>
        <w:rPr>
          <w:rStyle w:val="Funotenanker"/>
        </w:rPr>
        <w:footnoteReference w:customMarkFollows="1" w:id="1829"/>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830"/>
        <w:t>ao</w:t>
      </w:r>
      <w:r>
        <w:rPr/>
        <w:t xml:space="preserve">, und </w:t>
      </w:r>
      <w:r>
        <w:rPr>
          <w:rStyle w:val="Funotenanker"/>
        </w:rPr>
        <w:footnoteReference w:customMarkFollows="1" w:id="1831"/>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832"/>
        <w:t>aq</w:t>
      </w:r>
      <w:r>
        <w:rPr/>
        <w:t xml:space="preserve"> – Und sie bat ihn hartnäckig </w:t>
      </w:r>
      <w:r>
        <w:rPr>
          <w:color w:val="808080"/>
        </w:rPr>
        <w:t>(immer wieder)</w:t>
      </w:r>
      <w:r>
        <w:rPr/>
        <w:t xml:space="preserve"> </w:t>
      </w:r>
      <w:r>
        <w:rPr>
          <w:rStyle w:val="Funotenanker"/>
        </w:rPr>
        <w:footnoteReference w:customMarkFollows="1" w:id="1833"/>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auch die Hunde unter dem Tisch fressen die Krümel </w:t>
      </w:r>
      <w:r>
        <w:rPr>
          <w:rStyle w:val="Funotenanker"/>
        </w:rPr>
        <w:footnoteReference w:customMarkFollows="1" w:id="1834"/>
        <w:t>as</w:t>
      </w:r>
      <w:r>
        <w:rPr/>
        <w:t xml:space="preserve"> </w:t>
      </w:r>
      <w:r>
        <w:rPr>
          <w:color w:val="808080"/>
        </w:rPr>
        <w:t>(Reste)</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835"/>
        <w:t>at</w:t>
      </w:r>
      <w:r>
        <w:rPr/>
        <w:t xml:space="preserve">, geh </w:t>
      </w:r>
      <w:r>
        <w:rPr>
          <w:rStyle w:val="Funotenanker"/>
        </w:rPr>
        <w:footnoteReference w:customMarkFollows="1" w:id="1836"/>
        <w:t>au</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837"/>
        <w:t>av</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838"/>
        <w:t>aw</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839"/>
        <w:t>ax</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840"/>
        <w:t>ay</w:t>
      </w:r>
      <w:r>
        <w:rPr/>
        <w:t xml:space="preserve"> zu ihm und baten </w:t>
      </w:r>
      <w:r>
        <w:rPr>
          <w:color w:val="808080"/>
        </w:rPr>
        <w:t>(forderten auf)</w:t>
      </w:r>
      <w:r>
        <w:rPr/>
        <w:t xml:space="preserve"> ihn, ihm die Hand aufzulegen </w:t>
      </w:r>
      <w:r>
        <w:rPr>
          <w:rStyle w:val="Funotenanker"/>
        </w:rPr>
        <w:footnoteReference w:customMarkFollows="1" w:id="1841"/>
        <w:t>az</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842"/>
        <w:t>ba</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843"/>
        <w:t>bb</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844"/>
        <w:t>bc</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845"/>
        <w:t>bd</w:t>
      </w:r>
      <w:r>
        <w:rPr/>
        <w:t xml:space="preserve"> seiner Zunge löste sich, und er konnte richtig sprechen </w:t>
      </w:r>
      <w:r>
        <w:rPr>
          <w:rStyle w:val="Funotenanker"/>
        </w:rPr>
        <w:footnoteReference w:customMarkFollows="1" w:id="1846"/>
        <w:t>be</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847"/>
        <w:t>bf</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848"/>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849"/>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zu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850"/>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851"/>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852"/>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853"/>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854"/>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855"/>
        <w:t>g</w:t>
      </w:r>
      <w:r>
        <w:rPr/>
        <w:t xml:space="preserve"> gelangte </w:t>
      </w:r>
      <w:r>
        <w:rPr>
          <w:color w:val="808080"/>
        </w:rPr>
        <w:t>(kam)</w:t>
      </w:r>
      <w:r>
        <w:rPr/>
        <w:t xml:space="preserve"> in das Gebiet von Dalmanuta </w:t>
      </w:r>
      <w:r>
        <w:rPr>
          <w:rStyle w:val="Funotenanker"/>
        </w:rPr>
        <w:footnoteReference w:customMarkFollows="1" w:id="1856"/>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857"/>
        <w:t>i</w:t>
      </w:r>
      <w:r>
        <w:rPr/>
        <w:t xml:space="preserve"> und begannen mit ihm zu streiten, wobei sie von ihm ein Zeichen vom Himmel verlangten, </w:t>
      </w:r>
      <w:r>
        <w:rPr>
          <w:rStyle w:val="Funotenanker"/>
        </w:rPr>
        <w:footnoteReference w:customMarkFollows="1" w:id="1858"/>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859"/>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860"/>
        <w:t>l</w:t>
      </w:r>
      <w:r>
        <w:rPr/>
        <w:t xml:space="preserve"> auf und </w:t>
      </w:r>
      <w:r>
        <w:rPr>
          <w:rStyle w:val="Funotenanker"/>
        </w:rPr>
        <w:footnoteReference w:customMarkFollows="1" w:id="1861"/>
        <w:t>m</w:t>
      </w:r>
      <w:r>
        <w:rPr/>
        <w:t xml:space="preserve"> sagte: „Wie!? </w:t>
      </w:r>
      <w:r>
        <w:rPr>
          <w:rStyle w:val="Funotenanker"/>
        </w:rPr>
        <w:footnoteReference w:customMarkFollows="1" w:id="1862"/>
        <w:t>n</w:t>
      </w:r>
      <w:r>
        <w:rPr/>
        <w:t xml:space="preserve"> Diese Generation </w:t>
      </w:r>
      <w:r>
        <w:rPr>
          <w:color w:val="808080"/>
        </w:rPr>
        <w:t>(Dieses Pack)</w:t>
      </w:r>
      <w:r>
        <w:rPr/>
        <w:t xml:space="preserve"> </w:t>
      </w:r>
      <w:r>
        <w:rPr>
          <w:rStyle w:val="Funotenanker"/>
        </w:rPr>
        <w:footnoteReference w:customMarkFollows="1" w:id="1863"/>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864"/>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865"/>
        <w:t>q</w:t>
      </w:r>
      <w:r>
        <w:rPr/>
        <w:t xml:space="preserve"> hatten vergessen </w:t>
      </w:r>
      <w:r>
        <w:rPr>
          <w:color w:val="808080"/>
        </w:rPr>
        <w:t>(vergaßen)</w:t>
      </w:r>
      <w:r>
        <w:rPr/>
        <w:t xml:space="preserve">, </w:t>
      </w:r>
      <w:r>
        <w:rPr>
          <w:rStyle w:val="Funotenanker"/>
        </w:rPr>
        <w:footnoteReference w:customMarkFollows="1" w:id="1866"/>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867"/>
        <w:t>s</w:t>
      </w:r>
      <w:r>
        <w:rPr/>
        <w:t xml:space="preserve"> „Passt auf </w:t>
      </w:r>
      <w:r>
        <w:rPr>
          <w:color w:val="808080"/>
        </w:rPr>
        <w:t>(Seht zu)</w:t>
      </w:r>
      <w:r>
        <w:rPr/>
        <w:t xml:space="preserve">, hütet euch vor dem Sauerteig </w:t>
      </w:r>
      <w:r>
        <w:rPr>
          <w:rStyle w:val="Funotenanker"/>
        </w:rPr>
        <w:footnoteReference w:customMarkFollows="1" w:id="1868"/>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869"/>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870"/>
        <w:t>v</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871"/>
        <w:t>w</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872"/>
        <w:t>x</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873"/>
        <w:t>y</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874"/>
        <w:t>z</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875"/>
        <w:t>aa</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876"/>
        <w:t>ab</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877"/>
        <w:t>ac</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878"/>
        <w:t>ad</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879"/>
        <w:t>ae</w:t>
      </w:r>
      <w:r>
        <w:rPr/>
        <w:t xml:space="preserve"> führte ihn aus dem Dorf hinaus, und nachdem er ihm in die Augen gespuckt </w:t>
      </w:r>
      <w:r>
        <w:rPr>
          <w:rStyle w:val="Funotenanker"/>
        </w:rPr>
        <w:footnoteReference w:customMarkFollows="1" w:id="1880"/>
        <w:t>af</w:t>
      </w:r>
      <w:r>
        <w:rPr/>
        <w:t xml:space="preserve"> und ihm die Hände aufgelegt hatte, </w:t>
      </w:r>
      <w:r>
        <w:rPr>
          <w:rStyle w:val="Funotenanker"/>
        </w:rPr>
        <w:footnoteReference w:customMarkFollows="1" w:id="1881"/>
        <w:t>ag</w:t>
      </w:r>
      <w:r>
        <w:rPr/>
        <w:t xml:space="preserve"> fragte er ihn: „Siehst du etwas?“</w:t>
      </w:r>
      <w:r>
        <w:rPr>
          <w:rStyle w:val="Funotenanker"/>
        </w:rPr>
        <w:footnoteReference w:customMarkFollows="1" w:id="1882"/>
        <w:t>ah</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883"/>
        <w:t>ai</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884"/>
        <w:t>aj</w:t>
      </w:r>
      <w:r>
        <w:rPr/>
        <w:t xml:space="preserve"> wie Bäume, ich sehe sie umhergehen.“ </w:t>
      </w:r>
      <w:r>
        <w:rPr>
          <w:rStyle w:val="Funotenanker"/>
        </w:rPr>
        <w:footnoteReference w:customMarkFollows="1" w:id="1885"/>
        <w:t>ak</w:t>
      </w:r>
      <w:r>
        <w:rPr/>
        <w:t xml:space="preserve"> {{field-off:bible}} </w:t>
        <w:br/>
        <w:t>[[@BibleTOBIBLE:Mk 8:25]]</w:t>
      </w:r>
      <w:r>
        <w:rPr>
          <w:b/>
        </w:rPr>
        <w:t>25</w:t>
      </w:r>
      <w:r>
        <w:rPr/>
        <w:t xml:space="preserve"> {{field-on:bible}}Daraufhin legte [Jesus]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886"/>
        <w:t>al</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[Jesus]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887"/>
        <w:t>am</w:t>
      </w:r>
      <w:r>
        <w:rPr/>
        <w:t xml:space="preserve"> „Geh auch </w:t>
      </w:r>
      <w:r>
        <w:rPr>
          <w:color w:val="808080"/>
        </w:rPr>
        <w:t>(aber)</w:t>
      </w:r>
      <w:r>
        <w:rPr/>
        <w:t xml:space="preserve"> nicht ins Dorf! </w:t>
      </w:r>
      <w:r>
        <w:rPr>
          <w:rStyle w:val="Funotenanker"/>
        </w:rPr>
        <w:footnoteReference w:customMarkFollows="1" w:id="1888"/>
        <w:t>an</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889"/>
        <w:t>ao</w:t>
      </w:r>
      <w:r>
        <w:rPr/>
        <w:t xml:space="preserve">; und auf dem Weg befragte er seine Jünger </w:t>
      </w:r>
      <w:r>
        <w:rPr>
          <w:strike/>
          <w:color w:val="808080"/>
        </w:rPr>
        <w:t>{und sagte zu ihnen}</w:t>
      </w:r>
      <w:r>
        <w:rPr/>
        <w:t xml:space="preserve"> </w:t>
      </w:r>
      <w:r>
        <w:rPr>
          <w:rStyle w:val="Funotenanker"/>
        </w:rPr>
        <w:footnoteReference w:customMarkFollows="1" w:id="1890"/>
        <w:t>ap</w:t>
      </w:r>
      <w:r>
        <w:rPr/>
        <w:t xml:space="preserve">: „Für wen halten mich die Leute?“ </w:t>
      </w:r>
      <w:r>
        <w:rPr>
          <w:rStyle w:val="Funotenanker"/>
        </w:rPr>
        <w:footnoteReference w:customMarkFollows="1" w:id="1891"/>
        <w:t>aq</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892"/>
        <w:t>ar</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893"/>
        <w:t>as</w:t>
      </w:r>
      <w:r>
        <w:rPr/>
        <w:t xml:space="preserve"> Und </w:t>
      </w:r>
      <w:r>
        <w:rPr>
          <w:strike/>
          <w:color w:val="808080"/>
        </w:rPr>
        <w:t>{antwortend}</w:t>
      </w:r>
      <w:r>
        <w:rPr/>
        <w:t xml:space="preserve"> </w:t>
      </w:r>
      <w:r>
        <w:rPr>
          <w:rStyle w:val="Funotenanker"/>
        </w:rPr>
        <w:footnoteReference w:customMarkFollows="1" w:id="1894"/>
        <w:t>at</w:t>
      </w:r>
      <w:r>
        <w:rPr/>
        <w:t xml:space="preserve"> sagte Petrus zu ihm: „Du bist der Messias </w:t>
      </w:r>
      <w:r>
        <w:rPr>
          <w:color w:val="808080"/>
        </w:rPr>
        <w:t>(Gesalbte; Christus)</w:t>
      </w:r>
      <w:r>
        <w:rPr/>
        <w:t xml:space="preserve">!“ </w:t>
      </w:r>
      <w:r>
        <w:rPr>
          <w:rStyle w:val="Funotenanker"/>
        </w:rPr>
        <w:footnoteReference w:customMarkFollows="1" w:id="1895"/>
        <w:t>au</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896"/>
        <w:t>av</w:t>
      </w:r>
      <w:r>
        <w:rPr/>
        <w:t xml:space="preserve"> viel leiden, und von den Ältesten und den obersten </w:t>
      </w:r>
      <w:r>
        <w:rPr>
          <w:color w:val="808080"/>
        </w:rPr>
        <w:t>(führenden, Hohen)</w:t>
      </w:r>
      <w:r>
        <w:rPr/>
        <w:t xml:space="preserve"> Priestern </w:t>
      </w:r>
      <w:r>
        <w:rPr>
          <w:rStyle w:val="Funotenanker"/>
        </w:rPr>
        <w:footnoteReference w:customMarkFollows="1" w:id="1897"/>
        <w:t>aw</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898"/>
        <w:t>ax</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899"/>
        <w:t>ay</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900"/>
        <w:t>az</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901"/>
        <w:t>ba</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902"/>
        <w:t>bb</w:t>
      </w:r>
      <w:r>
        <w:rPr/>
        <w:t xml:space="preserve">, Satan </w:t>
      </w:r>
      <w:r>
        <w:rPr>
          <w:color w:val="808080"/>
        </w:rPr>
        <w:t>(Widersacher)</w:t>
      </w:r>
      <w:r>
        <w:rPr/>
        <w:t xml:space="preserve"> </w:t>
      </w:r>
      <w:r>
        <w:rPr>
          <w:rStyle w:val="Funotenanker"/>
        </w:rPr>
        <w:footnoteReference w:customMarkFollows="1" w:id="1903"/>
        <w:t>bc</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904"/>
        <w:t>bd</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905"/>
        <w:t>be</w:t>
      </w:r>
      <w:r>
        <w:rPr/>
        <w:t xml:space="preserve"> sagte zu ihnen: „Wenn jemand mir nachfolgen </w:t>
      </w:r>
      <w:r>
        <w:rPr>
          <w:rStyle w:val="Funotenanker"/>
        </w:rPr>
        <w:footnoteReference w:customMarkFollows="1" w:id="1906"/>
        <w:t>bf</w:t>
      </w:r>
      <w:r>
        <w:rPr/>
        <w:t xml:space="preserve"> will, dann muss </w:t>
      </w:r>
      <w:r>
        <w:rPr>
          <w:color w:val="808080"/>
        </w:rPr>
        <w:t>(soll)</w:t>
      </w:r>
      <w:r>
        <w:rPr/>
        <w:t xml:space="preserve"> </w:t>
      </w:r>
      <w:r>
        <w:rPr>
          <w:rStyle w:val="Funotenanker"/>
        </w:rPr>
        <w:footnoteReference w:customMarkFollows="1" w:id="1907"/>
        <w:t>bg</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908"/>
        <w:t>bh</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909"/>
        <w:t>bi</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910"/>
        <w:t>bj</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911"/>
        <w:t>bk</w:t>
      </w:r>
      <w:r>
        <w:rPr/>
        <w:t xml:space="preserve"> über </w:t>
      </w:r>
      <w:r>
        <w:rPr>
          <w:color w:val="808080"/>
        </w:rPr>
        <w:t>(wegen)</w:t>
      </w:r>
      <w:r>
        <w:rPr/>
        <w:t xml:space="preserve"> mich und meine Worte schämt, </w:t>
      </w:r>
      <w:r>
        <w:rPr>
          <w:rStyle w:val="Funotenanker"/>
        </w:rPr>
        <w:footnoteReference w:customMarkFollows="1" w:id="1912"/>
        <w:t>bl</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913"/>
        <w:t>Status</w:t>
      </w:r>
      <w:r>
        <w:rPr/>
        <w:t xml:space="preserve"> Und weiter </w:t>
      </w:r>
      <w:r>
        <w:rPr>
          <w:rStyle w:val="Funotenanker"/>
        </w:rPr>
        <w:footnoteReference w:customMarkFollows="1" w:id="1914"/>
        <w:t>a</w:t>
      </w:r>
      <w:r>
        <w:rPr/>
        <w:t xml:space="preserve"> sagte er zu ihnen: „Amen </w:t>
      </w:r>
      <w:r>
        <w:rPr>
          <w:color w:val="808080"/>
        </w:rPr>
        <w:t>(Wahrlich, Ja)</w:t>
      </w:r>
      <w:r>
        <w:rPr/>
        <w:t xml:space="preserve">, ich sage euch: </w:t>
      </w:r>
      <w:r>
        <w:rPr>
          <w:rStyle w:val="Funotenanker"/>
        </w:rPr>
        <w:footnoteReference w:customMarkFollows="1" w:id="1915"/>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916"/>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917"/>
        <w:t>d</w:t>
      </w:r>
      <w:r>
        <w:rPr/>
        <w:t xml:space="preserve"> mit Macht </w:t>
      </w:r>
      <w:r>
        <w:rPr>
          <w:color w:val="808080"/>
        </w:rPr>
        <w:t>(Kraft)</w:t>
      </w:r>
      <w:r>
        <w:rPr/>
        <w:t xml:space="preserve"> gekommen ist. </w:t>
      </w:r>
      <w:r>
        <w:rPr>
          <w:rStyle w:val="Funotenanker"/>
        </w:rPr>
        <w:footnoteReference w:customMarkFollows="1" w:id="1918"/>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und führte sie </w:t>
      </w:r>
      <w:r>
        <w:rPr>
          <w:rStyle w:val="Funotenanker"/>
        </w:rPr>
        <w:footnoteReference w:customMarkFollows="1" w:id="1919"/>
        <w:t>f</w:t>
      </w:r>
      <w:r>
        <w:rPr/>
        <w:t xml:space="preserve"> für sich, allein, </w:t>
      </w:r>
      <w:r>
        <w:rPr>
          <w:rStyle w:val="Funotenanker"/>
        </w:rPr>
        <w:footnoteReference w:customMarkFollows="1" w:id="1920"/>
        <w:t>g</w:t>
      </w:r>
      <w:r>
        <w:rPr/>
        <w:t xml:space="preserve"> auf einen hohen Berg, und er wurde vor ihnen </w:t>
      </w:r>
      <w:r>
        <w:rPr>
          <w:color w:val="808080"/>
        </w:rPr>
        <w:t>(vor ihren Augen)</w:t>
      </w:r>
      <w:r>
        <w:rPr/>
        <w:t xml:space="preserve"> </w:t>
      </w:r>
      <w:r>
        <w:rPr>
          <w:rStyle w:val="Funotenanker"/>
        </w:rPr>
        <w:footnoteReference w:customMarkFollows="1" w:id="1921"/>
        <w:t>h</w:t>
      </w:r>
      <w:r>
        <w:rPr/>
        <w:t xml:space="preserve"> verwandelt </w:t>
      </w:r>
      <w:r>
        <w:rPr>
          <w:color w:val="808080"/>
        </w:rPr>
        <w:t>(verwandelte sich)</w:t>
      </w:r>
      <w:r>
        <w:rPr/>
        <w:t xml:space="preserve">: </w:t>
      </w:r>
      <w:r>
        <w:rPr>
          <w:rStyle w:val="Funotenanker"/>
        </w:rPr>
        <w:footnoteReference w:customMarkFollows="1" w:id="1922"/>
        <w:t>i</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923"/>
        <w:t>j</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924"/>
        <w:t>k</w:t>
      </w:r>
      <w:r>
        <w:rPr/>
        <w:t xml:space="preserve"> , wie sie kein Walker</w:t>
      </w:r>
      <w:r>
        <w:rPr>
          <w:rStyle w:val="Funotenanker"/>
        </w:rPr>
        <w:footnoteReference w:customMarkFollows="1" w:id="1925"/>
        <w:t>l</w:t>
      </w:r>
      <w:r>
        <w:rPr/>
        <w:t xml:space="preserve"> auf der </w:t>
      </w:r>
      <w:r>
        <w:rPr>
          <w:b/>
          <w:color w:val="808080"/>
        </w:rPr>
        <w:t>[</w:t>
      </w:r>
      <w:r>
        <w:rPr/>
        <w:t>ganzen</w:t>
      </w:r>
      <w:r>
        <w:rPr>
          <w:b/>
          <w:color w:val="808080"/>
        </w:rPr>
        <w:t>]</w:t>
      </w:r>
      <w:r>
        <w:rPr/>
        <w:t xml:space="preserve"> Erde </w:t>
      </w:r>
      <w:r>
        <w:rPr>
          <w:rStyle w:val="Funotenanker"/>
        </w:rPr>
        <w:footnoteReference w:customMarkFollows="1" w:id="1926"/>
        <w:t>m</w:t>
      </w:r>
      <w:r>
        <w:rPr/>
        <w:t xml:space="preserve"> </w:t>
      </w:r>
      <w:r>
        <w:rPr>
          <w:strike/>
          <w:color w:val="808080"/>
        </w:rPr>
        <w:t>{derart}</w:t>
      </w:r>
      <w:r>
        <w:rPr/>
        <w:t xml:space="preserve"> </w:t>
      </w:r>
      <w:r>
        <w:rPr>
          <w:rStyle w:val="Funotenanker"/>
        </w:rPr>
        <w:footnoteReference w:customMarkFollows="1" w:id="1927"/>
        <w:t>n</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928"/>
        <w:t>o</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929"/>
        <w:t>p</w:t>
      </w:r>
      <w:r>
        <w:rPr/>
        <w:t xml:space="preserve"> sprach Petrus zu Jesus: „Meister </w:t>
      </w:r>
      <w:r>
        <w:rPr>
          <w:color w:val="808080"/>
        </w:rPr>
        <w:t>(Rabbi)</w:t>
      </w:r>
      <w:r>
        <w:rPr/>
        <w:t xml:space="preserve"> </w:t>
      </w:r>
      <w:r>
        <w:rPr>
          <w:rStyle w:val="Funotenanker"/>
        </w:rPr>
        <w:footnoteReference w:customMarkFollows="1" w:id="1930"/>
        <w:t>q</w:t>
      </w:r>
      <w:r>
        <w:rPr/>
        <w:t xml:space="preserve"> , es ist gut, dass wir hier sind! Und lass uns </w:t>
      </w:r>
      <w:r>
        <w:rPr>
          <w:color w:val="808080"/>
        </w:rPr>
        <w:t>(so lass uns denn)</w:t>
      </w:r>
      <w:r>
        <w:rPr/>
        <w:t xml:space="preserve"> </w:t>
      </w:r>
      <w:r>
        <w:rPr>
          <w:rStyle w:val="Funotenanker"/>
        </w:rPr>
        <w:footnoteReference w:customMarkFollows="1" w:id="1931"/>
        <w:t>r</w:t>
      </w:r>
      <w:r>
        <w:rPr/>
        <w:t xml:space="preserve"> drei Hütten </w:t>
      </w:r>
      <w:r>
        <w:rPr>
          <w:color w:val="808080"/>
        </w:rPr>
        <w:t>(Zelte)</w:t>
      </w:r>
      <w:r>
        <w:rPr/>
        <w:t xml:space="preserve"> bauen - dir eine, Mose eine und Elija eine!“ </w:t>
      </w:r>
      <w:r>
        <w:rPr>
          <w:rStyle w:val="Funotenanker"/>
        </w:rPr>
        <w:footnoteReference w:customMarkFollows="1" w:id="1932"/>
        <w:t>s</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933"/>
        <w:t>t</w:t>
      </w:r>
      <w:r>
        <w:rPr/>
        <w:t xml:space="preserve"> sie </w:t>
      </w:r>
      <w:r>
        <w:rPr>
          <w:rStyle w:val="Funotenanker"/>
        </w:rPr>
        <w:footnoteReference w:customMarkFollows="1" w:id="1934"/>
        <w:t>u</w:t>
      </w:r>
      <w:r>
        <w:rPr/>
        <w:t xml:space="preserve"> ein, und eine Stimme kam aus der Wolke: „Dies ist mein geliebter </w:t>
      </w:r>
      <w:r>
        <w:rPr>
          <w:color w:val="808080"/>
        </w:rPr>
        <w:t>(einziger)</w:t>
      </w:r>
      <w:r>
        <w:rPr/>
        <w:t xml:space="preserve"> </w:t>
      </w:r>
      <w:r>
        <w:rPr>
          <w:rStyle w:val="Funotenanker"/>
        </w:rPr>
        <w:footnoteReference w:customMarkFollows="1" w:id="1935"/>
        <w:t>v</w:t>
      </w:r>
      <w:r>
        <w:rPr/>
        <w:t xml:space="preserve"> Sohn, </w:t>
      </w:r>
      <w:r>
        <w:rPr>
          <w:b/>
          <w:color w:val="808080"/>
        </w:rPr>
        <w:t>[</w:t>
      </w:r>
      <w:r>
        <w:rPr/>
        <w:t>darum</w:t>
      </w:r>
      <w:r>
        <w:rPr>
          <w:b/>
          <w:color w:val="808080"/>
        </w:rPr>
        <w:t>]</w:t>
      </w:r>
      <w:r>
        <w:rPr/>
        <w:t xml:space="preserve"> </w:t>
      </w:r>
      <w:r>
        <w:rPr>
          <w:rStyle w:val="Funotenanker"/>
        </w:rPr>
        <w:footnoteReference w:customMarkFollows="1" w:id="1936"/>
        <w:t>w</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937"/>
        <w:t>x</w:t>
      </w:r>
      <w:r>
        <w:rPr/>
        <w:t xml:space="preserve"> mehr bei sich </w:t>
      </w:r>
      <w:r>
        <w:rPr>
          <w:rStyle w:val="Funotenanker"/>
        </w:rPr>
        <w:footnoteReference w:customMarkFollows="1" w:id="1938"/>
        <w:t>y</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939"/>
        <w:t>z</w:t>
      </w:r>
      <w:r>
        <w:rPr/>
        <w:t xml:space="preserve"> Berg herabstiegen, befahl er ihnen </w:t>
      </w:r>
      <w:r>
        <w:rPr>
          <w:strike/>
          <w:color w:val="808080"/>
        </w:rPr>
        <w:t>{damit}</w:t>
      </w:r>
      <w:r>
        <w:rPr/>
        <w:t xml:space="preserve">, </w:t>
      </w:r>
      <w:r>
        <w:rPr>
          <w:rStyle w:val="Funotenanker"/>
        </w:rPr>
        <w:footnoteReference w:customMarkFollows="1" w:id="1940"/>
        <w:t>aa</w:t>
      </w:r>
      <w:r>
        <w:rPr/>
        <w:t xml:space="preserve"> niemandem zu erzählen, was sie gesehen hatten - erst </w:t>
      </w:r>
      <w:r>
        <w:rPr>
          <w:color w:val="808080"/>
        </w:rPr>
        <w:t>(außer)</w:t>
      </w:r>
      <w:r>
        <w:rPr/>
        <w:t xml:space="preserve"> </w:t>
      </w:r>
      <w:r>
        <w:rPr>
          <w:rStyle w:val="Funotenanker"/>
        </w:rPr>
        <w:footnoteReference w:customMarkFollows="1" w:id="1941"/>
        <w:t>ab</w:t>
      </w:r>
      <w:r>
        <w:rPr/>
        <w:t xml:space="preserve"> , wenn der Menschensohn </w:t>
      </w:r>
      <w:r>
        <w:rPr>
          <w:rStyle w:val="Funotenanker"/>
        </w:rPr>
        <w:footnoteReference w:customMarkFollows="1" w:id="1942"/>
        <w:t>ac</w:t>
      </w:r>
      <w:r>
        <w:rPr/>
        <w:t xml:space="preserve"> von den Toten </w:t>
      </w:r>
      <w:r>
        <w:rPr>
          <w:rStyle w:val="Funotenanker"/>
        </w:rPr>
        <w:footnoteReference w:customMarkFollows="1" w:id="1943"/>
        <w:t>ad</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944"/>
        <w:t>ae</w:t>
      </w:r>
      <w:r>
        <w:rPr/>
        <w:t xml:space="preserve"> aber, was dies sei - „von den Toten Auferstehen“. </w:t>
      </w:r>
      <w:r>
        <w:rPr>
          <w:rStyle w:val="Funotenanker"/>
        </w:rPr>
        <w:footnoteReference w:customMarkFollows="1" w:id="1945"/>
        <w:t>af</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946"/>
        <w:t>ag</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947"/>
        <w:t>ah</w:t>
      </w:r>
      <w:r>
        <w:rPr/>
        <w:t xml:space="preserve"> kommt </w:t>
      </w:r>
      <w:r>
        <w:rPr>
          <w:rStyle w:val="Funotenanker"/>
        </w:rPr>
        <w:footnoteReference w:customMarkFollows="1" w:id="1948"/>
        <w:t>ai</w:t>
      </w:r>
      <w:r>
        <w:rPr/>
        <w:t xml:space="preserve"> Elija zuerst und stellt alles wieder her. </w:t>
      </w:r>
      <w:r>
        <w:rPr>
          <w:rStyle w:val="Funotenanker"/>
        </w:rPr>
        <w:footnoteReference w:customMarkFollows="1" w:id="1949"/>
        <w:t>aj</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950"/>
        <w:t>ak</w:t>
      </w:r>
      <w:r>
        <w:rPr/>
        <w:t xml:space="preserve"> Elija ist auch </w:t>
      </w:r>
      <w:r>
        <w:rPr>
          <w:color w:val="808080"/>
        </w:rPr>
        <w:t>(sogar)</w:t>
      </w:r>
      <w:r>
        <w:rPr/>
        <w:t xml:space="preserve"> </w:t>
      </w:r>
      <w:r>
        <w:rPr>
          <w:rStyle w:val="Funotenanker"/>
        </w:rPr>
        <w:footnoteReference w:customMarkFollows="1" w:id="1951"/>
        <w:t>al</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952"/>
        <w:t>am</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953"/>
        <w:t>an</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954"/>
        <w:t>ao</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955"/>
        <w:t>ap</w:t>
      </w:r>
      <w:r>
        <w:rPr/>
        <w:t xml:space="preserve"> aus </w:t>
      </w:r>
      <w:r>
        <w:rPr>
          <w:color w:val="808080"/>
        </w:rPr>
        <w:t>(aus heraus)</w:t>
      </w:r>
      <w:r>
        <w:rPr/>
        <w:t xml:space="preserve"> </w:t>
      </w:r>
      <w:r>
        <w:rPr>
          <w:rStyle w:val="Funotenanker"/>
        </w:rPr>
        <w:footnoteReference w:customMarkFollows="1" w:id="1956"/>
        <w:t>aq</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957"/>
        <w:t>ar</w:t>
      </w:r>
      <w:r>
        <w:rPr/>
        <w:t xml:space="preserve"> weil </w:t>
      </w:r>
      <w:r>
        <w:rPr>
          <w:rStyle w:val="Funotenanker"/>
        </w:rPr>
        <w:footnoteReference w:customMarkFollows="1" w:id="1958"/>
        <w:t>as</w:t>
      </w:r>
      <w:r>
        <w:rPr/>
        <w:t xml:space="preserve"> er einen stummen Geist </w:t>
      </w:r>
      <w:r>
        <w:rPr>
          <w:color w:val="808080"/>
        </w:rPr>
        <w:t>(einen Geist, der ihn stumm macht)</w:t>
      </w:r>
      <w:r>
        <w:rPr/>
        <w:t xml:space="preserve"> </w:t>
      </w:r>
      <w:r>
        <w:rPr>
          <w:rStyle w:val="Funotenanker"/>
        </w:rPr>
        <w:footnoteReference w:customMarkFollows="1" w:id="1959"/>
        <w:t>at</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960"/>
        <w:t>au</w:t>
      </w:r>
      <w:r>
        <w:rPr/>
        <w:t xml:space="preserve"> er ihn anfällt </w:t>
      </w:r>
      <w:r>
        <w:rPr>
          <w:color w:val="808080"/>
        </w:rPr>
        <w:t>(packt)</w:t>
      </w:r>
      <w:r>
        <w:rPr/>
        <w:t xml:space="preserve">, </w:t>
      </w:r>
      <w:r>
        <w:rPr>
          <w:rStyle w:val="Funotenanker"/>
        </w:rPr>
        <w:footnoteReference w:customMarkFollows="1" w:id="1961"/>
        <w:t>av</w:t>
      </w:r>
      <w:r>
        <w:rPr/>
        <w:t xml:space="preserve"> zerrt er ihn hin und her </w:t>
      </w:r>
      <w:r>
        <w:rPr>
          <w:color w:val="808080"/>
        </w:rPr>
        <w:t>(wirft er ihn zu Boden)</w:t>
      </w:r>
      <w:r>
        <w:rPr/>
        <w:t xml:space="preserve"> </w:t>
      </w:r>
      <w:r>
        <w:rPr>
          <w:rStyle w:val="Funotenanker"/>
        </w:rPr>
        <w:footnoteReference w:customMarkFollows="1" w:id="1962"/>
        <w:t>aw</w:t>
      </w:r>
      <w:r>
        <w:rPr/>
        <w:t xml:space="preserve"> und ihm tritt Schaum vor den Mund </w:t>
      </w:r>
      <w:r>
        <w:rPr>
          <w:color w:val="808080"/>
        </w:rPr>
        <w:t>(er schäumt)</w:t>
      </w:r>
      <w:r>
        <w:rPr/>
        <w:t xml:space="preserve"> </w:t>
      </w:r>
      <w:r>
        <w:rPr>
          <w:rStyle w:val="Funotenanker"/>
        </w:rPr>
        <w:footnoteReference w:customMarkFollows="1" w:id="1963"/>
        <w:t>ax</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964"/>
        <w:t>ay</w:t>
      </w:r>
      <w:r>
        <w:rPr/>
        <w:t xml:space="preserve"> sie konnten es nicht </w:t>
      </w:r>
      <w:r>
        <w:rPr>
          <w:color w:val="808080"/>
        </w:rPr>
        <w:t>(sie waren zu schwach dafür)</w:t>
      </w:r>
      <w:r>
        <w:rPr/>
        <w:t xml:space="preserve">. </w:t>
      </w:r>
      <w:r>
        <w:rPr>
          <w:rStyle w:val="Funotenanker"/>
        </w:rPr>
        <w:footnoteReference w:customMarkFollows="1" w:id="1965"/>
        <w:t>az</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966"/>
        <w:t>ba</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967"/>
        <w:t>bb</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968"/>
        <w:t>bc</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969"/>
        <w:t>bd</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970"/>
        <w:t>be</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971"/>
        <w:t>bf</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972"/>
        <w:t>bg</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973"/>
        <w:t>bh</w:t>
      </w:r>
      <w:r>
        <w:rPr/>
        <w:t xml:space="preserve"> wenn du etwas vermagst </w:t>
      </w:r>
      <w:r>
        <w:rPr>
          <w:color w:val="808080"/>
        </w:rPr>
        <w:t>(wenn etwas in deiner Macht steht)</w:t>
      </w:r>
      <w:r>
        <w:rPr/>
        <w:t xml:space="preserve">, </w:t>
      </w:r>
      <w:r>
        <w:rPr>
          <w:rStyle w:val="Funotenanker"/>
        </w:rPr>
        <w:footnoteReference w:customMarkFollows="1" w:id="1974"/>
        <w:t>bi</w:t>
      </w:r>
      <w:r>
        <w:rPr/>
        <w:t xml:space="preserve"> dann hilf uns und hab Mitleid mit uns </w:t>
      </w:r>
      <w:r>
        <w:rPr>
          <w:color w:val="808080"/>
        </w:rPr>
        <w:t>(erbarme dich unser)</w:t>
      </w:r>
      <w:r>
        <w:rPr/>
        <w:t xml:space="preserve">! </w:t>
      </w:r>
      <w:r>
        <w:rPr>
          <w:rStyle w:val="Funotenanker"/>
        </w:rPr>
        <w:footnoteReference w:customMarkFollows="1" w:id="1975"/>
        <w:t>bj</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976"/>
        <w:t>bk</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977"/>
        <w:t>bl</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978"/>
        <w:t>bm</w:t>
      </w:r>
      <w:r>
        <w:rPr/>
        <w:t xml:space="preserve"> schrie </w:t>
      </w:r>
      <w:r>
        <w:rPr>
          <w:color w:val="808080"/>
        </w:rPr>
        <w:t>(schluchzte)</w:t>
      </w:r>
      <w:r>
        <w:rPr/>
        <w:t xml:space="preserve"> </w:t>
      </w:r>
      <w:r>
        <w:rPr>
          <w:rStyle w:val="Funotenanker"/>
        </w:rPr>
        <w:footnoteReference w:customMarkFollows="1" w:id="1979"/>
        <w:t>bn</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980"/>
        <w:t>bo</w:t>
      </w:r>
      <w:r>
        <w:rPr/>
        <w:t xml:space="preserve">, </w:t>
      </w:r>
      <w:r>
        <w:rPr>
          <w:rStyle w:val="Funotenanker"/>
        </w:rPr>
        <w:footnoteReference w:customMarkFollows="1" w:id="1981"/>
        <w:t>bp</w:t>
      </w:r>
      <w:r>
        <w:rPr/>
        <w:t xml:space="preserve"> gebot er dem unreinen Geist </w:t>
      </w:r>
      <w:r>
        <w:rPr>
          <w:strike/>
          <w:color w:val="808080"/>
        </w:rPr>
        <w:t>{und sagte zu ihm}</w:t>
      </w:r>
      <w:r>
        <w:rPr/>
        <w:t xml:space="preserve">: „Du stummer und tauber Geist, </w:t>
      </w:r>
      <w:r>
        <w:rPr>
          <w:rStyle w:val="Funotenanker"/>
        </w:rPr>
        <w:footnoteReference w:customMarkFollows="1" w:id="1982"/>
        <w:t>bq</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983"/>
        <w:t>br</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984"/>
        <w:t>bs</w:t>
      </w:r>
      <w:r>
        <w:rPr/>
        <w:t xml:space="preserve"> wie tot, daher </w:t>
      </w:r>
      <w:r>
        <w:rPr>
          <w:color w:val="808080"/>
        </w:rPr>
        <w:t>(sodass)</w:t>
      </w:r>
      <w:r>
        <w:rPr/>
        <w:t xml:space="preserve"> </w:t>
      </w:r>
      <w:r>
        <w:rPr>
          <w:rStyle w:val="Funotenanker"/>
        </w:rPr>
        <w:footnoteReference w:customMarkFollows="1" w:id="1985"/>
        <w:t>bt</w:t>
      </w:r>
      <w:r>
        <w:rPr/>
        <w:t xml:space="preserve"> die Meisten </w:t>
      </w:r>
      <w:r>
        <w:rPr>
          <w:color w:val="808080"/>
        </w:rPr>
        <w:t>(die Menge)</w:t>
      </w:r>
      <w:r>
        <w:rPr/>
        <w:t xml:space="preserve"> </w:t>
      </w:r>
      <w:r>
        <w:rPr>
          <w:rStyle w:val="Funotenanker"/>
        </w:rPr>
        <w:footnoteReference w:customMarkFollows="1" w:id="1986"/>
        <w:t>bu</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987"/>
        <w:t>bv</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988"/>
        <w:t>bw</w:t>
      </w:r>
      <w:r>
        <w:rPr/>
        <w:t xml:space="preserve"> „Dass wir ihn nicht austreiben konnten </w:t>
      </w:r>
      <w:r>
        <w:rPr>
          <w:color w:val="808080"/>
        </w:rPr>
        <w:t>(Warum konnten wir ihn nicht austreiben)</w:t>
      </w:r>
      <w:r>
        <w:rPr/>
        <w:t xml:space="preserve">?“ </w:t>
      </w:r>
      <w:r>
        <w:rPr>
          <w:rStyle w:val="Funotenanker"/>
        </w:rPr>
        <w:footnoteReference w:customMarkFollows="1" w:id="1989"/>
        <w:t>bx</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990"/>
        <w:t>by</w:t>
      </w:r>
      <w:r>
        <w:rPr/>
        <w:t xml:space="preserve"> außer durch Gebet.“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991"/>
        <w:t>bz</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992"/>
        <w:t>ca</w:t>
      </w:r>
      <w:r>
        <w:rPr/>
        <w:t xml:space="preserve"> seine Jünger und sagte zu ihnen: „Der Menschensohn ist in die Hände der Menschen </w:t>
      </w:r>
      <w:r>
        <w:rPr>
          <w:rStyle w:val="Funotenanker"/>
        </w:rPr>
        <w:footnoteReference w:customMarkFollows="1" w:id="1993"/>
        <w:t>cb</w:t>
      </w:r>
      <w:r>
        <w:rPr/>
        <w:t xml:space="preserve"> ausgeliefert </w:t>
      </w:r>
      <w:r>
        <w:rPr>
          <w:color w:val="808080"/>
        </w:rPr>
        <w:t>(wird ausgeliefert werden)</w:t>
      </w:r>
      <w:r>
        <w:rPr/>
        <w:t xml:space="preserve">, </w:t>
      </w:r>
      <w:r>
        <w:rPr>
          <w:rStyle w:val="Funotenanker"/>
        </w:rPr>
        <w:footnoteReference w:customMarkFollows="1" w:id="1994"/>
        <w:t>cc</w:t>
      </w:r>
      <w:r>
        <w:rPr/>
        <w:t xml:space="preserve"> und sie werden ihn töten, und nachdem </w:t>
      </w:r>
      <w:r>
        <w:rPr>
          <w:color w:val="808080"/>
        </w:rPr>
        <w:t>(obwohl)</w:t>
      </w:r>
      <w:r>
        <w:rPr/>
        <w:t xml:space="preserve"> </w:t>
      </w:r>
      <w:r>
        <w:rPr>
          <w:rStyle w:val="Funotenanker"/>
        </w:rPr>
        <w:footnoteReference w:customMarkFollows="1" w:id="1995"/>
        <w:t>cd</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996"/>
        <w:t>ce</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997"/>
        <w:t>cf</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998"/>
        <w:t>cg</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999"/>
        <w:t>ch</w:t>
      </w:r>
      <w:r>
        <w:rPr/>
        <w:t xml:space="preserve"> „Wenn jemand der Erste sein will, wird </w:t>
      </w:r>
      <w:r>
        <w:rPr>
          <w:color w:val="808080"/>
        </w:rPr>
        <w:t>(muss)</w:t>
      </w:r>
      <w:r>
        <w:rPr/>
        <w:t xml:space="preserve"> </w:t>
      </w:r>
      <w:r>
        <w:rPr>
          <w:rStyle w:val="Funotenanker"/>
        </w:rPr>
        <w:footnoteReference w:customMarkFollows="1" w:id="2000"/>
        <w:t>ci</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2001"/>
        <w:t>cj</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2002"/>
        <w:t>ck</w:t>
      </w:r>
      <w:r>
        <w:rPr/>
        <w:t xml:space="preserve"> aufnimmt, nimmt mich auf, und wer mich aufnimmt, nimmt nicht mich auf, sondern </w:t>
      </w:r>
      <w:r>
        <w:rPr>
          <w:color w:val="808080"/>
        </w:rPr>
        <w:t>(vielmehr)</w:t>
      </w:r>
      <w:r>
        <w:rPr/>
        <w:t xml:space="preserve"> </w:t>
      </w:r>
      <w:r>
        <w:rPr>
          <w:rStyle w:val="Funotenanker"/>
        </w:rPr>
        <w:footnoteReference w:customMarkFollows="1" w:id="2003"/>
        <w:t>cl</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2004"/>
        <w:t>cm</w:t>
      </w:r>
      <w:r>
        <w:rPr/>
        <w:t xml:space="preserve"> Wir hinderten ihn daran </w:t>
      </w:r>
      <w:r>
        <w:rPr>
          <w:color w:val="808080"/>
        </w:rPr>
        <w:t>(haben versucht, ihn daran hindern)</w:t>
      </w:r>
      <w:r>
        <w:rPr/>
        <w:t xml:space="preserve">, </w:t>
      </w:r>
      <w:r>
        <w:rPr>
          <w:rStyle w:val="Funotenanker"/>
        </w:rPr>
        <w:footnoteReference w:customMarkFollows="1" w:id="2005"/>
        <w:t>cn</w:t>
      </w:r>
      <w:r>
        <w:rPr/>
        <w:t xml:space="preserve"> weil er uns nicht folgt </w:t>
      </w:r>
      <w:r>
        <w:rPr>
          <w:color w:val="808080"/>
        </w:rPr>
        <w:t>(nicht zu uns gehört)</w:t>
      </w:r>
      <w:r>
        <w:rPr/>
        <w:t xml:space="preserve">. </w:t>
      </w:r>
      <w:r>
        <w:rPr>
          <w:rStyle w:val="Funotenanker"/>
        </w:rPr>
        <w:footnoteReference w:customMarkFollows="1" w:id="2006"/>
        <w:t>co</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2007"/>
        <w:t>cp</w:t>
      </w:r>
      <w:r>
        <w:rPr/>
        <w:t xml:space="preserve"> wirkt und schnell </w:t>
      </w:r>
      <w:r>
        <w:rPr>
          <w:rStyle w:val="Funotenanker"/>
        </w:rPr>
        <w:footnoteReference w:customMarkFollows="1" w:id="2008"/>
        <w:t>cq</w:t>
      </w:r>
      <w:r>
        <w:rPr/>
        <w:t xml:space="preserve"> schlecht von mir zu sprechen vermag </w:t>
      </w:r>
      <w:r>
        <w:rPr>
          <w:color w:val="808080"/>
        </w:rPr>
        <w:t>(von mir sprechen kann)</w:t>
      </w:r>
      <w:r>
        <w:rPr/>
        <w:t xml:space="preserve">. </w:t>
      </w:r>
      <w:r>
        <w:rPr>
          <w:rStyle w:val="Funotenanker"/>
        </w:rPr>
        <w:footnoteReference w:customMarkFollows="1" w:id="2009"/>
        <w:t>cr</w:t>
      </w:r>
      <w:r>
        <w:rPr/>
        <w:t xml:space="preserve"> {{field-off:bible}} </w:t>
        <w:br/>
        <w:t>[[@BibleTOBIBLE:Mk 9:40]]</w:t>
      </w:r>
      <w:r>
        <w:rPr>
          <w:b/>
        </w:rPr>
        <w:t>40</w:t>
      </w:r>
      <w:r>
        <w:rPr/>
        <w:t xml:space="preserve"> {{field-on:bible}}Denn wer nicht gegen uns ist, ist für uns </w:t>
      </w:r>
      <w:r>
        <w:rPr>
          <w:rStyle w:val="Funotenanker"/>
        </w:rPr>
        <w:footnoteReference w:customMarkFollows="1" w:id="2010"/>
        <w:t>cs</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2011"/>
        <w:t>ct</w:t>
      </w:r>
      <w:r>
        <w:rPr/>
        <w:t xml:space="preserve"> „</w:t>
      </w:r>
      <w:r>
        <w:rPr>
          <w:strike/>
          <w:color w:val="808080"/>
        </w:rPr>
        <w:t>{Denn}</w:t>
      </w:r>
      <w:r>
        <w:rPr/>
        <w:t xml:space="preserve"> </w:t>
      </w:r>
      <w:r>
        <w:rPr>
          <w:rStyle w:val="Funotenanker"/>
        </w:rPr>
        <w:footnoteReference w:customMarkFollows="1" w:id="2012"/>
        <w:t>cu</w:t>
      </w:r>
      <w:r>
        <w:rPr/>
        <w:t xml:space="preserve"> Wer euch </w:t>
      </w:r>
      <w:r>
        <w:rPr>
          <w:b/>
          <w:color w:val="808080"/>
        </w:rPr>
        <w:t>[</w:t>
      </w:r>
      <w:r>
        <w:rPr/>
        <w:t>auch nur</w:t>
      </w:r>
      <w:r>
        <w:rPr>
          <w:b/>
          <w:color w:val="808080"/>
        </w:rPr>
        <w:t>]</w:t>
      </w:r>
      <w:r>
        <w:rPr/>
        <w:t xml:space="preserve"> </w:t>
      </w:r>
      <w:r>
        <w:rPr>
          <w:rStyle w:val="Funotenanker"/>
        </w:rPr>
        <w:footnoteReference w:customMarkFollows="1" w:id="2013"/>
        <w:t>cv</w:t>
      </w:r>
      <w:r>
        <w:rPr/>
        <w:t xml:space="preserve"> einen Becher Wasser zu trinken gibt, </w:t>
      </w:r>
      <w:r>
        <w:rPr>
          <w:rStyle w:val="Funotenanker"/>
        </w:rPr>
        <w:footnoteReference w:customMarkFollows="1" w:id="2014"/>
        <w:t>cw</w:t>
      </w:r>
      <w:r>
        <w:rPr/>
        <w:t xml:space="preserve"> weil </w:t>
      </w:r>
      <w:r>
        <w:rPr>
          <w:color w:val="808080"/>
        </w:rPr>
        <w:t>(im Namen, dass)</w:t>
      </w:r>
      <w:r>
        <w:rPr/>
        <w:t xml:space="preserve"> </w:t>
      </w:r>
      <w:r>
        <w:rPr>
          <w:rStyle w:val="Funotenanker"/>
        </w:rPr>
        <w:footnoteReference w:customMarkFollows="1" w:id="2015"/>
        <w:t>cx</w:t>
      </w:r>
      <w:r>
        <w:rPr/>
        <w:t xml:space="preserve"> ihr zu Christus gehört - Amen, ich sage euch </w:t>
      </w:r>
      <w:r>
        <w:rPr>
          <w:rStyle w:val="Funotenanker"/>
        </w:rPr>
        <w:footnoteReference w:customMarkFollows="1" w:id="2016"/>
        <w:t>cy</w:t>
      </w:r>
      <w:r>
        <w:rPr/>
        <w:t xml:space="preserve"> - der wird seinen Lohn nicht verlieren </w:t>
      </w:r>
      <w:r>
        <w:rPr>
          <w:color w:val="808080"/>
        </w:rPr>
        <w:t>(wird ihn bekommen)</w:t>
      </w:r>
      <w:r>
        <w:rPr/>
        <w:t xml:space="preserve">. </w:t>
      </w:r>
      <w:r>
        <w:rPr>
          <w:rStyle w:val="Funotenanker"/>
        </w:rPr>
        <w:footnoteReference w:customMarkFollows="1" w:id="2017"/>
        <w:t>cz</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2018"/>
        <w:t>da</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2019"/>
        <w:t>db</w:t>
      </w:r>
      <w:r>
        <w:rPr/>
        <w:t xml:space="preserve"> die an mich </w:t>
      </w:r>
      <w:r>
        <w:rPr>
          <w:color w:val="808080"/>
        </w:rPr>
        <w:t>(</w:t>
      </w:r>
      <w:r>
        <w:rPr>
          <w:strike/>
          <w:color w:val="808080"/>
        </w:rPr>
        <w:t>{an mich}</w:t>
      </w:r>
      <w:r>
        <w:rPr>
          <w:color w:val="808080"/>
        </w:rPr>
        <w:t>)</w:t>
      </w:r>
      <w:r>
        <w:rPr/>
        <w:t xml:space="preserve"> glauben, ärgert </w:t>
      </w:r>
      <w:r>
        <w:rPr>
          <w:color w:val="808080"/>
        </w:rPr>
        <w:t>(vom Glauben abbringt)</w:t>
      </w:r>
      <w:r>
        <w:rPr/>
        <w:t xml:space="preserve"> </w:t>
      </w:r>
      <w:r>
        <w:rPr>
          <w:rStyle w:val="Funotenanker"/>
        </w:rPr>
        <w:footnoteReference w:customMarkFollows="1" w:id="2020"/>
        <w:t>dc</w:t>
      </w:r>
      <w:r>
        <w:rPr/>
        <w:t xml:space="preserve"> - für den ist </w:t>
      </w:r>
      <w:r>
        <w:rPr>
          <w:color w:val="808080"/>
        </w:rPr>
        <w:t>(wäre)</w:t>
      </w:r>
      <w:r>
        <w:rPr/>
        <w:t xml:space="preserve"> </w:t>
      </w:r>
      <w:r>
        <w:rPr>
          <w:rStyle w:val="Funotenanker"/>
        </w:rPr>
        <w:footnoteReference w:customMarkFollows="1" w:id="2021"/>
        <w:t>dd</w:t>
      </w:r>
      <w:r>
        <w:rPr/>
        <w:t xml:space="preserve"> es gut </w:t>
      </w:r>
      <w:r>
        <w:rPr>
          <w:color w:val="808080"/>
        </w:rPr>
        <w:t>(besser)</w:t>
      </w:r>
      <w:r>
        <w:rPr/>
        <w:t xml:space="preserve">, </w:t>
      </w:r>
      <w:r>
        <w:rPr>
          <w:rStyle w:val="Funotenanker"/>
        </w:rPr>
        <w:footnoteReference w:customMarkFollows="1" w:id="2022"/>
        <w:t>de</w:t>
      </w:r>
      <w:r>
        <w:rPr/>
        <w:t xml:space="preserve"> wenn ein Eselsmühlstein um seinen Hals gehängt und er ins Meer geworfen würde. </w:t>
      </w:r>
      <w:r>
        <w:rPr>
          <w:rStyle w:val="Funotenanker"/>
        </w:rPr>
        <w:footnoteReference w:customMarkFollows="1" w:id="2023"/>
        <w:t>df</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2024"/>
        <w:t>dg</w:t>
      </w:r>
      <w:r>
        <w:rPr/>
        <w:t xml:space="preserve"> hau sie ab! </w:t>
      </w:r>
      <w:r>
        <w:rPr>
          <w:b/>
          <w:color w:val="808080"/>
        </w:rPr>
        <w:t>[</w:t>
      </w:r>
      <w:r>
        <w:rPr/>
        <w:t>Denn</w:t>
      </w:r>
      <w:r>
        <w:rPr>
          <w:b/>
          <w:color w:val="808080"/>
        </w:rPr>
        <w:t>]</w:t>
      </w:r>
      <w:r>
        <w:rPr/>
        <w:t xml:space="preserve"> </w:t>
      </w:r>
      <w:r>
        <w:rPr>
          <w:rStyle w:val="Funotenanker"/>
        </w:rPr>
        <w:footnoteReference w:customMarkFollows="1" w:id="2025"/>
        <w:t>dh</w:t>
      </w:r>
      <w:r>
        <w:rPr/>
        <w:t xml:space="preserve"> es ist gut </w:t>
      </w:r>
      <w:r>
        <w:rPr>
          <w:color w:val="808080"/>
        </w:rPr>
        <w:t>(besser)</w:t>
      </w:r>
      <w:r>
        <w:rPr/>
        <w:t xml:space="preserve">, dass du verstümmelt in das Leben </w:t>
      </w:r>
      <w:r>
        <w:rPr>
          <w:rStyle w:val="Funotenanker"/>
        </w:rPr>
        <w:footnoteReference w:customMarkFollows="1" w:id="2026"/>
        <w:t>di</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2027"/>
        <w:t>dj</w:t>
      </w:r>
      <w:r>
        <w:rPr/>
        <w:t xml:space="preserve"> einzugehen </w:t>
      </w:r>
      <w:r>
        <w:rPr>
          <w:color w:val="808080"/>
        </w:rPr>
        <w:t>(geworfen zu werden)</w:t>
      </w:r>
      <w:r>
        <w:rPr/>
        <w:t xml:space="preserve">: </w:t>
      </w:r>
      <w:r>
        <w:rPr>
          <w:rStyle w:val="Funotenanker"/>
        </w:rPr>
        <w:footnoteReference w:customMarkFollows="1" w:id="2028"/>
        <w:t>dk</w:t>
      </w:r>
      <w:r>
        <w:rPr/>
        <w:t xml:space="preserve"> in das unauslöschliche Feuer, </w:t>
      </w:r>
      <w:r>
        <w:rPr>
          <w:rStyle w:val="Funotenanker"/>
        </w:rPr>
        <w:footnoteReference w:customMarkFollows="1" w:id="2029"/>
        <w:t>dl</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2030"/>
        <w:t>dm</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2031"/>
        <w:t>dn</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2032"/>
        <w:t>do</w:t>
      </w:r>
      <w:r>
        <w:rPr/>
        <w:t xml:space="preserve"> Jeder wird mit Feuer gesalzen werden. </w:t>
      </w:r>
      <w:r>
        <w:rPr>
          <w:rStyle w:val="Funotenanker"/>
        </w:rPr>
        <w:footnoteReference w:customMarkFollows="1" w:id="2033"/>
        <w:t>dp</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2034"/>
        <w:t>dq</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2035"/>
        <w:t>dr</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2036"/>
        <w:t>ds</w:t>
      </w:r>
      <w:r>
        <w:rPr/>
        <w:t xml:space="preserve"> euch, und haltet </w:t>
      </w:r>
      <w:r>
        <w:rPr>
          <w:b/>
          <w:color w:val="808080"/>
        </w:rPr>
        <w:t>[</w:t>
      </w:r>
      <w:r>
        <w:rPr/>
        <w:t>so</w:t>
      </w:r>
      <w:r>
        <w:rPr>
          <w:b/>
          <w:color w:val="808080"/>
        </w:rPr>
        <w:t>]</w:t>
      </w:r>
      <w:r>
        <w:rPr/>
        <w:t xml:space="preserve"> </w:t>
      </w:r>
      <w:r>
        <w:rPr>
          <w:rStyle w:val="Funotenanker"/>
        </w:rPr>
        <w:footnoteReference w:customMarkFollows="1" w:id="2037"/>
        <w:t>dt</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2038"/>
        <w:t>Status</w:t>
      </w:r>
      <w:r>
        <w:rPr/>
        <w:t xml:space="preserve"> Und von dort brach </w:t>
      </w:r>
      <w:r>
        <w:rPr>
          <w:color w:val="808080"/>
        </w:rPr>
        <w:t>(stand)</w:t>
      </w:r>
      <w:r>
        <w:rPr/>
        <w:t xml:space="preserve"> er auf und </w:t>
      </w:r>
      <w:r>
        <w:rPr>
          <w:rStyle w:val="Funotenanker"/>
        </w:rPr>
        <w:footnoteReference w:customMarkFollows="1" w:id="2039"/>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2040"/>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2041"/>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2042"/>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2043"/>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2044"/>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2045"/>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2046"/>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2047"/>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2048"/>
        <w:t>j</w:t>
      </w:r>
      <w:r>
        <w:rPr/>
        <w:t xml:space="preserve"> aber die Jünger wiesen sie unfreundlich ab </w:t>
      </w:r>
      <w:r>
        <w:rPr>
          <w:color w:val="808080"/>
        </w:rPr>
        <w:t>(schimpften sie)</w:t>
      </w:r>
      <w:r>
        <w:rPr/>
        <w:t xml:space="preserve"> </w:t>
      </w:r>
      <w:r>
        <w:rPr>
          <w:rStyle w:val="Funotenanker"/>
        </w:rPr>
        <w:footnoteReference w:customMarkFollows="1" w:id="2049"/>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2050"/>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2051"/>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2052"/>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2053"/>
        <w:t>o</w:t>
      </w:r>
      <w:r>
        <w:rPr/>
        <w:t xml:space="preserve"> segnete sie, indem er ihnen die Hände auflegte. </w:t>
      </w:r>
      <w:r>
        <w:rPr>
          <w:rStyle w:val="Funotenanker"/>
        </w:rPr>
        <w:footnoteReference w:customMarkFollows="1" w:id="2054"/>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2055"/>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2056"/>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2057"/>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2058"/>
        <w:t>t</w:t>
      </w:r>
      <w:r>
        <w:rPr/>
        <w:t xml:space="preserve"> gewann ihn lieb </w:t>
      </w:r>
      <w:r>
        <w:rPr>
          <w:rStyle w:val="Funotenanker"/>
        </w:rPr>
        <w:footnoteReference w:customMarkFollows="1" w:id="2059"/>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2060"/>
        <w:t>v</w:t>
      </w:r>
      <w:r>
        <w:rPr/>
        <w:t xml:space="preserve"> über diese Forderung </w:t>
      </w:r>
      <w:r>
        <w:rPr>
          <w:color w:val="808080"/>
        </w:rPr>
        <w:t>(das Gesagte; Wort)</w:t>
      </w:r>
      <w:r>
        <w:rPr/>
        <w:t xml:space="preserve"> und </w:t>
      </w:r>
      <w:r>
        <w:rPr>
          <w:rStyle w:val="Funotenanker"/>
        </w:rPr>
        <w:footnoteReference w:customMarkFollows="1" w:id="2061"/>
        <w:t>w</w:t>
      </w:r>
      <w:r>
        <w:rPr/>
        <w:t xml:space="preserve"> ging traurig davon, denn er besaß </w:t>
      </w:r>
      <w:r>
        <w:rPr>
          <w:rStyle w:val="Funotenanker"/>
        </w:rPr>
        <w:footnoteReference w:customMarkFollows="1" w:id="2062"/>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2063"/>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2064"/>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2065"/>
        <w:t>aa</w:t>
      </w:r>
      <w:r>
        <w:rPr/>
        <w:t xml:space="preserve">. Doch Jesus sagte noch einmal zu ihnen </w:t>
      </w:r>
      <w:r>
        <w:rPr>
          <w:rStyle w:val="Funotenanker"/>
        </w:rPr>
        <w:footnoteReference w:customMarkFollows="1" w:id="2066"/>
        <w:t>ab</w:t>
      </w:r>
      <w:r>
        <w:rPr/>
        <w:t xml:space="preserve">: »Kinder </w:t>
      </w:r>
      <w:r>
        <w:rPr>
          <w:rStyle w:val="Funotenanker"/>
        </w:rPr>
        <w:footnoteReference w:customMarkFollows="1" w:id="2067"/>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2068"/>
        <w:t>ad</w:t>
      </w:r>
      <w:r>
        <w:rPr/>
        <w:t xml:space="preserve">, durch das Nadelöhr </w:t>
      </w:r>
      <w:r>
        <w:rPr>
          <w:rStyle w:val="Funotenanker"/>
        </w:rPr>
        <w:footnoteReference w:customMarkFollows="1" w:id="2069"/>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2070"/>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2071"/>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2072"/>
        <w:t>ah</w:t>
      </w:r>
      <w:r>
        <w:rPr/>
        <w:t xml:space="preserve"> zu ihm: »Du weißt </w:t>
      </w:r>
      <w:r>
        <w:rPr>
          <w:color w:val="808080"/>
        </w:rPr>
        <w:t>(Siehe)</w:t>
      </w:r>
      <w:r>
        <w:rPr/>
        <w:t xml:space="preserve">, </w:t>
      </w:r>
      <w:r>
        <w:rPr>
          <w:rStyle w:val="Funotenanker"/>
        </w:rPr>
        <w:footnoteReference w:customMarkFollows="1" w:id="2073"/>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2074"/>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2075"/>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2076"/>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ihnen voran, </w:t>
      </w:r>
      <w:r>
        <w:rPr>
          <w:rStyle w:val="Funotenanker"/>
        </w:rPr>
        <w:footnoteReference w:customMarkFollows="1" w:id="2077"/>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2078"/>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2079"/>
        <w:t>ao</w:t>
      </w:r>
      <w:r>
        <w:rPr/>
        <w:t xml:space="preserve"> bekamen Angst. Da </w:t>
      </w:r>
      <w:r>
        <w:rPr>
          <w:color w:val="808080"/>
        </w:rPr>
        <w:t>(und)</w:t>
      </w:r>
      <w:r>
        <w:rPr/>
        <w:t xml:space="preserve"> nahm er die Zwölf noch einmal beiseite und teilte ihnen mit </w:t>
      </w:r>
      <w:r>
        <w:rPr>
          <w:rStyle w:val="Funotenanker"/>
        </w:rPr>
        <w:footnoteReference w:customMarkFollows="1" w:id="2080"/>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2081"/>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2082"/>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2083"/>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2084"/>
        <w:t>at</w:t>
      </w:r>
      <w:r>
        <w:rPr/>
        <w:t xml:space="preserve"> tun soll?«{{field-off:bible}} </w:t>
        <w:br/>
        <w:t>[[@BibleTOBIBLE:Mk 10:37]]</w:t>
      </w:r>
      <w:r>
        <w:rPr>
          <w:b/>
        </w:rPr>
        <w:t>37</w:t>
      </w:r>
      <w:r>
        <w:rPr/>
        <w:t xml:space="preserve"> {{field-on:bible}}Sie sagten zu ihm: »Gewähre uns </w:t>
      </w:r>
      <w:r>
        <w:rPr>
          <w:rStyle w:val="Funotenanker"/>
        </w:rPr>
        <w:footnoteReference w:customMarkFollows="1" w:id="2085"/>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2086"/>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w:t>
      </w:r>
      <w:r>
        <w:rPr>
          <w:rStyle w:val="Funotenanker"/>
        </w:rPr>
        <w:footnoteReference w:customMarkFollows="1" w:id="2087"/>
        <w:t>aw</w:t>
      </w:r>
      <w:r>
        <w:rPr/>
        <w:t xml:space="preserve"> oder </w:t>
      </w:r>
      <w:r>
        <w:rPr>
          <w:b/>
          <w:color w:val="808080"/>
        </w:rPr>
        <w:t>[</w:t>
      </w:r>
      <w:r>
        <w:rPr/>
        <w:t>mit</w:t>
      </w:r>
      <w:r>
        <w:rPr>
          <w:b/>
          <w:color w:val="808080"/>
        </w:rPr>
        <w:t>]</w:t>
      </w:r>
      <w:r>
        <w:rPr/>
        <w:t xml:space="preserve"> der Taufe getauft werden </w:t>
      </w:r>
      <w:r>
        <w:rPr>
          <w:rStyle w:val="Funotenanker"/>
        </w:rPr>
        <w:footnoteReference w:customMarkFollows="1" w:id="2088"/>
        <w:t>ax</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2089"/>
        <w:t>ay</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2090"/>
        <w:t>az</w:t>
      </w:r>
      <w:r>
        <w:rPr/>
        <w:t xml:space="preserve"> {{field-off:bible}} </w:t>
        <w:br/>
        <w:t>[[@BibleTOBIBLE:Mk 10:41]]</w:t>
      </w:r>
      <w:r>
        <w:rPr>
          <w:b/>
        </w:rPr>
        <w:t>41</w:t>
      </w:r>
      <w:r>
        <w:rPr/>
        <w:t xml:space="preserve"> {{field-on:bible}}Und als die zehn </w:t>
      </w:r>
      <w:r>
        <w:rPr>
          <w:b/>
          <w:color w:val="808080"/>
        </w:rPr>
        <w:t>[</w:t>
      </w:r>
      <w:r>
        <w:rPr/>
        <w:t>anderen Jünger das</w:t>
      </w:r>
      <w:r>
        <w:rPr>
          <w:b/>
          <w:color w:val="808080"/>
        </w:rPr>
        <w:t>]</w:t>
      </w:r>
      <w:r>
        <w:rPr/>
        <w:t xml:space="preserve"> hörten, </w:t>
      </w:r>
      <w:r>
        <w:rPr>
          <w:rStyle w:val="Funotenanker"/>
        </w:rPr>
        <w:footnoteReference w:customMarkFollows="1" w:id="2091"/>
        <w:t>ba</w:t>
      </w:r>
      <w:r>
        <w:rPr/>
        <w:t xml:space="preserve"> waren sie wütend </w:t>
      </w:r>
      <w:r>
        <w:rPr>
          <w:color w:val="808080"/>
        </w:rPr>
        <w:t>(ärgerten sie sich)</w:t>
      </w:r>
      <w:r>
        <w:rPr/>
        <w:t xml:space="preserve"> </w:t>
      </w:r>
      <w:r>
        <w:rPr>
          <w:rStyle w:val="Funotenanker"/>
        </w:rPr>
        <w:footnoteReference w:customMarkFollows="1" w:id="2092"/>
        <w:t>bb</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2093"/>
        <w:t>bc</w:t>
      </w:r>
      <w:r>
        <w:rPr/>
        <w:t xml:space="preserve"> die Menschen </w:t>
      </w:r>
      <w:r>
        <w:rPr>
          <w:rStyle w:val="Funotenanker"/>
        </w:rPr>
        <w:footnoteReference w:customMarkFollows="1" w:id="2094"/>
        <w:t>bd</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2095"/>
        <w:t>be</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2096"/>
        <w:t>bf</w:t>
      </w:r>
      <w:r>
        <w:rPr/>
        <w:t xml:space="preserve"> ein blinder Bettler, am Straßenrand </w:t>
      </w:r>
      <w:r>
        <w:rPr>
          <w:rStyle w:val="Funotenanker"/>
        </w:rPr>
        <w:footnoteReference w:customMarkFollows="1" w:id="2097"/>
        <w:t>bg</w:t>
      </w:r>
      <w:r>
        <w:rPr/>
        <w:t xml:space="preserve">,{{field-off:bible}} </w:t>
        <w:br/>
        <w:t>[[@BibleTOBIBLE:Mk 10:47]]</w:t>
      </w:r>
      <w:r>
        <w:rPr>
          <w:b/>
        </w:rPr>
        <w:t>47</w:t>
      </w:r>
      <w:r>
        <w:rPr/>
        <w:t xml:space="preserve"> {{field-on:bible}}Und als er hörte, </w:t>
      </w:r>
      <w:r>
        <w:rPr>
          <w:rStyle w:val="Funotenanker"/>
        </w:rPr>
        <w:footnoteReference w:customMarkFollows="1" w:id="2098"/>
        <w:t>bh</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2099"/>
        <w:t>bi</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2100"/>
        <w:t>bj</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2101"/>
        <w:t>bk</w:t>
      </w:r>
      <w:r>
        <w:rPr/>
        <w:t xml:space="preserve"> kam zu Jesus.{{field-off:bible}} </w:t>
        <w:br/>
        <w:t>[[@BibleTOBIBLE:Mk 10:51]]</w:t>
      </w:r>
      <w:r>
        <w:rPr>
          <w:b/>
        </w:rPr>
        <w:t>51</w:t>
      </w:r>
      <w:r>
        <w:rPr/>
        <w:t xml:space="preserve"> {{field-on:bible}}Und Jesus fragte ihn </w:t>
      </w:r>
      <w:r>
        <w:rPr>
          <w:rStyle w:val="Funotenanker"/>
        </w:rPr>
        <w:footnoteReference w:customMarkFollows="1" w:id="2102"/>
        <w:t>bl</w:t>
      </w:r>
      <w:r>
        <w:rPr/>
        <w:t xml:space="preserve">: »Was willst du, dass ich für dich tue?« Da sagte der Blinde zu ihm: »Rabbuni </w:t>
      </w:r>
      <w:r>
        <w:rPr>
          <w:rStyle w:val="Funotenanker"/>
        </w:rPr>
        <w:footnoteReference w:customMarkFollows="1" w:id="2103"/>
        <w:t>bm</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2104"/>
        <w:t>bn</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2105"/>
        <w:t>bo</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2106"/>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2107"/>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2108"/>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2109"/>
        <w:t>c</w:t>
      </w:r>
      <w:r>
        <w:rPr/>
        <w:t xml:space="preserve"> werdet ihr ein Eselsfohlen </w:t>
      </w:r>
      <w:r>
        <w:rPr>
          <w:color w:val="808080"/>
        </w:rPr>
        <w:t>(Fohlen)</w:t>
      </w:r>
      <w:r>
        <w:rPr/>
        <w:t xml:space="preserve"> </w:t>
      </w:r>
      <w:r>
        <w:rPr>
          <w:rStyle w:val="Funotenanker"/>
        </w:rPr>
        <w:footnoteReference w:customMarkFollows="1" w:id="2110"/>
        <w:t>d</w:t>
      </w:r>
      <w:r>
        <w:rPr/>
        <w:t xml:space="preserve"> angebunden finden, auf dem noch nie ein Mensch </w:t>
      </w:r>
      <w:r>
        <w:rPr>
          <w:rStyle w:val="Funotenanker"/>
        </w:rPr>
        <w:footnoteReference w:customMarkFollows="1" w:id="2111"/>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2112"/>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2113"/>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2114"/>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2115"/>
        <w:t>i</w:t>
      </w:r>
      <w:r>
        <w:rPr/>
        <w:t xml:space="preserve">: „Hosanna! </w:t>
      </w:r>
      <w:r>
        <w:rPr>
          <w:rStyle w:val="Funotenanker"/>
        </w:rPr>
        <w:footnoteReference w:customMarkFollows="1" w:id="2116"/>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2117"/>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2118"/>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2119"/>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2120"/>
        <w:t>n</w:t>
      </w:r>
      <w:r>
        <w:rPr/>
        <w:t xml:space="preserve"> „Nie mehr, bis in Ewigkeit, soll jemand </w:t>
      </w:r>
      <w:r>
        <w:rPr>
          <w:rStyle w:val="Funotenanker"/>
        </w:rPr>
        <w:footnoteReference w:customMarkFollows="1" w:id="2121"/>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2122"/>
        <w:t>p</w:t>
      </w:r>
      <w:r>
        <w:rPr/>
        <w:t xml:space="preserve"> ging er in den Tempel </w:t>
      </w:r>
      <w:r>
        <w:rPr>
          <w:color w:val="808080"/>
        </w:rPr>
        <w:t>(Tempelbezirk)</w:t>
      </w:r>
      <w:r>
        <w:rPr/>
        <w:t xml:space="preserve"> und </w:t>
      </w:r>
      <w:r>
        <w:rPr>
          <w:rStyle w:val="Funotenanker"/>
        </w:rPr>
        <w:footnoteReference w:customMarkFollows="1" w:id="2123"/>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2124"/>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2125"/>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2126"/>
        <w:t>t</w:t>
      </w:r>
      <w:r>
        <w:rPr/>
        <w:t xml:space="preserve"> „Heißt es nicht </w:t>
      </w:r>
      <w:r>
        <w:rPr>
          <w:color w:val="808080"/>
        </w:rPr>
        <w:t>(Steht nicht geschrieben)</w:t>
      </w:r>
      <w:r>
        <w:rPr/>
        <w:t>: »Mein Haus wird ein Haus des Gebets für alle Völker</w:t>
      </w:r>
      <w:r>
        <w:rPr>
          <w:rStyle w:val="Funotenanker"/>
        </w:rPr>
        <w:footnoteReference w:customMarkFollows="1" w:id="2127"/>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2128"/>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2129"/>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2130"/>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2131"/>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2132"/>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2133"/>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2134"/>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2135"/>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2136"/>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2137"/>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2138"/>
        <w:t>af</w:t>
      </w:r>
      <w:r>
        <w:rPr/>
        <w:t xml:space="preserve"> dann werden sie </w:t>
      </w:r>
      <w:r>
        <w:rPr>
          <w:strike/>
          <w:color w:val="808080"/>
        </w:rPr>
        <w:t>{für euch}</w:t>
      </w:r>
      <w:r>
        <w:rPr/>
        <w:t xml:space="preserve"> eintreffen. </w:t>
      </w:r>
      <w:r>
        <w:rPr>
          <w:rStyle w:val="Funotenanker"/>
        </w:rPr>
        <w:footnoteReference w:customMarkFollows="1" w:id="2139"/>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2140"/>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2141"/>
        <w:t>ai</w:t>
      </w:r>
      <w:r>
        <w:rPr/>
        <w:t xml:space="preserve">«{{field-off:bible}}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2142"/>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2143"/>
        <w:t>ak</w:t>
      </w:r>
      <w:r>
        <w:rPr/>
        <w:t xml:space="preserve"> </w:t>
      </w:r>
      <w:r>
        <w:rPr>
          <w:strike/>
          <w:color w:val="808080"/>
        </w:rPr>
        <w:t>{und}</w:t>
      </w:r>
      <w:r>
        <w:rPr/>
        <w:t xml:space="preserve"> Antwortet mir, </w:t>
      </w:r>
      <w:r>
        <w:rPr>
          <w:rStyle w:val="Funotenanker"/>
        </w:rPr>
        <w:footnoteReference w:customMarkFollows="1" w:id="2144"/>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2145"/>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2146"/>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2147"/>
        <w:t>Status</w:t>
      </w:r>
      <w:r>
        <w:rPr/>
        <w:t xml:space="preserve"> </w:t>
      </w:r>
      <w:r>
        <w:rPr>
          <w:rStyle w:val="Funotenanker"/>
        </w:rPr>
        <w:footnoteReference w:customMarkFollows="1" w:id="2148"/>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2149"/>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2150"/>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2151"/>
        <w:t>d</w:t>
      </w:r>
      <w:r>
        <w:rPr/>
        <w:t xml:space="preserve"> aus und baute einen Wachtturm </w:t>
      </w:r>
      <w:r>
        <w:rPr>
          <w:rStyle w:val="Funotenanker"/>
        </w:rPr>
        <w:footnoteReference w:customMarkFollows="1" w:id="2152"/>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2153"/>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2154"/>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2155"/>
        <w:t>h</w:t>
      </w:r>
      <w:r>
        <w:rPr/>
        <w:t xml:space="preserve"> und entehrten ihn </w:t>
      </w:r>
      <w:r>
        <w:rPr>
          <w:color w:val="808080"/>
        </w:rPr>
        <w:t>(behandelten ihn verächtlich)</w:t>
      </w:r>
      <w:r>
        <w:rPr/>
        <w:t>.</w:t>
      </w:r>
      <w:r>
        <w:rPr>
          <w:rStyle w:val="Funotenanker"/>
        </w:rPr>
        <w:footnoteReference w:customMarkFollows="1" w:id="2156"/>
        <w:t>i</w:t>
      </w:r>
      <w:r>
        <w:rPr/>
        <w:t xml:space="preserve"> {{field-off:bible}}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2157"/>
        <w:t>j</w:t>
      </w:r>
      <w:r>
        <w:rPr/>
        <w:t xml:space="preserve"> – manche verprügelten sie, andere brachten sie um</w:t>
      </w:r>
      <w:r>
        <w:rPr>
          <w:rStyle w:val="Funotenanker"/>
        </w:rPr>
        <w:footnoteReference w:customMarkFollows="1" w:id="2158"/>
        <w:t>k</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2159"/>
        <w:t>l</w:t>
      </w:r>
      <w:r>
        <w:rPr/>
        <w:t xml:space="preserve">. Er sandte ihn als letzten zu ihnen, weil er glaubte </w:t>
      </w:r>
      <w:r>
        <w:rPr>
          <w:color w:val="808080"/>
        </w:rPr>
        <w:t>(dachte, sich sagte)</w:t>
      </w:r>
      <w:r>
        <w:rPr/>
        <w:t xml:space="preserve">: </w:t>
      </w:r>
      <w:r>
        <w:rPr>
          <w:rStyle w:val="Funotenanker"/>
        </w:rPr>
        <w:footnoteReference w:customMarkFollows="1" w:id="2160"/>
        <w:t>m</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2161"/>
        <w:t>n</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2162"/>
        <w:t>o</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2163"/>
        <w:t>p</w:t>
      </w:r>
      <w:r>
        <w:rPr/>
        <w:t xml:space="preserve"> gelesen? </w:t>
        <w:br/>
        <w:t>»</w:t>
      </w:r>
      <w:r>
        <w:rPr>
          <w:b/>
          <w:color w:val="808080"/>
        </w:rPr>
        <w:t>[</w:t>
      </w:r>
      <w:r>
        <w:rPr/>
        <w:t>Der</w:t>
      </w:r>
      <w:r>
        <w:rPr>
          <w:b/>
          <w:color w:val="808080"/>
        </w:rPr>
        <w:t>]</w:t>
      </w:r>
      <w:r>
        <w:rPr/>
        <w:t xml:space="preserve"> Stein</w:t>
      </w:r>
      <w:r>
        <w:rPr>
          <w:rStyle w:val="Funotenanker"/>
        </w:rPr>
        <w:footnoteReference w:customMarkFollows="1" w:id="2164"/>
        <w:t>q</w:t>
      </w:r>
      <w:r>
        <w:rPr/>
        <w:t xml:space="preserve">, den die Bauleute abgelehnt </w:t>
      </w:r>
      <w:r>
        <w:rPr>
          <w:color w:val="808080"/>
        </w:rPr>
        <w:t>(verworfen, zurückgewiesen)</w:t>
      </w:r>
      <w:r>
        <w:rPr/>
        <w:t xml:space="preserve"> haben,</w:t>
        <w:br/>
        <w:t>''der''</w:t>
      </w:r>
      <w:r>
        <w:rPr>
          <w:rStyle w:val="Funotenanker"/>
        </w:rPr>
        <w:footnoteReference w:customMarkFollows="1" w:id="2165"/>
        <w:t>r</w:t>
      </w:r>
      <w:r>
        <w:rPr/>
        <w:t xml:space="preserve"> ist zum Schlussstein </w:t>
      </w:r>
      <w:r>
        <w:rPr>
          <w:color w:val="808080"/>
        </w:rPr>
        <w:t>(Kopfstein, Eckstein)</w:t>
      </w:r>
      <w:r>
        <w:rPr/>
        <w:t xml:space="preserve"> </w:t>
      </w:r>
      <w:r>
        <w:rPr>
          <w:rStyle w:val="Funotenanker"/>
        </w:rPr>
        <w:footnoteReference w:customMarkFollows="1" w:id="2166"/>
        <w:t>s</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2167"/>
        <w:t>t</w:t>
      </w:r>
      <w:r>
        <w:rPr/>
        <w:t xml:space="preserve"> </w:t>
        <w:br/>
        <w:t xml:space="preserve">und es ist wunderbar </w:t>
      </w:r>
      <w:r>
        <w:rPr>
          <w:color w:val="808080"/>
        </w:rPr>
        <w:t>(erstaunlich, verwunderlich)</w:t>
      </w:r>
      <w:r>
        <w:rPr/>
        <w:t xml:space="preserve">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2168"/>
        <w:t>u</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2169"/>
        <w:t>v</w:t>
      </w:r>
      <w:r>
        <w:rPr/>
        <w:t xml:space="preserve">, dass er das Gleichnis gegen sie gesprochen hatte </w:t>
      </w:r>
      <w:r>
        <w:rPr>
          <w:rStyle w:val="Funotenanker"/>
        </w:rPr>
        <w:footnoteReference w:customMarkFollows="1" w:id="2170"/>
        <w:t>w</w:t>
      </w:r>
      <w:r>
        <w:rPr/>
        <w:t xml:space="preserve">. Daher </w:t>
      </w:r>
      <w:r>
        <w:rPr>
          <w:color w:val="808080"/>
        </w:rPr>
        <w:t>(und)</w:t>
      </w:r>
      <w:r>
        <w:rPr/>
        <w:t xml:space="preserve"> sie ließen ihn zurück </w:t>
      </w:r>
      <w:r>
        <w:rPr>
          <w:color w:val="808080"/>
        </w:rPr>
        <w:t>(ihn unbehelligt; von ihm ab)</w:t>
      </w:r>
      <w:r>
        <w:rPr/>
        <w:t xml:space="preserve"> und gingen davon.{{field-off:bible}} </w:t>
        <w:br/>
        <w:t>[[@BibleTOBIBLE:Mk 12:13]]</w:t>
      </w:r>
      <w:r>
        <w:rPr>
          <w:b/>
        </w:rPr>
        <w:t>13</w:t>
      </w:r>
      <w:r>
        <w:rPr/>
        <w:t xml:space="preserve"> {{field-on:bible}}Und </w:t>
      </w:r>
      <w:r>
        <w:rPr>
          <w:color w:val="808080"/>
        </w:rPr>
        <w:t>(danach)</w:t>
      </w:r>
      <w:r>
        <w:rPr/>
        <w:t xml:space="preserve"> sie schickten einige Pharisäer und Herodianer </w:t>
      </w:r>
      <w:r>
        <w:rPr>
          <w:color w:val="808080"/>
        </w:rPr>
        <w:t>(Anhänger von Herodes)</w:t>
      </w:r>
      <w:r>
        <w:rPr/>
        <w:t xml:space="preserve"> zu ihm, um </w:t>
      </w:r>
      <w:r>
        <w:rPr>
          <w:strike/>
          <w:color w:val="808080"/>
        </w:rPr>
        <w:t>{sie}</w:t>
      </w:r>
      <w:r>
        <w:rPr/>
        <w:t xml:space="preserve"> ihn </w:t>
      </w:r>
      <w:r>
        <w:rPr>
          <w:b/>
          <w:color w:val="808080"/>
        </w:rPr>
        <w:t>[</w:t>
      </w:r>
      <w:r>
        <w:rPr/>
        <w:t>in</w:t>
      </w:r>
      <w:r>
        <w:rPr>
          <w:b/>
          <w:color w:val="808080"/>
        </w:rPr>
        <w:t>]</w:t>
      </w:r>
      <w:r>
        <w:rPr/>
        <w:t xml:space="preserve"> einer Äußerung </w:t>
      </w:r>
      <w:r>
        <w:rPr>
          <w:color w:val="808080"/>
        </w:rPr>
        <w:t>(</w:t>
      </w:r>
      <w:r>
        <w:rPr>
          <w:b/>
          <w:color w:val="808080"/>
        </w:rPr>
        <w:t>[</w:t>
      </w:r>
      <w:r>
        <w:rPr>
          <w:color w:val="808080"/>
        </w:rPr>
        <w:t>mit</w:t>
      </w:r>
      <w:r>
        <w:rPr>
          <w:b/>
          <w:color w:val="808080"/>
        </w:rPr>
        <w:t>]</w:t>
      </w:r>
      <w:r>
        <w:rPr>
          <w:color w:val="808080"/>
        </w:rPr>
        <w:t xml:space="preserve"> einer Frage)</w:t>
      </w:r>
      <w:r>
        <w:rPr/>
        <w:t xml:space="preserve"> </w:t>
      </w:r>
      <w:r>
        <w:rPr>
          <w:rStyle w:val="Funotenanker"/>
        </w:rPr>
        <w:footnoteReference w:customMarkFollows="1" w:id="2171"/>
        <w:t>x</w:t>
      </w:r>
      <w:r>
        <w:rPr/>
        <w:t xml:space="preserve"> zu fangen </w:t>
      </w:r>
      <w:r>
        <w:rPr>
          <w:color w:val="808080"/>
        </w:rPr>
        <w:t>(ertappen)</w:t>
      </w:r>
      <w:r>
        <w:rPr/>
        <w:t xml:space="preserve">.{{field-off:bible}} </w:t>
        <w:br/>
        <w:t>[[@BibleTOBIBLE:Mk 12:14]]</w:t>
      </w:r>
      <w:r>
        <w:rPr>
          <w:b/>
        </w:rPr>
        <w:t>14</w:t>
      </w:r>
      <w:r>
        <w:rPr/>
        <w:t xml:space="preserve"> {{field-on:bible}}Und als sie ankamen, </w:t>
      </w:r>
      <w:r>
        <w:rPr>
          <w:rStyle w:val="Funotenanker"/>
        </w:rPr>
        <w:footnoteReference w:customMarkFollows="1" w:id="2172"/>
        <w:t>y</w:t>
      </w:r>
      <w:r>
        <w:rPr/>
        <w:t xml:space="preserve"> sagten sie zu ihm: „Lehrer, wir wissen, dass du objektiv </w:t>
      </w:r>
      <w:r>
        <w:rPr>
          <w:color w:val="808080"/>
        </w:rPr>
        <w:t>(aufrichtig)</w:t>
      </w:r>
      <w:r>
        <w:rPr/>
        <w:t xml:space="preserve"> bist und auf niemanden besondere Rücksicht nimmst </w:t>
      </w:r>
      <w:r>
        <w:rPr>
          <w:rStyle w:val="Funotenanker"/>
        </w:rPr>
        <w:footnoteReference w:customMarkFollows="1" w:id="2173"/>
        <w:t>z</w:t>
      </w:r>
      <w:r>
        <w:rPr/>
        <w:t xml:space="preserve">: Du schaust </w:t>
      </w:r>
      <w:r>
        <w:rPr>
          <w:strike/>
          <w:color w:val="808080"/>
        </w:rPr>
        <w:t>{eben}</w:t>
      </w:r>
      <w:r>
        <w:rPr/>
        <w:t xml:space="preserve"> nicht auf </w:t>
      </w:r>
      <w:r>
        <w:rPr>
          <w:b/>
          <w:color w:val="808080"/>
        </w:rPr>
        <w:t>[</w:t>
      </w:r>
      <w:r>
        <w:rPr/>
        <w:t>das</w:t>
      </w:r>
      <w:r>
        <w:rPr>
          <w:b/>
          <w:color w:val="808080"/>
        </w:rPr>
        <w:t>]</w:t>
      </w:r>
      <w:r>
        <w:rPr/>
        <w:t xml:space="preserve"> Äußere </w:t>
      </w:r>
      <w:r>
        <w:rPr>
          <w:rStyle w:val="Funotenanker"/>
        </w:rPr>
        <w:footnoteReference w:customMarkFollows="1" w:id="2174"/>
        <w:t>aa</w:t>
      </w:r>
      <w:r>
        <w:rPr/>
        <w:t xml:space="preserve"> </w:t>
      </w:r>
      <w:r>
        <w:rPr>
          <w:b/>
          <w:color w:val="808080"/>
        </w:rPr>
        <w:t>[</w:t>
      </w:r>
      <w:r>
        <w:rPr/>
        <w:t>der</w:t>
      </w:r>
      <w:r>
        <w:rPr>
          <w:b/>
          <w:color w:val="808080"/>
        </w:rPr>
        <w:t>]</w:t>
      </w:r>
      <w:r>
        <w:rPr/>
        <w:t xml:space="preserve"> Menschen, sondern lehrst wirklich </w:t>
      </w:r>
      <w:r>
        <w:rPr>
          <w:rStyle w:val="Funotenanker"/>
        </w:rPr>
        <w:footnoteReference w:customMarkFollows="1" w:id="2175"/>
        <w:t>ab</w:t>
      </w:r>
      <w:r>
        <w:rPr/>
        <w:t xml:space="preserve"> den Weg Gottes </w:t>
      </w:r>
      <w:r>
        <w:rPr>
          <w:rStyle w:val="Funotenanker"/>
        </w:rPr>
        <w:footnoteReference w:customMarkFollows="1" w:id="2176"/>
        <w:t>ac</w:t>
      </w:r>
      <w:r>
        <w:rPr/>
        <w:t xml:space="preserve">. Darf man </w:t>
      </w:r>
      <w:r>
        <w:rPr>
          <w:rStyle w:val="Funotenanker"/>
        </w:rPr>
        <w:footnoteReference w:customMarkFollows="1" w:id="2177"/>
        <w:t>ad</w:t>
      </w:r>
      <w:r>
        <w:rPr/>
        <w:t xml:space="preserve"> </w:t>
      </w:r>
      <w:r>
        <w:rPr>
          <w:b/>
          <w:color w:val="808080"/>
        </w:rPr>
        <w:t>[</w:t>
      </w:r>
      <w:r>
        <w:rPr/>
        <w:t>dem</w:t>
      </w:r>
      <w:r>
        <w:rPr>
          <w:b/>
          <w:color w:val="808080"/>
        </w:rPr>
        <w:t>]</w:t>
      </w:r>
      <w:r>
        <w:rPr/>
        <w:t xml:space="preserve"> Kaiser </w:t>
      </w:r>
      <w:r>
        <w:rPr>
          <w:color w:val="808080"/>
        </w:rPr>
        <w:t>(Cäsar)</w:t>
      </w:r>
      <w:r>
        <w:rPr/>
        <w:t xml:space="preserve"> Steuern </w:t>
      </w:r>
      <w:r>
        <w:rPr>
          <w:rStyle w:val="Funotenanker"/>
        </w:rPr>
        <w:footnoteReference w:customMarkFollows="1" w:id="2178"/>
        <w:t>ae</w:t>
      </w:r>
      <w:r>
        <w:rPr/>
        <w:t xml:space="preserve"> zahlen oder nicht? Sollen wir </w:t>
      </w:r>
      <w:r>
        <w:rPr>
          <w:b/>
          <w:color w:val="808080"/>
        </w:rPr>
        <w:t>[</w:t>
      </w:r>
      <w:r>
        <w:rPr/>
        <w:t>sie</w:t>
      </w:r>
      <w:r>
        <w:rPr>
          <w:b/>
          <w:color w:val="808080"/>
        </w:rPr>
        <w:t>]</w:t>
      </w:r>
      <w:r>
        <w:rPr/>
        <w:t xml:space="preserve"> zahlen oder nicht zahlen?“{{field-off:bible}} </w:t>
        <w:br/>
        <w:t>[[@BibleTOBIBLE:Mk 12:15]]</w:t>
      </w:r>
      <w:r>
        <w:rPr>
          <w:b/>
        </w:rPr>
        <w:t>15</w:t>
      </w:r>
      <w:r>
        <w:rPr/>
        <w:t xml:space="preserve"> {{field-on:bible}}Doch er erkannte ihre Heuchelei und </w:t>
      </w:r>
      <w:r>
        <w:rPr>
          <w:rStyle w:val="Funotenanker"/>
        </w:rPr>
        <w:footnoteReference w:customMarkFollows="1" w:id="2179"/>
        <w:t>af</w:t>
      </w:r>
      <w:r>
        <w:rPr/>
        <w:t xml:space="preserve"> sagte zu ihnen: „Warum stellt ihr mir eine Falle </w:t>
      </w:r>
      <w:r>
        <w:rPr>
          <w:color w:val="808080"/>
        </w:rPr>
        <w:t>(versucht ihr mich)</w:t>
      </w:r>
      <w:r>
        <w:rPr/>
        <w:t xml:space="preserve">? </w:t>
      </w:r>
      <w:r>
        <w:rPr>
          <w:rStyle w:val="Funotenanker"/>
        </w:rPr>
        <w:footnoteReference w:customMarkFollows="1" w:id="2180"/>
        <w:t>ag</w:t>
      </w:r>
      <w:r>
        <w:rPr/>
        <w:t xml:space="preserve"> Bringt mir einen Denar </w:t>
      </w:r>
      <w:r>
        <w:rPr>
          <w:rStyle w:val="Funotenanker"/>
        </w:rPr>
        <w:footnoteReference w:customMarkFollows="1" w:id="2181"/>
        <w:t>ah</w:t>
      </w:r>
      <w:r>
        <w:rPr/>
        <w:t xml:space="preserve">, damit ich </w:t>
      </w:r>
      <w:r>
        <w:rPr>
          <w:b/>
          <w:color w:val="808080"/>
        </w:rPr>
        <w:t>[</w:t>
      </w:r>
      <w:r>
        <w:rPr/>
        <w:t>ihn</w:t>
      </w:r>
      <w:r>
        <w:rPr>
          <w:b/>
          <w:color w:val="808080"/>
        </w:rPr>
        <w:t>]</w:t>
      </w:r>
      <w:r>
        <w:rPr/>
        <w:t xml:space="preserve"> mir anschauen </w:t>
      </w:r>
      <w:r>
        <w:rPr>
          <w:b/>
          <w:color w:val="808080"/>
        </w:rPr>
        <w:t>[</w:t>
      </w:r>
      <w:r>
        <w:rPr/>
        <w:t>kann</w:t>
      </w:r>
      <w:r>
        <w:rPr>
          <w:b/>
          <w:color w:val="808080"/>
        </w:rPr>
        <w:t>]</w:t>
      </w:r>
      <w:r>
        <w:rPr/>
        <w:t xml:space="preserve">.“{{field-off:bible}} </w:t>
        <w:br/>
        <w:t>[[@BibleTOBIBLE:Mk 12:16]]</w:t>
      </w:r>
      <w:r>
        <w:rPr>
          <w:b/>
        </w:rPr>
        <w:t>16</w:t>
      </w:r>
      <w:r>
        <w:rPr/>
        <w:t xml:space="preserve"> {{field-on:bible}}Da brachten sie </w:t>
      </w:r>
      <w:r>
        <w:rPr>
          <w:b/>
          <w:color w:val="808080"/>
        </w:rPr>
        <w:t>[</w:t>
      </w:r>
      <w:r>
        <w:rPr/>
        <w:t>ihm einen</w:t>
      </w:r>
      <w:r>
        <w:rPr>
          <w:b/>
          <w:color w:val="808080"/>
        </w:rPr>
        <w:t>]</w:t>
      </w:r>
      <w:r>
        <w:rPr/>
        <w:t xml:space="preserve">. Und er sagte zu ihnen: „Wessen Bild und Aufschrift </w:t>
      </w:r>
      <w:r>
        <w:rPr>
          <w:b/>
          <w:color w:val="808080"/>
        </w:rPr>
        <w:t>[</w:t>
      </w:r>
      <w:r>
        <w:rPr/>
        <w:t>ist das hier</w:t>
      </w:r>
      <w:r>
        <w:rPr>
          <w:b/>
          <w:color w:val="808080"/>
        </w:rPr>
        <w:t>]</w:t>
      </w:r>
      <w:r>
        <w:rPr/>
        <w:t xml:space="preserve">?“ Sie </w:t>
      </w:r>
      <w:r>
        <w:rPr>
          <w:strike/>
          <w:color w:val="808080"/>
        </w:rPr>
        <w:t>{aber}</w:t>
      </w:r>
      <w:r>
        <w:rPr/>
        <w:t xml:space="preserve"> antworteten </w:t>
      </w:r>
      <w:r>
        <w:rPr>
          <w:color w:val="808080"/>
        </w:rPr>
        <w:t>(sagten)</w:t>
      </w:r>
      <w:r>
        <w:rPr/>
        <w:t xml:space="preserve"> </w:t>
      </w:r>
      <w:r>
        <w:rPr>
          <w:strike/>
          <w:color w:val="808080"/>
        </w:rPr>
        <w:t>{ihm}</w:t>
      </w:r>
      <w:r>
        <w:rPr/>
        <w:t>: „</w:t>
      </w:r>
      <w:r>
        <w:rPr>
          <w:b/>
          <w:color w:val="808080"/>
        </w:rPr>
        <w:t>[</w:t>
      </w:r>
      <w:r>
        <w:rPr/>
        <w:t>Des</w:t>
      </w:r>
      <w:r>
        <w:rPr>
          <w:b/>
          <w:color w:val="808080"/>
        </w:rPr>
        <w:t>]</w:t>
      </w:r>
      <w:r>
        <w:rPr/>
        <w:t xml:space="preserve"> Kaisers </w:t>
      </w:r>
      <w:r>
        <w:rPr>
          <w:color w:val="808080"/>
        </w:rPr>
        <w:t>(Cäsars)</w:t>
      </w:r>
      <w:r>
        <w:rPr/>
        <w:t xml:space="preserve">.“{{field-off:bible}} </w:t>
        <w:br/>
        <w:t>[[@BibleTOBIBLE:Mk 12:17]]</w:t>
      </w:r>
      <w:r>
        <w:rPr>
          <w:b/>
        </w:rPr>
        <w:t>17</w:t>
      </w:r>
      <w:r>
        <w:rPr/>
        <w:t xml:space="preserve"> {{field-on:bible}}Da sagte Jesus zu ihnen: „Was </w:t>
      </w:r>
      <w:r>
        <w:rPr>
          <w:b/>
          <w:color w:val="808080"/>
        </w:rPr>
        <w:t>[</w:t>
      </w:r>
      <w:r>
        <w:rPr/>
        <w:t>dem</w:t>
      </w:r>
      <w:r>
        <w:rPr>
          <w:b/>
          <w:color w:val="808080"/>
        </w:rPr>
        <w:t>]</w:t>
      </w:r>
      <w:r>
        <w:rPr/>
        <w:t xml:space="preserve"> Kaiser </w:t>
      </w:r>
      <w:r>
        <w:rPr>
          <w:color w:val="808080"/>
        </w:rPr>
        <w:t>(Cäsar)</w:t>
      </w:r>
      <w:r>
        <w:rPr/>
        <w:t xml:space="preserve"> gehört, </w:t>
      </w:r>
      <w:r>
        <w:rPr>
          <w:rStyle w:val="Funotenanker"/>
        </w:rPr>
        <w:footnoteReference w:customMarkFollows="1" w:id="2182"/>
        <w:t>ai</w:t>
      </w:r>
      <w:r>
        <w:rPr/>
        <w:t xml:space="preserve"> gebt </w:t>
      </w:r>
      <w:r>
        <w:rPr>
          <w:b/>
          <w:color w:val="808080"/>
        </w:rPr>
        <w:t>[</w:t>
      </w:r>
      <w:r>
        <w:rPr/>
        <w:t>dem</w:t>
      </w:r>
      <w:r>
        <w:rPr>
          <w:b/>
          <w:color w:val="808080"/>
        </w:rPr>
        <w:t>]</w:t>
      </w:r>
      <w:r>
        <w:rPr/>
        <w:t xml:space="preserve"> Kaiser </w:t>
      </w:r>
      <w:r>
        <w:rPr>
          <w:color w:val="808080"/>
        </w:rPr>
        <w:t>(Cäsar)</w:t>
      </w:r>
      <w:r>
        <w:rPr/>
        <w:t xml:space="preserve"> zurück, und was Gott </w:t>
      </w:r>
      <w:r>
        <w:rPr>
          <w:b/>
          <w:color w:val="808080"/>
        </w:rPr>
        <w:t>[</w:t>
      </w:r>
      <w:r>
        <w:rPr/>
        <w:t>gehört</w:t>
      </w:r>
      <w:r>
        <w:rPr>
          <w:b/>
          <w:color w:val="808080"/>
        </w:rPr>
        <w:t>]</w:t>
      </w:r>
      <w:r>
        <w:rPr/>
        <w:t xml:space="preserve">, </w:t>
      </w:r>
      <w:r>
        <w:rPr>
          <w:b/>
          <w:color w:val="808080"/>
        </w:rPr>
        <w:t>[</w:t>
      </w:r>
      <w:r>
        <w:rPr/>
        <w:t>gebt</w:t>
      </w:r>
      <w:r>
        <w:rPr>
          <w:b/>
          <w:color w:val="808080"/>
        </w:rPr>
        <w:t>]</w:t>
      </w:r>
      <w:r>
        <w:rPr/>
        <w:t xml:space="preserve"> Gott!“ Da </w:t>
      </w:r>
      <w:r>
        <w:rPr>
          <w:color w:val="808080"/>
        </w:rPr>
        <w:t>(Und)</w:t>
      </w:r>
      <w:r>
        <w:rPr/>
        <w:t xml:space="preserve"> waren sie sehr erstaunt </w:t>
      </w:r>
      <w:r>
        <w:rPr>
          <w:rStyle w:val="Funotenanker"/>
        </w:rPr>
        <w:footnoteReference w:customMarkFollows="1" w:id="2183"/>
        <w:t>aj</w:t>
      </w:r>
      <w:r>
        <w:rPr/>
        <w:t xml:space="preserve"> über ihn.{{field-off:bible}} </w:t>
        <w:br/>
        <w:t>[[@BibleTOBIBLE:Mk 12:18]]</w:t>
      </w:r>
      <w:r>
        <w:rPr>
          <w:b/>
        </w:rPr>
        <w:t>18</w:t>
      </w:r>
      <w:r>
        <w:rPr/>
        <w:t xml:space="preserve"> {{field-on:bible}} </w:t>
      </w:r>
      <w:r>
        <w:rPr>
          <w:strike/>
          <w:color w:val="808080"/>
        </w:rPr>
        <w:t>{Und}</w:t>
      </w:r>
      <w:r>
        <w:rPr/>
        <w:t xml:space="preserve"> es kamen zu ihm Sadduzäer, welche sagen </w:t>
      </w:r>
      <w:r>
        <w:rPr>
          <w:color w:val="808080"/>
        </w:rPr>
        <w:t>(der Meinung sind)</w:t>
      </w:r>
      <w:r>
        <w:rPr/>
        <w:t xml:space="preserve">, dass es keine Auferstehung gibt, und fragten ihn </w:t>
      </w:r>
      <w:r>
        <w:rPr>
          <w:strike/>
          <w:color w:val="808080"/>
        </w:rPr>
        <w:t>{sagend}</w:t>
      </w:r>
      <w:r>
        <w:rPr/>
        <w:t xml:space="preserve">:{{field-off:bible}} </w:t>
        <w:br/>
        <w:t>[[@BibleTOBIBLE:Mk 12:19]]</w:t>
      </w:r>
      <w:r>
        <w:rPr>
          <w:b/>
        </w:rPr>
        <w:t>19</w:t>
      </w:r>
      <w:r>
        <w:rPr/>
        <w:t xml:space="preserve"> {{field-on:bible}}„Lehrer, Mose hat uns geschrieben</w:t>
      </w:r>
      <w:r>
        <w:rPr>
          <w:rStyle w:val="Funotenanker"/>
        </w:rPr>
        <w:footnoteReference w:customMarkFollows="1" w:id="2184"/>
        <w:t>ak</w:t>
      </w:r>
      <w:r>
        <w:rPr/>
        <w:t>: »Wenn jemandes Bruder stirbt, und eine Frau zurücklässt</w:t>
      </w:r>
      <w:r>
        <w:rPr>
          <w:rStyle w:val="Funotenanker"/>
        </w:rPr>
        <w:footnoteReference w:customMarkFollows="1" w:id="2185"/>
        <w:t>al</w:t>
      </w:r>
      <w:r>
        <w:rPr/>
        <w:t xml:space="preserve"> und kein Kind hinterlässt, dass dann sein Bruder dessen Frau nehmen und er für seinen Bruder Nachkommen </w:t>
      </w:r>
      <w:r>
        <w:rPr>
          <w:color w:val="808080"/>
        </w:rPr>
        <w:t>(Samen)</w:t>
      </w:r>
      <w:r>
        <w:rPr/>
        <w:t xml:space="preserve"> zeugen </w:t>
      </w:r>
      <w:r>
        <w:rPr>
          <w:color w:val="808080"/>
        </w:rPr>
        <w:t>(aufrichten)</w:t>
      </w:r>
      <w:r>
        <w:rPr/>
        <w:t xml:space="preserve"> soll«</w:t>
      </w:r>
      <w:r>
        <w:rPr>
          <w:rStyle w:val="Funotenanker"/>
        </w:rPr>
        <w:footnoteReference w:customMarkFollows="1" w:id="2186"/>
        <w:t>am</w:t>
      </w:r>
      <w:r>
        <w:rPr/>
        <w:t xml:space="preserve">. </w:t>
      </w:r>
      <w:r>
        <w:rPr>
          <w:position w:val="8"/>
          <w:sz w:val="19"/>
        </w:rPr>
        <w:t>[[ ℘ &gt;&gt; BibleTOBIBLE:Dt 25:5]][[ ℘ &gt;&gt; BibleTOBIBLE:Ge 38:8]]</w:t>
      </w:r>
      <w:r>
        <w:rPr/>
        <w:t xml:space="preserve"> {{field-off:bible}} </w:t>
        <w:br/>
        <w:t>[[@BibleTOBIBLE:Mk 12:20]]</w:t>
      </w:r>
      <w:r>
        <w:rPr>
          <w:b/>
        </w:rPr>
        <w:t>20</w:t>
      </w:r>
      <w:r>
        <w:rPr/>
        <w:t xml:space="preserve"> {{field-on:bible}}Es waren </w:t>
      </w:r>
      <w:r>
        <w:rPr>
          <w:b/>
          <w:color w:val="808080"/>
        </w:rPr>
        <w:t>[</w:t>
      </w:r>
      <w:r>
        <w:rPr/>
        <w:t>einmal</w:t>
      </w:r>
      <w:r>
        <w:rPr>
          <w:b/>
          <w:color w:val="808080"/>
        </w:rPr>
        <w:t>]</w:t>
      </w:r>
      <w:r>
        <w:rPr/>
        <w:t xml:space="preserve"> sieben Brüder. Und der erste nahm eine Frau, und als er starb, hinterließ er keinen Nachkommen </w:t>
      </w:r>
      <w:r>
        <w:rPr>
          <w:color w:val="808080"/>
        </w:rPr>
        <w:t>(Samen)</w:t>
      </w:r>
      <w:r>
        <w:rPr/>
        <w:t xml:space="preserve">.{{field-off:bible}} </w:t>
        <w:br/>
        <w:t>[[@BibleTOBIBLE:Mk 12:21]]</w:t>
      </w:r>
      <w:r>
        <w:rPr>
          <w:b/>
        </w:rPr>
        <w:t>21</w:t>
      </w:r>
      <w:r>
        <w:rPr/>
        <w:t xml:space="preserve"> {{field-on:bible}}Und der zweite nahm sie, und er starb und hinterließ keinen Nachkommen </w:t>
      </w:r>
      <w:r>
        <w:rPr>
          <w:color w:val="808080"/>
        </w:rPr>
        <w:t>(Samen)</w:t>
      </w:r>
      <w:r>
        <w:rPr/>
        <w:t xml:space="preserve">. Und der dritte ebenso.{{field-off:bible}} </w:t>
        <w:br/>
        <w:t>[[@BibleTOBIBLE:Mk 12:22]]</w:t>
      </w:r>
      <w:r>
        <w:rPr>
          <w:b/>
        </w:rPr>
        <w:t>22</w:t>
      </w:r>
      <w:r>
        <w:rPr/>
        <w:t xml:space="preserve"> {{field-on:bible}} </w:t>
      </w:r>
      <w:r>
        <w:rPr>
          <w:strike/>
          <w:color w:val="808080"/>
        </w:rPr>
        <w:t>{Und}</w:t>
      </w:r>
      <w:r>
        <w:rPr/>
        <w:t xml:space="preserve"> die Sieben hinterließen </w:t>
      </w:r>
      <w:r>
        <w:rPr>
          <w:b/>
          <w:color w:val="808080"/>
        </w:rPr>
        <w:t>[</w:t>
      </w:r>
      <w:r>
        <w:rPr/>
        <w:t>also alle</w:t>
      </w:r>
      <w:r>
        <w:rPr>
          <w:b/>
          <w:color w:val="808080"/>
        </w:rPr>
        <w:t>]</w:t>
      </w:r>
      <w:r>
        <w:rPr/>
        <w:t xml:space="preserve"> keinen Nachkommen. </w:t>
      </w:r>
      <w:r>
        <w:rPr>
          <w:b/>
          <w:color w:val="808080"/>
        </w:rPr>
        <w:t>[</w:t>
      </w:r>
      <w:r>
        <w:rPr/>
        <w:t>Als</w:t>
      </w:r>
      <w:r>
        <w:rPr>
          <w:b/>
          <w:color w:val="808080"/>
        </w:rPr>
        <w:t>]</w:t>
      </w:r>
      <w:r>
        <w:rPr/>
        <w:t xml:space="preserve"> Letzte von allen starb auch die Frau.{{field-off:bible}} </w:t>
        <w:br/>
        <w:t>[[@BibleTOBIBLE:Mk 12:23]]</w:t>
      </w:r>
      <w:r>
        <w:rPr>
          <w:b/>
        </w:rPr>
        <w:t>23</w:t>
      </w:r>
      <w:r>
        <w:rPr/>
        <w:t xml:space="preserve"> {{field-on:bible}}Bei der Auferstehung, wenn sie auferstehen:</w:t>
      </w:r>
      <w:r>
        <w:rPr>
          <w:rStyle w:val="Funotenanker"/>
        </w:rPr>
        <w:footnoteReference w:customMarkFollows="1" w:id="2187"/>
        <w:t>an</w:t>
      </w:r>
      <w:r>
        <w:rPr/>
        <w:t xml:space="preserve">Wessen Frau von diesen wird sie sein? Denn die sieben hatten sie </w:t>
      </w:r>
      <w:r>
        <w:rPr>
          <w:b/>
          <w:color w:val="808080"/>
        </w:rPr>
        <w:t>[</w:t>
      </w:r>
      <w:r>
        <w:rPr/>
        <w:t>alle</w:t>
      </w:r>
      <w:r>
        <w:rPr>
          <w:b/>
          <w:color w:val="808080"/>
        </w:rPr>
        <w:t>]</w:t>
      </w:r>
      <w:r>
        <w:rPr/>
        <w:t xml:space="preserve"> zur Frau.“{{field-off:bible}} </w:t>
        <w:br/>
        <w:t>[[@BibleTOBIBLE:Mk 12:24]]</w:t>
      </w:r>
      <w:r>
        <w:rPr>
          <w:b/>
        </w:rPr>
        <w:t>24</w:t>
      </w:r>
      <w:r>
        <w:rPr/>
        <w:t xml:space="preserve"> {{field-on:bible}}Jesus sagte zu ihnen: „Täuscht ihr euch nicht deshalb, weil ihr die Schriften nicht kennt und nicht Gottes Kraft?{{field-off:bible}} </w:t>
        <w:br/>
        <w:t>[[@BibleTOBIBLE:Mk 12:25]]</w:t>
      </w:r>
      <w:r>
        <w:rPr>
          <w:b/>
        </w:rPr>
        <w:t>25</w:t>
      </w:r>
      <w:r>
        <w:rPr/>
        <w:t xml:space="preserve"> {{field-on:bible}}Denn wenn sie von den Toten auferstehen, werden sie weder heiraten noch werden sie verheiratet, sondern sie sind wie Engel im Himmel </w:t>
      </w:r>
      <w:r>
        <w:rPr>
          <w:color w:val="808080"/>
        </w:rPr>
        <w:t>(in den Himmeln)</w:t>
      </w:r>
      <w:r>
        <w:rPr/>
        <w:t xml:space="preserve">.{{field-off:bible}} </w:t>
        <w:br/>
        <w:t>[[@BibleTOBIBLE:Mk 12:26]]</w:t>
      </w:r>
      <w:r>
        <w:rPr>
          <w:b/>
        </w:rPr>
        <w:t>26</w:t>
      </w:r>
      <w:r>
        <w:rPr/>
        <w:t xml:space="preserve"> {{field-on:bible}}Hinsichtlich der Toten aber, dass sie auferweckt werden – habt ihr nicht im Buch des Mose über den Dornbusch gelesen, wie Gott </w:t>
      </w:r>
      <w:r>
        <w:rPr>
          <w:b/>
          <w:color w:val="808080"/>
        </w:rPr>
        <w:t>[</w:t>
      </w:r>
      <w:r>
        <w:rPr/>
        <w:t>da</w:t>
      </w:r>
      <w:r>
        <w:rPr>
          <w:b/>
          <w:color w:val="808080"/>
        </w:rPr>
        <w:t>]</w:t>
      </w:r>
      <w:r>
        <w:rPr/>
        <w:t xml:space="preserve"> zu ihm sprach </w:t>
      </w:r>
      <w:r>
        <w:rPr>
          <w:strike/>
          <w:color w:val="808080"/>
        </w:rPr>
        <w:t>{sagend}</w:t>
      </w:r>
      <w:r>
        <w:rPr/>
        <w:t xml:space="preserve">: »Ich </w:t>
      </w:r>
      <w:r>
        <w:rPr>
          <w:b/>
          <w:color w:val="808080"/>
        </w:rPr>
        <w:t>[</w:t>
      </w:r>
      <w:r>
        <w:rPr/>
        <w:t>bin</w:t>
      </w:r>
      <w:r>
        <w:rPr>
          <w:b/>
          <w:color w:val="808080"/>
        </w:rPr>
        <w:t>]</w:t>
      </w:r>
      <w:r>
        <w:rPr/>
        <w:t xml:space="preserve"> der Gott Abrahams und der Gott Isaaks und der Gott Jakobs«? </w:t>
      </w:r>
      <w:r>
        <w:rPr>
          <w:rStyle w:val="Funotenanker"/>
        </w:rPr>
        <w:footnoteReference w:customMarkFollows="1" w:id="2188"/>
        <w:t>ao</w:t>
      </w:r>
      <w:r>
        <w:rPr/>
        <w:t xml:space="preserve"> </w:t>
      </w:r>
      <w:r>
        <w:rPr>
          <w:position w:val="8"/>
          <w:sz w:val="19"/>
        </w:rPr>
        <w:t>[[ ℘ &gt;&gt; BibleTOBIBLE:Ex 3:6]]</w:t>
      </w:r>
      <w:r>
        <w:rPr/>
        <w:t xml:space="preserve"> {{field-off:bible}} </w:t>
        <w:br/>
        <w:t>[[@BibleTOBIBLE:Mk 12:27]]</w:t>
      </w:r>
      <w:r>
        <w:rPr>
          <w:b/>
        </w:rPr>
        <w:t>27</w:t>
      </w:r>
      <w:r>
        <w:rPr/>
        <w:t xml:space="preserve"> {{field-on:bible}}Er ist nicht ein Gott der Toten, sondern der Lebenden. Ihr täuscht euch sehr.“{{field-off:bible}} </w:t>
        <w:br/>
        <w:t>[[@BibleTOBIBLE:Mk 12:28]]</w:t>
      </w:r>
      <w:r>
        <w:rPr>
          <w:b/>
        </w:rPr>
        <w:t>28</w:t>
      </w:r>
      <w:r>
        <w:rPr/>
        <w:t xml:space="preserve"> {{field-on:bible}}Und es kam einer von den Schriftgelehrten zu ihnen, der gehört hatte, wie sie diskutierten </w:t>
      </w:r>
      <w:r>
        <w:rPr>
          <w:color w:val="808080"/>
        </w:rPr>
        <w:t>(ihre Diskussion, ihr Streiten)</w:t>
      </w:r>
      <w:r>
        <w:rPr/>
        <w:t xml:space="preserve">. Und als er sah, dass er ihnen gut geantwortet hatte, fragte er ihn: „Was ist das höchste </w:t>
      </w:r>
      <w:r>
        <w:rPr>
          <w:color w:val="808080"/>
        </w:rPr>
        <w:t>(erste)</w:t>
      </w:r>
      <w:r>
        <w:rPr/>
        <w:t xml:space="preserve"> Gebot von allen?“{{field-off:bible}} </w:t>
        <w:br/>
        <w:t>[[@BibleTOBIBLE:Mk 12:29]]</w:t>
      </w:r>
      <w:r>
        <w:rPr>
          <w:b/>
        </w:rPr>
        <w:t>29</w:t>
      </w:r>
      <w:r>
        <w:rPr/>
        <w:t xml:space="preserve"> {{field-on:bible}}Jesus antwortete: „Das höchste </w:t>
      </w:r>
      <w:r>
        <w:rPr>
          <w:color w:val="808080"/>
        </w:rPr>
        <w:t>(erste)</w:t>
      </w:r>
      <w:r>
        <w:rPr/>
        <w:t xml:space="preserve"> Gebot ist: »Höre Israel: Der Herr, unser Gott, ist Herr allein,{{field-off:bible}} </w:t>
        <w:br/>
        <w:t>[[@BibleTOBIBLE:Mk 12:30]]</w:t>
      </w:r>
      <w:r>
        <w:rPr>
          <w:b/>
        </w:rPr>
        <w:t>30</w:t>
      </w:r>
      <w:r>
        <w:rPr/>
        <w:t xml:space="preserve"> {{field-on:bible}}und liebe </w:t>
      </w:r>
      <w:r>
        <w:rPr>
          <w:color w:val="808080"/>
        </w:rPr>
        <w:t>(du sollst lieben)</w:t>
      </w:r>
      <w:r>
        <w:rPr/>
        <w:t xml:space="preserve"> den Herrn, deinen Gott, aus deinem ganzen Herzen und aus deiner ganzen Seele und aus deinem ganzen Verstand </w:t>
      </w:r>
      <w:r>
        <w:rPr>
          <w:color w:val="808080"/>
        </w:rPr>
        <w:t>(Vernunft, Gesinnung)</w:t>
      </w:r>
      <w:r>
        <w:rPr/>
        <w:t xml:space="preserve"> und aus deiner ganzen Kraft </w:t>
      </w:r>
      <w:r>
        <w:rPr>
          <w:color w:val="808080"/>
        </w:rPr>
        <w:t>(Macht, Stärke)</w:t>
      </w:r>
      <w:r>
        <w:rPr/>
        <w:t>.«</w:t>
      </w:r>
      <w:r>
        <w:rPr>
          <w:position w:val="8"/>
          <w:sz w:val="19"/>
        </w:rPr>
        <w:t>[[ ℘ &gt;&gt; BibleTOBIBLE:Dt 6:4]][[ ℘ &gt;&gt; BibleTOBIBLE:Jos 22:5]]</w:t>
      </w:r>
      <w:r>
        <w:rPr/>
        <w:t xml:space="preserve"> {{field-off:bible}} </w:t>
        <w:br/>
        <w:t>[[@BibleTOBIBLE:Mk 12:31]]</w:t>
      </w:r>
      <w:r>
        <w:rPr>
          <w:b/>
        </w:rPr>
        <w:t>31</w:t>
      </w:r>
      <w:r>
        <w:rPr/>
        <w:t xml:space="preserve"> {{field-on:bible}}Das zweite </w:t>
      </w:r>
      <w:r>
        <w:rPr>
          <w:color w:val="808080"/>
        </w:rPr>
        <w:t>(andere)</w:t>
      </w:r>
      <w:r>
        <w:rPr/>
        <w:t xml:space="preserve"> ist dieses: »Liebe </w:t>
      </w:r>
      <w:r>
        <w:rPr>
          <w:color w:val="808080"/>
        </w:rPr>
        <w:t>(und du sollst lieben)</w:t>
      </w:r>
      <w:r>
        <w:rPr/>
        <w:t xml:space="preserve"> deinen Mitmenschen </w:t>
      </w:r>
      <w:r>
        <w:rPr>
          <w:color w:val="808080"/>
        </w:rPr>
        <w:t>(Nächsten, Nahestehenden, Nachbarn)</w:t>
      </w:r>
      <w:r>
        <w:rPr/>
        <w:t xml:space="preserve"> wie dich selbst!«</w:t>
      </w:r>
      <w:r>
        <w:rPr>
          <w:position w:val="8"/>
          <w:sz w:val="19"/>
        </w:rPr>
        <w:t>[[ ℘ &gt;&gt; BibleTOBIBLE:Le 19:18]]</w:t>
      </w:r>
      <w:r>
        <w:rPr/>
        <w:t xml:space="preserve"> Größer als diese ist kein anderes Gebot.“{{field-off:bible}} </w:t>
        <w:br/>
        <w:t>[[@BibleTOBIBLE:Mk 12:32]]</w:t>
      </w:r>
      <w:r>
        <w:rPr>
          <w:b/>
        </w:rPr>
        <w:t>32</w:t>
      </w:r>
      <w:r>
        <w:rPr/>
        <w:t xml:space="preserve"> {{field-on:bible}}Und der Schriftgelehrte sagte zu ihm: „Gut, Lehrer, hast du von der Wahrheit geredet: »Er nur einer ist und kein </w:t>
      </w:r>
      <w:r>
        <w:rPr>
          <w:color w:val="808080"/>
        </w:rPr>
        <w:t>(nicht ein)</w:t>
      </w:r>
      <w:r>
        <w:rPr/>
        <w:t xml:space="preserve"> anderer außer ihm.«{{field-off:bible}} </w:t>
        <w:br/>
        <w:t>[[@BibleTOBIBLE:Mk 12:33]]</w:t>
      </w:r>
      <w:r>
        <w:rPr>
          <w:b/>
        </w:rPr>
        <w:t>33</w:t>
      </w:r>
      <w:r>
        <w:rPr/>
        <w:t xml:space="preserve"> {{field-on:bible}}Und »ihn zu lieben aus ganzem Herzen und aus ganzer Auffassungsgabe</w:t>
      </w:r>
      <w:r>
        <w:rPr>
          <w:rStyle w:val="Funotenanker"/>
        </w:rPr>
        <w:footnoteReference w:customMarkFollows="1" w:id="2189"/>
        <w:t>ap</w:t>
      </w:r>
      <w:r>
        <w:rPr/>
        <w:t xml:space="preserve"> und aus ganzer Kraft und den Mitmenschen </w:t>
      </w:r>
      <w:r>
        <w:rPr>
          <w:color w:val="808080"/>
        </w:rPr>
        <w:t>(Nächsten, Nahestehenden, Nachbarn)</w:t>
      </w:r>
      <w:r>
        <w:rPr/>
        <w:t xml:space="preserve"> zu lieben wie sich selbst«, ist mehr als alle Brandopfer und Schlachtopfer.“{{field-off:bible}} </w:t>
        <w:br/>
        <w:t>[[@BibleTOBIBLE:Mk 12:34]]</w:t>
      </w:r>
      <w:r>
        <w:rPr>
          <w:b/>
        </w:rPr>
        <w:t>34</w:t>
      </w:r>
      <w:r>
        <w:rPr/>
        <w:t xml:space="preserve"> {{field-on:bible}}Als Jesus sah, dass er verständig antwortete, sagte er zu ihm: „Du bist nicht weit </w:t>
      </w:r>
      <w:r>
        <w:rPr>
          <w:b/>
          <w:color w:val="808080"/>
        </w:rPr>
        <w:t>[</w:t>
      </w:r>
      <w:r>
        <w:rPr/>
        <w:t>entfernt</w:t>
      </w:r>
      <w:r>
        <w:rPr>
          <w:b/>
          <w:color w:val="808080"/>
        </w:rPr>
        <w:t>]</w:t>
      </w:r>
      <w:r>
        <w:rPr/>
        <w:t xml:space="preserve"> vom Reich Gottes </w:t>
      </w:r>
      <w:r>
        <w:rPr>
          <w:color w:val="808080"/>
        </w:rPr>
        <w:t>(von der Gottesherrschaft)</w:t>
      </w:r>
      <w:r>
        <w:rPr/>
        <w:t xml:space="preserve">.“ Und niemand wagte mehr, ihn zu fragen.{{field-off:bible}} </w:t>
        <w:br/>
        <w:t>[[@BibleTOBIBLE:Mk 12:35]]</w:t>
      </w:r>
      <w:r>
        <w:rPr>
          <w:b/>
        </w:rPr>
        <w:t>35</w:t>
      </w:r>
      <w:r>
        <w:rPr/>
        <w:t xml:space="preserve"> {{field-on:bible}} </w:t>
      </w:r>
      <w:r>
        <w:rPr>
          <w:strike/>
          <w:color w:val="808080"/>
        </w:rPr>
        <w:t>{Und}</w:t>
      </w:r>
      <w:r>
        <w:rPr/>
        <w:t xml:space="preserve"> Jesus sprach </w:t>
      </w:r>
      <w:r>
        <w:rPr>
          <w:color w:val="808080"/>
        </w:rPr>
        <w:t>(antwortete)</w:t>
      </w:r>
      <w:r>
        <w:rPr/>
        <w:t xml:space="preserve"> </w:t>
      </w:r>
      <w:r>
        <w:rPr>
          <w:strike/>
          <w:color w:val="808080"/>
        </w:rPr>
        <w:t>{und redete}</w:t>
      </w:r>
      <w:r>
        <w:rPr/>
        <w:t xml:space="preserve">, als er im Tempel lehrte: „Wie </w:t>
      </w:r>
      <w:r>
        <w:rPr>
          <w:b/>
          <w:color w:val="808080"/>
        </w:rPr>
        <w:t>[</w:t>
      </w:r>
      <w:r>
        <w:rPr/>
        <w:t>können</w:t>
      </w:r>
      <w:r>
        <w:rPr>
          <w:b/>
          <w:color w:val="808080"/>
        </w:rPr>
        <w:t>]</w:t>
      </w:r>
      <w:r>
        <w:rPr/>
        <w:t xml:space="preserve"> die Schriftgelehrten sagen, dass der Gesalbte der Sohn Davids ist?{{field-off:bible}} </w:t>
        <w:br/>
        <w:t>[[@BibleTOBIBLE:Mk 12:36]]</w:t>
      </w:r>
      <w:r>
        <w:rPr>
          <w:b/>
        </w:rPr>
        <w:t>36</w:t>
      </w:r>
      <w:r>
        <w:rPr/>
        <w:t xml:space="preserve"> {{field-on:bible}}David selbst sagte im heiligen Geist: »Der Herr sagte zu meinem Herrn. Setze </w:t>
      </w:r>
      <w:r>
        <w:rPr>
          <w:b/>
          <w:color w:val="808080"/>
        </w:rPr>
        <w:t>[</w:t>
      </w:r>
      <w:r>
        <w:rPr/>
        <w:t>dich</w:t>
      </w:r>
      <w:r>
        <w:rPr>
          <w:b/>
          <w:color w:val="808080"/>
        </w:rPr>
        <w:t>]</w:t>
      </w:r>
      <w:r>
        <w:rPr/>
        <w:t xml:space="preserve"> zu meiner Rechten, bis ich deine Feinde unter deine Füße setze.«</w:t>
      </w:r>
      <w:r>
        <w:rPr>
          <w:rStyle w:val="Funotenanker"/>
        </w:rPr>
        <w:footnoteReference w:customMarkFollows="1" w:id="2190"/>
        <w:t>aq</w:t>
      </w:r>
      <w:r>
        <w:rPr/>
        <w:t xml:space="preserve"> {{field-off:bible}} </w:t>
        <w:br/>
        <w:t>[[@BibleTOBIBLE:Mk 12:37]]</w:t>
      </w:r>
      <w:r>
        <w:rPr>
          <w:b/>
        </w:rPr>
        <w:t>37</w:t>
      </w:r>
      <w:r>
        <w:rPr/>
        <w:t xml:space="preserve"> {{field-on:bible}}David selbst nennt ihn Herrn, und wie soll er </w:t>
      </w:r>
      <w:r>
        <w:rPr>
          <w:b/>
          <w:color w:val="808080"/>
        </w:rPr>
        <w:t>[</w:t>
      </w:r>
      <w:r>
        <w:rPr/>
        <w:t>dann</w:t>
      </w:r>
      <w:r>
        <w:rPr>
          <w:b/>
          <w:color w:val="808080"/>
        </w:rPr>
        <w:t>]</w:t>
      </w:r>
      <w:r>
        <w:rPr/>
        <w:t xml:space="preserve"> Sohn sein?“ Und die große Menschenmenge hörte ihn gern.{{field-off:bible}} </w:t>
        <w:br/>
        <w:t>[[@BibleTOBIBLE:Mk 12:38]]</w:t>
      </w:r>
      <w:r>
        <w:rPr>
          <w:b/>
        </w:rPr>
        <w:t>38</w:t>
      </w:r>
      <w:r>
        <w:rPr/>
        <w:t xml:space="preserve"> {{field-on:bible}}Und er sagte in seiner Lehre: „Hütet euch vor den Schriftgelehrten, die in Roben umhergehen wollen und Begrüßungen auf den Marktplätzen{{field-off:bible}} </w:t>
        <w:br/>
        <w:t>[[@BibleTOBIBLE:Mk 12:39]]</w:t>
      </w:r>
      <w:r>
        <w:rPr>
          <w:b/>
        </w:rPr>
        <w:t>39</w:t>
      </w:r>
      <w:r>
        <w:rPr/>
        <w:t xml:space="preserve"> {{field-on:bible}}und Vorsitze in den Synagogen und erste Plätze bei den Festmählern </w:t>
      </w:r>
      <w:r>
        <w:rPr>
          <w:b/>
          <w:color w:val="808080"/>
        </w:rPr>
        <w:t>[</w:t>
      </w:r>
      <w:r>
        <w:rPr/>
        <w:t>begehren</w:t>
      </w:r>
      <w:r>
        <w:rPr>
          <w:b/>
          <w:color w:val="808080"/>
        </w:rPr>
        <w:t>]</w:t>
      </w:r>
      <w:r>
        <w:rPr/>
        <w:t xml:space="preserve">.{{field-off:bible}} </w:t>
        <w:br/>
        <w:t>[[@BibleTOBIBLE:Mk 12:40]]</w:t>
      </w:r>
      <w:r>
        <w:rPr>
          <w:b/>
        </w:rPr>
        <w:t>40</w:t>
      </w:r>
      <w:r>
        <w:rPr/>
        <w:t xml:space="preserve"> {{field-on:bible}}Diejenigen, die die Häuser der Witwen verschlingen und für den Anschein lange beten, sie werden ein umfangreicheres Urteil erhalten.“{{field-off:bible}} </w:t>
        <w:br/>
        <w:t>[[@BibleTOBIBLE:Mk 12:41]]</w:t>
      </w:r>
      <w:r>
        <w:rPr>
          <w:b/>
        </w:rPr>
        <w:t>41</w:t>
      </w:r>
      <w:r>
        <w:rPr/>
        <w:t xml:space="preserve"> {{field-on:bible}}Und er setzte sich gegenüber dem Opferkasten und beobachtete, wie die Menschenmenge Geld in den Opferkasten warf; und viele Reiche warfen viel ein.{{field-off:bible}} </w:t>
        <w:br/>
        <w:t>[[@BibleTOBIBLE:Mk 12:42]]</w:t>
      </w:r>
      <w:r>
        <w:rPr>
          <w:b/>
        </w:rPr>
        <w:t>42</w:t>
      </w:r>
      <w:r>
        <w:rPr/>
        <w:t xml:space="preserve"> {{field-on:bible}}Da kam eine einzige arme Witwe und warf zwei Lepta ein, das entspricht einem Quadrans.{{field-off:bible}} </w:t>
        <w:br/>
        <w:t>[[@BibleTOBIBLE:Mk 12:43]]</w:t>
      </w:r>
      <w:r>
        <w:rPr>
          <w:b/>
        </w:rPr>
        <w:t>43</w:t>
      </w:r>
      <w:r>
        <w:rPr/>
        <w:t xml:space="preserve"> {{field-on:bible}}Und nachdem er seine Jünger zu sich gerufen hatte, sagte er zu ihnen: „Amen, ich sage euch:</w:t>
      </w:r>
      <w:r>
        <w:rPr>
          <w:rStyle w:val="Funotenanker"/>
        </w:rPr>
        <w:footnoteReference w:customMarkFollows="1" w:id="2191"/>
        <w:t>ar</w:t>
      </w:r>
      <w:r>
        <w:rPr/>
        <w:t xml:space="preserve"> Diese arme Witwe hat mehr als alle </w:t>
      </w:r>
      <w:r>
        <w:rPr>
          <w:b/>
          <w:color w:val="808080"/>
        </w:rPr>
        <w:t>[</w:t>
      </w:r>
      <w:r>
        <w:rPr/>
        <w:t>anderen</w:t>
      </w:r>
      <w:r>
        <w:rPr>
          <w:b/>
          <w:color w:val="808080"/>
        </w:rPr>
        <w:t>]</w:t>
      </w:r>
      <w:r>
        <w:rPr/>
        <w:t xml:space="preserve"> eingeworfen, die </w:t>
      </w:r>
      <w:r>
        <w:rPr>
          <w:b/>
          <w:color w:val="808080"/>
        </w:rPr>
        <w:t>[</w:t>
      </w:r>
      <w:r>
        <w:rPr/>
        <w:t>etwas</w:t>
      </w:r>
      <w:r>
        <w:rPr>
          <w:b/>
          <w:color w:val="808080"/>
        </w:rPr>
        <w:t>]</w:t>
      </w:r>
      <w:r>
        <w:rPr/>
        <w:t xml:space="preserve"> in den Opferkasten eingeworfen haben.{{field-off:bible}} </w:t>
        <w:br/>
        <w:t>[[@BibleTOBIBLE:Mk 12:44]]</w:t>
      </w:r>
      <w:r>
        <w:rPr>
          <w:b/>
        </w:rPr>
        <w:t>44</w:t>
      </w:r>
      <w:r>
        <w:rPr/>
        <w:t xml:space="preserve"> {{field-on:bible}}Denn alle haben </w:t>
      </w:r>
      <w:r>
        <w:rPr>
          <w:b/>
          <w:color w:val="808080"/>
        </w:rPr>
        <w:t>[</w:t>
      </w:r>
      <w:r>
        <w:rPr/>
        <w:t>etwas</w:t>
      </w:r>
      <w:r>
        <w:rPr>
          <w:b/>
          <w:color w:val="808080"/>
        </w:rPr>
        <w:t>]</w:t>
      </w:r>
      <w:r>
        <w:rPr/>
        <w:t xml:space="preserve"> aus ihrem Überfluss eingeworfen, sie aber hat aus ihrem Mangel alles, was sie hatte, eingeworfen – ihr ganzes Leben </w:t>
      </w:r>
      <w:r>
        <w:rPr>
          <w:color w:val="808080"/>
        </w:rPr>
        <w:t>(ihren ganzen Lebensunterhalt)</w:t>
      </w:r>
      <w:r>
        <w:rPr/>
        <w:t>.“</w:t>
      </w:r>
      <w:r>
        <w:rPr>
          <w:rStyle w:val="Funotenanker"/>
        </w:rPr>
        <w:footnoteReference w:customMarkFollows="1" w:id="2192"/>
        <w:t>as</w:t>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2193"/>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2194"/>
        <w:t>a</w:t>
      </w:r>
      <w:r>
        <w:rPr/>
        <w:t xml:space="preserve"> als er aus dem Tempel hinausging </w:t>
      </w:r>
      <w:r>
        <w:rPr>
          <w:color w:val="808080"/>
        </w:rPr>
        <w:t>(hinausgeht)</w:t>
      </w:r>
      <w:r>
        <w:rPr/>
        <w:t xml:space="preserve"> </w:t>
      </w:r>
      <w:r>
        <w:rPr>
          <w:rStyle w:val="Funotenanker"/>
        </w:rPr>
        <w:footnoteReference w:customMarkFollows="1" w:id="2195"/>
        <w:t>b</w:t>
      </w:r>
      <w:r>
        <w:rPr/>
        <w:t xml:space="preserve">, sagte </w:t>
      </w:r>
      <w:r>
        <w:rPr>
          <w:color w:val="808080"/>
        </w:rPr>
        <w:t>(sagt)</w:t>
      </w:r>
      <w:r>
        <w:rPr/>
        <w:t xml:space="preserve"> </w:t>
      </w:r>
      <w:r>
        <w:rPr>
          <w:rStyle w:val="Funotenanker"/>
        </w:rPr>
        <w:footnoteReference w:customMarkFollows="1" w:id="2196"/>
        <w:t>c</w:t>
      </w:r>
      <w:r>
        <w:rPr/>
        <w:t xml:space="preserve"> einer</w:t>
      </w:r>
      <w:r>
        <w:rPr>
          <w:rStyle w:val="Funotenanker"/>
        </w:rPr>
        <w:footnoteReference w:customMarkFollows="1" w:id="2197"/>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2198"/>
        <w:t>e</w:t>
      </w:r>
      <w:r>
        <w:rPr/>
        <w:t xml:space="preserve"> Was für Steine und was für Gebäude!</w:t>
      </w:r>
      <w:r>
        <w:rPr>
          <w:rStyle w:val="Funotenanker"/>
        </w:rPr>
        <w:footnoteReference w:customMarkFollows="1" w:id="2199"/>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2200"/>
        <w:t>g</w:t>
      </w:r>
      <w:r>
        <w:rPr/>
        <w:t xml:space="preserve"> Nicht </w:t>
      </w:r>
      <w:r>
        <w:rPr>
          <w:color w:val="808080"/>
        </w:rPr>
        <w:t>(Keinesfalls)</w:t>
      </w:r>
      <w:r>
        <w:rPr/>
        <w:t xml:space="preserve"> </w:t>
      </w:r>
      <w:r>
        <w:rPr>
          <w:rStyle w:val="Funotenanker"/>
        </w:rPr>
        <w:footnoteReference w:customMarkFollows="1" w:id="2201"/>
        <w:t>h</w:t>
      </w:r>
      <w:r>
        <w:rPr/>
        <w:t xml:space="preserve"> wird </w:t>
      </w:r>
      <w:r>
        <w:rPr>
          <w:b/>
          <w:color w:val="808080"/>
        </w:rPr>
        <w:t>[</w:t>
      </w:r>
      <w:r>
        <w:rPr/>
        <w:t>hier</w:t>
      </w:r>
      <w:r>
        <w:rPr>
          <w:b/>
          <w:color w:val="808080"/>
        </w:rPr>
        <w:t>]</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2202"/>
        <w:t>i</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2203"/>
        <w:t>j</w:t>
      </w:r>
      <w:r>
        <w:rPr/>
        <w:t xml:space="preserve"> Ölberg gegenüber dem Tempel, fragte</w:t>
      </w:r>
      <w:r>
        <w:rPr>
          <w:b/>
          <w:color w:val="808080"/>
        </w:rPr>
        <w:t>[</w:t>
      </w:r>
      <w:r>
        <w:rPr/>
        <w:t>n</w:t>
      </w:r>
      <w:r>
        <w:rPr>
          <w:b/>
          <w:color w:val="808080"/>
        </w:rPr>
        <w:t>]</w:t>
      </w:r>
      <w:r>
        <w:rPr/>
        <w:t xml:space="preserve"> ihn Petrus, Jakobus, Johannes und Andreas alleine</w:t>
      </w:r>
      <w:r>
        <w:rPr>
          <w:rStyle w:val="Funotenanker"/>
        </w:rPr>
        <w:footnoteReference w:customMarkFollows="1" w:id="2204"/>
        <w:t>k</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2205"/>
        <w:t>l</w:t>
      </w:r>
      <w:r>
        <w:rPr/>
        <w:t xml:space="preserve"> Wann wird dies</w:t>
      </w:r>
      <w:r>
        <w:rPr>
          <w:rStyle w:val="Funotenanker"/>
        </w:rPr>
        <w:footnoteReference w:customMarkFollows="1" w:id="2206"/>
        <w:t>m</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2207"/>
        <w:t>n</w:t>
      </w:r>
      <w:r>
        <w:rPr/>
        <w:t xml:space="preserve">, zu geschehen </w:t>
      </w:r>
      <w:r>
        <w:rPr>
          <w:color w:val="808080"/>
        </w:rPr>
        <w:t>(vollendet zu werden, zu enden)</w:t>
      </w:r>
      <w:r>
        <w:rPr/>
        <w:t xml:space="preserve"> </w:t>
      </w:r>
      <w:r>
        <w:rPr>
          <w:rStyle w:val="Funotenanker"/>
        </w:rPr>
        <w:footnoteReference w:customMarkFollows="1" w:id="2208"/>
        <w:t>o</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2209"/>
        <w:t>p</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es werden viele unter meinem Namen</w:t>
      </w:r>
      <w:r>
        <w:rPr>
          <w:rStyle w:val="Funotenanker"/>
        </w:rPr>
        <w:footnoteReference w:customMarkFollows="1" w:id="2210"/>
        <w:t>q</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2211"/>
        <w:t>r</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{{field-on:bible}}Erheben wird sich</w:t>
      </w:r>
      <w:r>
        <w:rPr>
          <w:rStyle w:val="Funotenanker"/>
        </w:rPr>
        <w:footnoteReference w:customMarkFollows="1" w:id="2212"/>
        <w:t>s</w:t>
      </w:r>
      <w:r>
        <w:rPr/>
        <w:t xml:space="preserve"> nämlich </w:t>
      </w:r>
      <w:r>
        <w:rPr>
          <w:color w:val="808080"/>
        </w:rPr>
        <w:t>(denn)</w:t>
      </w:r>
      <w:r>
        <w:rPr/>
        <w:t xml:space="preserve"> </w:t>
      </w:r>
      <w:r>
        <w:rPr>
          <w:rStyle w:val="Funotenanker"/>
        </w:rPr>
        <w:footnoteReference w:customMarkFollows="1" w:id="2213"/>
        <w:t>t</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2214"/>
        <w:t>u</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2215"/>
        <w:t>v</w:t>
      </w:r>
      <w:r>
        <w:rPr/>
        <w:t xml:space="preserve"> ausliefern</w:t>
      </w:r>
      <w:r>
        <w:rPr>
          <w:rStyle w:val="Funotenanker"/>
        </w:rPr>
        <w:footnoteReference w:customMarkFollows="1" w:id="2216"/>
        <w:t>w</w:t>
      </w:r>
      <w:r>
        <w:rPr/>
        <w:t xml:space="preserve"> an Synhedrien</w:t>
      </w:r>
      <w:r>
        <w:rPr>
          <w:rStyle w:val="Funotenanker"/>
        </w:rPr>
        <w:footnoteReference w:customMarkFollows="1" w:id="2217"/>
        <w:t>x</w:t>
      </w:r>
      <w:r>
        <w:rPr/>
        <w:t xml:space="preserve"> und Synagogen</w:t>
      </w:r>
      <w:r>
        <w:rPr>
          <w:rStyle w:val="Funotenanker"/>
        </w:rPr>
        <w:footnoteReference w:customMarkFollows="1" w:id="2218"/>
        <w:t>y</w:t>
      </w:r>
      <w:r>
        <w:rPr/>
        <w:t>, ihr werdet geprügelt werden und ihr werdet meinetwegen vor Statthalter und Könige gestellt werden, ihnen zum Zeugnis</w:t>
      </w:r>
      <w:r>
        <w:rPr>
          <w:rStyle w:val="Funotenanker"/>
        </w:rPr>
        <w:footnoteReference w:customMarkFollows="1" w:id="2219"/>
        <w:t>z</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2220"/>
        <w:t>aa</w:t>
      </w:r>
      <w:r>
        <w:rPr/>
        <w:t xml:space="preserve"> zuerst</w:t>
      </w:r>
      <w:r>
        <w:rPr>
          <w:rStyle w:val="Funotenanker"/>
        </w:rPr>
        <w:footnoteReference w:customMarkFollows="1" w:id="2221"/>
        <w:t>ab</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2222"/>
        <w:t>ac</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2223"/>
        <w:t>ad</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2224"/>
        <w:t>ae</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2225"/>
        <w:t>af</w:t>
      </w:r>
      <w:r>
        <w:rPr/>
        <w:t>. Der aber, der bis zum Ende</w:t>
      </w:r>
      <w:r>
        <w:rPr>
          <w:rStyle w:val="Funotenanker"/>
        </w:rPr>
        <w:footnoteReference w:customMarkFollows="1" w:id="2226"/>
        <w:t>ag</w:t>
      </w:r>
      <w:r>
        <w:rPr/>
        <w:t xml:space="preserve"> standhaft bleibt </w:t>
      </w:r>
      <w:r>
        <w:rPr>
          <w:color w:val="808080"/>
        </w:rPr>
        <w:t>(dies erduldet)</w:t>
      </w:r>
      <w:r>
        <w:rPr/>
        <w:t xml:space="preserve"> </w:t>
      </w:r>
      <w:r>
        <w:rPr>
          <w:rStyle w:val="Funotenanker"/>
        </w:rPr>
        <w:footnoteReference w:customMarkFollows="1" w:id="2227"/>
        <w:t>ah</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2228"/>
        <w:t>ai</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2229"/>
        <w:t>aj</w:t>
      </w:r>
      <w:r>
        <w:rPr/>
        <w:t xml:space="preserve"> –, dann sollen die in Judäa in die Berge fliehen</w:t>
      </w:r>
      <w:r>
        <w:rPr>
          <w:rStyle w:val="Funotenanker"/>
        </w:rPr>
        <w:footnoteReference w:customMarkFollows="1" w:id="2230"/>
        <w:t>ak</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2231"/>
        <w:t>al</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2232"/>
        <w:t>am</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2233"/>
        <w:t>an</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2234"/>
        <w:t>ao</w:t>
      </w:r>
      <w:r>
        <w:rPr/>
        <w:t>, die in jenen Tagen</w:t>
      </w:r>
      <w:r>
        <w:rPr>
          <w:rStyle w:val="Funotenanker"/>
        </w:rPr>
        <w:footnoteReference w:customMarkFollows="1" w:id="2235"/>
        <w:t>ap</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2236"/>
        <w:t>aq</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2237"/>
        <w:t>ar</w:t>
      </w:r>
      <w:r>
        <w:rPr/>
        <w:t xml:space="preserve"> bis jetzt nicht geschehen ist und niemals geschehen wird</w:t>
      </w:r>
      <w:r>
        <w:rPr>
          <w:rStyle w:val="Funotenanker"/>
        </w:rPr>
        <w:footnoteReference w:customMarkFollows="1" w:id="2238"/>
        <w:t>as</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2239"/>
        <w:t>at</w:t>
      </w:r>
      <w:r>
        <w:rPr/>
        <w:t xml:space="preserve"> würde absolut niemand</w:t>
      </w:r>
      <w:r>
        <w:rPr>
          <w:rStyle w:val="Funotenanker"/>
        </w:rPr>
        <w:footnoteReference w:customMarkFollows="1" w:id="2240"/>
        <w:t>au</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2241"/>
        <w:t>av</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2242"/>
        <w:t>aw</w:t>
      </w:r>
      <w:r>
        <w:rPr/>
        <w:t xml:space="preserve"> werden sie Zeichen und Wunder,</w:t>
      </w:r>
      <w:r>
        <w:rPr>
          <w:rStyle w:val="Funotenanker"/>
        </w:rPr>
        <w:footnoteReference w:customMarkFollows="1" w:id="2243"/>
        <w:t>ax</w:t>
      </w:r>
      <w:r>
        <w:rPr/>
        <w:t xml:space="preserve"> um – wenn möglich – die Auserwählten zu verführen </w:t>
      </w:r>
      <w:r>
        <w:rPr>
          <w:color w:val="808080"/>
        </w:rPr>
        <w:t>(irrezuführen)</w:t>
      </w:r>
      <w:r>
        <w:rPr/>
        <w:t xml:space="preserve"> </w:t>
      </w:r>
      <w:r>
        <w:rPr>
          <w:rStyle w:val="Funotenanker"/>
        </w:rPr>
        <w:footnoteReference w:customMarkFollows="1" w:id="2244"/>
        <w:t>ay</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2245"/>
        <w:t>az</w:t>
      </w:r>
      <w:r>
        <w:rPr/>
        <w:t xml:space="preserve"> seid achtsam! Ich habe euch alles vorausgesagt.</w:t>
      </w:r>
      <w:r>
        <w:rPr>
          <w:rStyle w:val="Funotenanker"/>
        </w:rPr>
        <w:footnoteReference w:customMarkFollows="1" w:id="2246"/>
        <w:t>ba</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2247"/>
        <w:t>bb</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2248"/>
        <w:t>bc</w:t>
      </w:r>
      <w:r>
        <w:rPr/>
        <w:t xml:space="preserve"> den in den Wolken kommenden Menschensohn</w:t>
      </w:r>
      <w:r>
        <w:rPr>
          <w:rStyle w:val="Funotenanker"/>
        </w:rPr>
        <w:footnoteReference w:customMarkFollows="1" w:id="2249"/>
        <w:t>bd</w:t>
      </w:r>
      <w:r>
        <w:rPr/>
        <w:t>, mit großer Macht</w:t>
      </w:r>
      <w:r>
        <w:rPr>
          <w:rStyle w:val="Funotenanker"/>
        </w:rPr>
        <w:footnoteReference w:customMarkFollows="1" w:id="2250"/>
        <w:t>be</w:t>
      </w:r>
      <w:r>
        <w:rPr/>
        <w:t xml:space="preserve"> und Herrlichkeit</w:t>
      </w:r>
      <w:r>
        <w:rPr>
          <w:rStyle w:val="Funotenanker"/>
        </w:rPr>
        <w:footnoteReference w:customMarkFollows="1" w:id="2251"/>
        <w:t>bf</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2252"/>
        <w:t>bg</w:t>
      </w:r>
      <w:r>
        <w:rPr/>
        <w:t xml:space="preserve"> vom Ende der Erde bis zum Ende des Himmels</w:t>
      </w:r>
      <w:r>
        <w:rPr>
          <w:rStyle w:val="Funotenanker"/>
        </w:rPr>
        <w:footnoteReference w:customMarkFollows="1" w:id="2253"/>
        <w:t>bh</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2254"/>
        <w:t>bi</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2255"/>
        <w:t>bj</w:t>
      </w:r>
      <w:r>
        <w:rPr/>
        <w:t xml:space="preserve"> seine Zweige</w:t>
      </w:r>
      <w:r>
        <w:rPr>
          <w:rStyle w:val="Funotenanker"/>
        </w:rPr>
        <w:footnoteReference w:customMarkFollows="1" w:id="2256"/>
        <w:t>bk</w:t>
      </w:r>
      <w:r>
        <w:rPr/>
        <w:t xml:space="preserve"> weich werden </w:t>
      </w:r>
      <w:r>
        <w:rPr>
          <w:rStyle w:val="Funotenanker"/>
        </w:rPr>
        <w:footnoteReference w:customMarkFollows="1" w:id="2257"/>
        <w:t>bl</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2258"/>
        <w:t>bm</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2259"/>
        <w:t>bn</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2260"/>
        <w:t>bo</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2261"/>
        <w:t>bp</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2262"/>
        <w:t>bq</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2263"/>
        <w:t>br</w:t>
      </w:r>
      <w:r>
        <w:rPr/>
        <w:t xml:space="preserve"> weder die Engel </w:t>
      </w:r>
      <w:r>
        <w:rPr>
          <w:color w:val="808080"/>
        </w:rPr>
        <w:t>(Boten)</w:t>
      </w:r>
      <w:r>
        <w:rPr/>
        <w:t xml:space="preserve"> </w:t>
      </w:r>
      <w:r>
        <w:rPr>
          <w:rStyle w:val="Funotenanker"/>
        </w:rPr>
        <w:footnoteReference w:customMarkFollows="1" w:id="2264"/>
        <w:t>bs</w:t>
      </w:r>
      <w:r>
        <w:rPr/>
        <w:t xml:space="preserve"> im Himmel, noch der Sohn, allein der Vater.{{field-off:bible}} </w:t>
        <w:br/>
        <w:t>[[@BibleTOBIBLE:Mk 13:33]]</w:t>
      </w:r>
      <w:r>
        <w:rPr>
          <w:b/>
        </w:rPr>
        <w:t>33</w:t>
      </w:r>
      <w:r>
        <w:rPr/>
        <w:t xml:space="preserve"> {{field-on:bible}}Seid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2265"/>
        <w:t>bt</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2266"/>
        <w:t>bu</w:t>
      </w:r>
      <w:r>
        <w:rPr/>
        <w:t xml:space="preserve"> </w:t>
      </w:r>
      <w:r>
        <w:rPr>
          <w:rStyle w:val="Funotenanker"/>
        </w:rPr>
        <w:footnoteReference w:customMarkFollows="1" w:id="2267"/>
        <w:t>bv</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2268"/>
        <w:t>bw</w:t>
      </w:r>
      <w:r>
        <w:rPr/>
        <w:t xml:space="preserve"> dem Torhüter gebot, dass er wachsam sei </w:t>
      </w:r>
      <w:r>
        <w:rPr>
          <w:color w:val="808080"/>
        </w:rPr>
        <w:t>(Wache halte)</w:t>
      </w:r>
      <w:r>
        <w:rPr/>
        <w:t>.</w:t>
      </w:r>
      <w:r>
        <w:rPr>
          <w:rStyle w:val="Funotenanker"/>
        </w:rPr>
        <w:footnoteReference w:customMarkFollows="1" w:id="2269"/>
        <w:t>bx</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2270"/>
        <w:t>by</w:t>
      </w:r>
      <w:r>
        <w:rPr/>
        <w:t xml:space="preserve"> - ob am Abend, zur Mitternacht, zum Hahnenschrei oder im Morgengrauen</w:t>
      </w:r>
      <w:r>
        <w:rPr>
          <w:rStyle w:val="Funotenanker"/>
        </w:rPr>
        <w:footnoteReference w:customMarkFollows="1" w:id="2271"/>
        <w:t>bz</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2272"/>
        <w:t>ca</w:t>
      </w:r>
      <w:r>
        <w:rPr/>
        <w:t xml:space="preserve"> allen: Seid wachsam!</w:t>
      </w:r>
      <w:r>
        <w:rPr>
          <w:position w:val="8"/>
          <w:sz w:val="19"/>
        </w:rPr>
        <w:t>[[ ℘ &gt;&gt; BibleTOBIBLE:Ac 20:31]][[ ℘ &gt;&gt; BibleTOBIBLE:1Co 16:13]][[ ℘ &gt;&gt; BibleTOBIBLE:1Pe 5:8]]</w:t>
      </w:r>
      <w:r>
        <w:rPr/>
        <w:t xml:space="preserve">“{{field-off:bible}} </w:t>
      </w:r>
    </w:p>
    <w:p>
      <w:pPr>
        <w:pStyle w:val="Berschrift3"/>
        <w:rPr/>
      </w:pPr>
      <w:r>
        <w:rPr/>
        <w:t>[[@BibleTOBIBLE:Mk 14]]Kapitel 14</w:t>
      </w:r>
    </w:p>
    <w:p>
      <w:pPr>
        <w:pStyle w:val="Textkrper"/>
        <w:rPr/>
      </w:pPr>
      <w:r>
        <w:rPr/>
        <w:br/>
        <w:t>[[@BibleTOBIBLE:Mk 14:1]]</w:t>
      </w:r>
      <w:r>
        <w:rPr>
          <w:b/>
        </w:rPr>
        <w:t>1</w:t>
      </w:r>
      <w:r>
        <w:rPr/>
        <w:t xml:space="preserve"> {{field-on:bible}} </w:t>
      </w:r>
      <w:r>
        <w:rPr>
          <w:rStyle w:val="Funotenanker"/>
        </w:rPr>
        <w:footnoteReference w:customMarkFollows="1" w:id="2273"/>
        <w:t>Status</w:t>
      </w:r>
      <w:r>
        <w:rPr/>
        <w:t xml:space="preserve"> Das Pascha-Fest und </w:t>
      </w:r>
      <w:r>
        <w:rPr>
          <w:b/>
          <w:color w:val="808080"/>
        </w:rPr>
        <w:t>[</w:t>
      </w:r>
      <w:r>
        <w:rPr/>
        <w:t>das Fest der</w:t>
      </w:r>
      <w:r>
        <w:rPr>
          <w:b/>
          <w:color w:val="808080"/>
        </w:rPr>
        <w:t>]</w:t>
      </w:r>
      <w:r>
        <w:rPr/>
        <w:t xml:space="preserve"> ungesäuerten Brote waren </w:t>
      </w:r>
      <w:r>
        <w:rPr>
          <w:strike/>
          <w:color w:val="808080"/>
        </w:rPr>
        <w:t>{aber}</w:t>
      </w:r>
      <w:r>
        <w:rPr/>
        <w:t xml:space="preserve"> in zwei Tagen.</w:t>
      </w:r>
      <w:r>
        <w:rPr>
          <w:rStyle w:val="Funotenanker"/>
        </w:rPr>
        <w:footnoteReference w:customMarkFollows="1" w:id="2274"/>
        <w:t>a</w:t>
      </w:r>
      <w:r>
        <w:rPr/>
        <w:t xml:space="preserve"> Da suchten die Hohepriester und die Schriftgelehrten</w:t>
      </w:r>
      <w:r>
        <w:rPr>
          <w:rStyle w:val="Funotenanker"/>
        </w:rPr>
        <w:footnoteReference w:customMarkFollows="1" w:id="2275"/>
        <w:t>b</w:t>
      </w:r>
      <w:r>
        <w:rPr/>
        <w:t xml:space="preserve"> </w:t>
      </w:r>
      <w:r>
        <w:rPr>
          <w:b/>
          <w:color w:val="808080"/>
        </w:rPr>
        <w:t>[</w:t>
      </w:r>
      <w:r>
        <w:rPr/>
        <w:t>einen Weg</w:t>
      </w:r>
      <w:r>
        <w:rPr>
          <w:b/>
          <w:color w:val="808080"/>
        </w:rPr>
        <w:t>]</w:t>
      </w:r>
      <w:r>
        <w:rPr/>
        <w:t xml:space="preserve">, wie sie ihn mit einer List ergreifen und töten könnten,{{field-off:bible}} </w:t>
        <w:br/>
        <w:t>[[@BibleTOBIBLE:Mk 14:2]]</w:t>
      </w:r>
      <w:r>
        <w:rPr>
          <w:b/>
        </w:rPr>
        <w:t>2</w:t>
      </w:r>
      <w:r>
        <w:rPr/>
        <w:t xml:space="preserve"> {{field-on:bible}}denn sie sagten </w:t>
      </w:r>
      <w:r>
        <w:rPr>
          <w:color w:val="808080"/>
        </w:rPr>
        <w:t>(sagten sich)</w:t>
      </w:r>
      <w:r>
        <w:rPr/>
        <w:t>: „Nicht während des Festes,</w:t>
      </w:r>
      <w:r>
        <w:rPr>
          <w:rStyle w:val="Funotenanker"/>
        </w:rPr>
        <w:footnoteReference w:customMarkFollows="1" w:id="2276"/>
        <w:t>c</w:t>
      </w:r>
      <w:r>
        <w:rPr/>
        <w:t xml:space="preserve"> sonst wird es einen Aufruhr der Volksgemeinde geben.“</w:t>
      </w:r>
      <w:r>
        <w:rPr>
          <w:rStyle w:val="Funotenanker"/>
        </w:rPr>
        <w:footnoteReference w:customMarkFollows="1" w:id="2277"/>
        <w:t>d</w:t>
      </w:r>
      <w:r>
        <w:rPr/>
        <w:t xml:space="preserve"> {{field-off:bible}} </w:t>
        <w:br/>
        <w:t>[[@BibleTOBIBLE:Mk 14:3]]</w:t>
      </w:r>
      <w:r>
        <w:rPr>
          <w:b/>
        </w:rPr>
        <w:t>3</w:t>
      </w:r>
      <w:r>
        <w:rPr/>
        <w:t xml:space="preserve"> {{field-on:bible}}Und als er in Bethanien im Haus Simons des Leprakranken</w:t>
      </w:r>
      <w:r>
        <w:rPr>
          <w:rStyle w:val="Funotenanker"/>
        </w:rPr>
        <w:footnoteReference w:customMarkFollows="1" w:id="2278"/>
        <w:t>e</w:t>
      </w:r>
      <w:r>
        <w:rPr/>
        <w:t xml:space="preserve"> war – als er </w:t>
      </w:r>
      <w:r>
        <w:rPr>
          <w:b/>
          <w:color w:val="808080"/>
        </w:rPr>
        <w:t>[</w:t>
      </w:r>
      <w:r>
        <w:rPr/>
        <w:t>bei Tisch</w:t>
      </w:r>
      <w:r>
        <w:rPr>
          <w:b/>
          <w:color w:val="808080"/>
        </w:rPr>
        <w:t>]</w:t>
      </w:r>
      <w:r>
        <w:rPr/>
        <w:t xml:space="preserve"> lag</w:t>
      </w:r>
      <w:r>
        <w:rPr>
          <w:rStyle w:val="Funotenanker"/>
        </w:rPr>
        <w:footnoteReference w:customMarkFollows="1" w:id="2279"/>
        <w:t>f</w:t>
      </w:r>
      <w:r>
        <w:rPr/>
        <w:t xml:space="preserve"> – kam eine Frau,</w:t>
      </w:r>
      <w:r>
        <w:rPr>
          <w:rStyle w:val="Funotenanker"/>
        </w:rPr>
        <w:footnoteReference w:customMarkFollows="1" w:id="2280"/>
        <w:t>g</w:t>
      </w:r>
      <w:r>
        <w:rPr/>
        <w:t xml:space="preserve"> die ein Alabastergefäß voll kostbaren, reinem Nardenparfums</w:t>
      </w:r>
      <w:r>
        <w:rPr>
          <w:rStyle w:val="Funotenanker"/>
        </w:rPr>
        <w:footnoteReference w:customMarkFollows="1" w:id="2281"/>
        <w:t>h</w:t>
      </w:r>
      <w:r>
        <w:rPr/>
        <w:t xml:space="preserve"> </w:t>
      </w:r>
      <w:r>
        <w:rPr>
          <w:b/>
          <w:color w:val="808080"/>
        </w:rPr>
        <w:t>[</w:t>
      </w:r>
      <w:r>
        <w:rPr/>
        <w:t>bei sich</w:t>
      </w:r>
      <w:r>
        <w:rPr>
          <w:b/>
          <w:color w:val="808080"/>
        </w:rPr>
        <w:t>]</w:t>
      </w:r>
      <w:r>
        <w:rPr/>
        <w:t xml:space="preserve"> hatte. Nachdem sie das Alabastergefäß zerbrochen hatte,</w:t>
      </w:r>
      <w:r>
        <w:rPr>
          <w:rStyle w:val="Funotenanker"/>
        </w:rPr>
        <w:footnoteReference w:customMarkFollows="1" w:id="2282"/>
        <w:t>i</w:t>
      </w:r>
      <w:r>
        <w:rPr/>
        <w:t xml:space="preserve"> goss sie </w:t>
      </w:r>
      <w:r>
        <w:rPr>
          <w:b/>
          <w:color w:val="808080"/>
        </w:rPr>
        <w:t>[</w:t>
      </w:r>
      <w:r>
        <w:rPr/>
        <w:t>das Öl</w:t>
      </w:r>
      <w:r>
        <w:rPr>
          <w:b/>
          <w:color w:val="808080"/>
        </w:rPr>
        <w:t>]</w:t>
      </w:r>
      <w:r>
        <w:rPr/>
        <w:t xml:space="preserve"> herab auf seinen Kopf.{{field-off:bible}} </w:t>
        <w:br/>
        <w:t>[[@BibleTOBIBLE:Mk 14:4]]</w:t>
      </w:r>
      <w:r>
        <w:rPr>
          <w:b/>
        </w:rPr>
        <w:t>4</w:t>
      </w:r>
      <w:r>
        <w:rPr/>
        <w:t xml:space="preserve"> {{field-on:bible}}Einige aber waren </w:t>
      </w:r>
      <w:r>
        <w:rPr>
          <w:strike/>
          <w:color w:val="808080"/>
        </w:rPr>
        <w:t>{untereinander}</w:t>
      </w:r>
      <w:r>
        <w:rPr/>
        <w:t xml:space="preserve"> verärgert </w:t>
      </w:r>
      <w:r>
        <w:rPr>
          <w:color w:val="808080"/>
        </w:rPr>
        <w:t>(voller Empörung)</w:t>
      </w:r>
      <w:r>
        <w:rPr/>
        <w:t xml:space="preserve"> </w:t>
      </w:r>
      <w:r>
        <w:rPr>
          <w:b/>
          <w:color w:val="808080"/>
        </w:rPr>
        <w:t>[</w:t>
      </w:r>
      <w:r>
        <w:rPr/>
        <w:t>und sagten</w:t>
      </w:r>
      <w:r>
        <w:rPr>
          <w:b/>
          <w:color w:val="808080"/>
        </w:rPr>
        <w:t>]</w:t>
      </w:r>
      <w:r>
        <w:rPr/>
        <w:t xml:space="preserve"> zueinander: „Für was ist diese Verschwendung des Parfums geschehen?{{field-off:bible}} </w:t>
        <w:br/>
        <w:t>[[@BibleTOBIBLE:Mk 14:5]]</w:t>
      </w:r>
      <w:r>
        <w:rPr>
          <w:b/>
        </w:rPr>
        <w:t>5</w:t>
      </w:r>
      <w:r>
        <w:rPr/>
        <w:t xml:space="preserve"> {{field-on:bible}}Man hätte nämlich dieses Parfum für mehr als 300 Denare</w:t>
      </w:r>
      <w:r>
        <w:rPr>
          <w:rStyle w:val="Funotenanker"/>
        </w:rPr>
        <w:footnoteReference w:customMarkFollows="1" w:id="2283"/>
        <w:t>j</w:t>
      </w:r>
      <w:r>
        <w:rPr/>
        <w:t xml:space="preserve"> </w:t>
      </w:r>
      <w:r>
        <w:rPr>
          <w:color w:val="808080"/>
        </w:rPr>
        <w:t>(teurer als für 300 Denare)</w:t>
      </w:r>
      <w:r>
        <w:rPr/>
        <w:t xml:space="preserve"> verkaufen und </w:t>
      </w:r>
      <w:r>
        <w:rPr>
          <w:b/>
          <w:color w:val="808080"/>
        </w:rPr>
        <w:t>[</w:t>
      </w:r>
      <w:r>
        <w:rPr/>
        <w:t>den Erlös</w:t>
      </w:r>
      <w:r>
        <w:rPr>
          <w:b/>
          <w:color w:val="808080"/>
        </w:rPr>
        <w:t>]</w:t>
      </w:r>
      <w:r>
        <w:rPr/>
        <w:t xml:space="preserve"> den Armen geben können.“</w:t>
      </w:r>
      <w:r>
        <w:rPr>
          <w:rStyle w:val="Funotenanker"/>
        </w:rPr>
        <w:footnoteReference w:customMarkFollows="1" w:id="2284"/>
        <w:t>k</w:t>
      </w:r>
      <w:r>
        <w:rPr/>
        <w:t xml:space="preserve"> Und sie machten ihr Vorwürfe.{{field-off:bible}} </w:t>
        <w:br/>
        <w:t>[[@BibleTOBIBLE:Mk 14:6]]</w:t>
      </w:r>
      <w:r>
        <w:rPr>
          <w:b/>
        </w:rPr>
        <w:t>6</w:t>
      </w:r>
      <w:r>
        <w:rPr/>
        <w:t xml:space="preserve"> {{field-on:bible}}Jesus aber sprach: „Lasst sie! Was macht ihr ihr Beschwerden?</w:t>
      </w:r>
      <w:r>
        <w:rPr>
          <w:rStyle w:val="Funotenanker"/>
        </w:rPr>
        <w:footnoteReference w:customMarkFollows="1" w:id="2285"/>
        <w:t>l</w:t>
      </w:r>
      <w:r>
        <w:rPr/>
        <w:t xml:space="preserve"> Sie hat ein gutes Werk</w:t>
      </w:r>
      <w:r>
        <w:rPr>
          <w:rStyle w:val="Funotenanker"/>
        </w:rPr>
        <w:footnoteReference w:customMarkFollows="1" w:id="2286"/>
        <w:t>m</w:t>
      </w:r>
      <w:r>
        <w:rPr/>
        <w:t xml:space="preserve"> an mir getan –{{field-off:bible}} </w:t>
        <w:br/>
        <w:t>[[@BibleTOBIBLE:Mk 14:7]]</w:t>
      </w:r>
      <w:r>
        <w:rPr>
          <w:b/>
        </w:rPr>
        <w:t>7</w:t>
      </w:r>
      <w:r>
        <w:rPr/>
        <w:t xml:space="preserve"> {{field-on:bible}}und</w:t>
      </w:r>
      <w:r>
        <w:rPr>
          <w:rStyle w:val="Funotenanker"/>
        </w:rPr>
        <w:footnoteReference w:customMarkFollows="1" w:id="2287"/>
        <w:t>n</w:t>
      </w:r>
      <w:r>
        <w:rPr/>
        <w:t xml:space="preserve"> die Armen habt ihr immer bei euch und sooft </w:t>
      </w:r>
      <w:r>
        <w:rPr>
          <w:color w:val="808080"/>
        </w:rPr>
        <w:t>(falls)</w:t>
      </w:r>
      <w:r>
        <w:rPr/>
        <w:t xml:space="preserve"> ihr wollt, könnt ihr ihnen </w:t>
      </w:r>
      <w:r>
        <w:rPr>
          <w:color w:val="808080"/>
        </w:rPr>
        <w:t>(immer)</w:t>
      </w:r>
      <w:r>
        <w:rPr/>
        <w:t xml:space="preserve"> </w:t>
      </w:r>
      <w:r>
        <w:rPr>
          <w:rStyle w:val="Funotenanker"/>
        </w:rPr>
        <w:footnoteReference w:customMarkFollows="1" w:id="2288"/>
        <w:t>o</w:t>
      </w:r>
      <w:r>
        <w:rPr/>
        <w:t xml:space="preserve"> wohltun </w:t>
      </w:r>
      <w:r>
        <w:rPr>
          <w:color w:val="808080"/>
        </w:rPr>
        <w:t>(Gutes tun)</w:t>
      </w:r>
      <w:r>
        <w:rPr/>
        <w:t xml:space="preserve">; mich aber habt ihr nicht immer.{{field-off:bible}} </w:t>
        <w:br/>
        <w:t>[[@BibleTOBIBLE:Mk 14:8]]</w:t>
      </w:r>
      <w:r>
        <w:rPr>
          <w:b/>
        </w:rPr>
        <w:t>8</w:t>
      </w:r>
      <w:r>
        <w:rPr/>
        <w:t xml:space="preserve"> {{field-on:bible}}Was sie </w:t>
      </w:r>
      <w:r>
        <w:rPr>
          <w:b/>
          <w:color w:val="808080"/>
        </w:rPr>
        <w:t>[</w:t>
      </w:r>
      <w:r>
        <w:rPr/>
        <w:t>tun</w:t>
      </w:r>
      <w:r>
        <w:rPr>
          <w:b/>
          <w:color w:val="808080"/>
        </w:rPr>
        <w:t>]</w:t>
      </w:r>
      <w:r>
        <w:rPr/>
        <w:t xml:space="preserve"> konnte </w:t>
      </w:r>
      <w:r>
        <w:rPr>
          <w:color w:val="808080"/>
        </w:rPr>
        <w:t>(was sie hatte)</w:t>
      </w:r>
      <w:r>
        <w:rPr/>
        <w:t>,</w:t>
      </w:r>
      <w:r>
        <w:rPr>
          <w:rStyle w:val="Funotenanker"/>
        </w:rPr>
        <w:footnoteReference w:customMarkFollows="1" w:id="2289"/>
        <w:t>p</w:t>
      </w:r>
      <w:r>
        <w:rPr/>
        <w:t xml:space="preserve"> hat sie getan: Sie hat es vorweggenommen, meinen Leib für das Begräbnis einzubalsamieren</w:t>
      </w:r>
      <w:r>
        <w:rPr>
          <w:rStyle w:val="Funotenanker"/>
        </w:rPr>
        <w:footnoteReference w:customMarkFollows="1" w:id="2290"/>
        <w:t>q</w:t>
      </w:r>
      <w:r>
        <w:rPr/>
        <w:t xml:space="preserve">.{{field-off:bible}} </w:t>
        <w:br/>
        <w:t>[[@BibleTOBIBLE:Mk 14:9]]</w:t>
      </w:r>
      <w:r>
        <w:rPr>
          <w:b/>
        </w:rPr>
        <w:t>9</w:t>
      </w:r>
      <w:r>
        <w:rPr/>
        <w:t xml:space="preserve"> {{field-on:bible}}Amen, ich sage euch,</w:t>
      </w:r>
      <w:r>
        <w:rPr>
          <w:rStyle w:val="Funotenanker"/>
        </w:rPr>
        <w:footnoteReference w:customMarkFollows="1" w:id="2291"/>
        <w:t>r</w:t>
      </w:r>
      <w:r>
        <w:rPr/>
        <w:t xml:space="preserve"> wo auch immer diese Freuden-Botschaft </w:t>
      </w:r>
      <w:r>
        <w:rPr>
          <w:color w:val="808080"/>
        </w:rPr>
        <w:t>(dieses Evangelium)</w:t>
      </w:r>
      <w:r>
        <w:rPr/>
        <w:t xml:space="preserve"> </w:t>
      </w:r>
      <w:r>
        <w:rPr>
          <w:rStyle w:val="Funotenanker"/>
        </w:rPr>
        <w:footnoteReference w:customMarkFollows="1" w:id="2292"/>
        <w:t>s</w:t>
      </w:r>
      <w:r>
        <w:rPr/>
        <w:t xml:space="preserve"> auf der ganzen Welt verkündet wird, wird auch von dem, was diese getan hat, gesprochen werden – zur Erinnerung an sie.“{{field-off:bible}} </w:t>
        <w:br/>
        <w:t>[[@BibleTOBIBLE:Mk 14:10]]</w:t>
      </w:r>
      <w:r>
        <w:rPr>
          <w:b/>
        </w:rPr>
        <w:t>10</w:t>
      </w:r>
      <w:r>
        <w:rPr/>
        <w:t xml:space="preserve"> {{field-on:bible}}Und Judas Iskariot, einer der Zwölf, ging zu den Hohepriestern, um ihn an sie auszuliefern.{{field-off:bible}} </w:t>
        <w:br/>
        <w:t>[[@BibleTOBIBLE:Mk 14:11]]</w:t>
      </w:r>
      <w:r>
        <w:rPr>
          <w:b/>
        </w:rPr>
        <w:t>11</w:t>
      </w:r>
      <w:r>
        <w:rPr/>
        <w:t xml:space="preserve"> {{field-on:bible}}Und sie freuten sich, als sie </w:t>
      </w:r>
      <w:r>
        <w:rPr>
          <w:b/>
          <w:color w:val="808080"/>
        </w:rPr>
        <w:t>[</w:t>
      </w:r>
      <w:r>
        <w:rPr/>
        <w:t>das</w:t>
      </w:r>
      <w:r>
        <w:rPr>
          <w:b/>
          <w:color w:val="808080"/>
        </w:rPr>
        <w:t>]</w:t>
      </w:r>
      <w:r>
        <w:rPr/>
        <w:t xml:space="preserve"> hörten, und versprachen, ihm Geld zu geben. Und er suchte </w:t>
      </w:r>
      <w:r>
        <w:rPr>
          <w:b/>
          <w:color w:val="808080"/>
        </w:rPr>
        <w:t>[</w:t>
      </w:r>
      <w:r>
        <w:rPr/>
        <w:t>einen Weg</w:t>
      </w:r>
      <w:r>
        <w:rPr>
          <w:b/>
          <w:color w:val="808080"/>
        </w:rPr>
        <w:t>]</w:t>
      </w:r>
      <w:r>
        <w:rPr/>
        <w:t>, wie er ihn zur rechten Zeit</w:t>
      </w:r>
      <w:r>
        <w:rPr>
          <w:rStyle w:val="Funotenanker"/>
        </w:rPr>
        <w:footnoteReference w:customMarkFollows="1" w:id="2293"/>
        <w:t>t</w:t>
      </w:r>
      <w:r>
        <w:rPr/>
        <w:t xml:space="preserve"> ausliefern könnte.{{field-off:bible}} </w:t>
        <w:br/>
        <w:t>[[@BibleTOBIBLE:Mk 14:12]]</w:t>
      </w:r>
      <w:r>
        <w:rPr>
          <w:b/>
        </w:rPr>
        <w:t>12</w:t>
      </w:r>
      <w:r>
        <w:rPr/>
        <w:t xml:space="preserve"> {{field-on:bible}}Und am ersten Tag </w:t>
      </w:r>
      <w:r>
        <w:rPr>
          <w:b/>
          <w:color w:val="808080"/>
        </w:rPr>
        <w:t>[</w:t>
      </w:r>
      <w:r>
        <w:rPr/>
        <w:t>des Festes</w:t>
      </w:r>
      <w:r>
        <w:rPr>
          <w:b/>
          <w:color w:val="808080"/>
        </w:rPr>
        <w:t>]</w:t>
      </w:r>
      <w:r>
        <w:rPr/>
        <w:t xml:space="preserve"> der ungesäuerten </w:t>
      </w:r>
      <w:r>
        <w:rPr>
          <w:b/>
          <w:color w:val="808080"/>
        </w:rPr>
        <w:t>[</w:t>
      </w:r>
      <w:r>
        <w:rPr/>
        <w:t>Brote</w:t>
      </w:r>
      <w:r>
        <w:rPr>
          <w:b/>
          <w:color w:val="808080"/>
        </w:rPr>
        <w:t>]</w:t>
      </w:r>
      <w:r>
        <w:rPr/>
        <w:t>,</w:t>
      </w:r>
      <w:r>
        <w:rPr>
          <w:rStyle w:val="Funotenanker"/>
        </w:rPr>
        <w:footnoteReference w:customMarkFollows="1" w:id="2294"/>
        <w:t>u</w:t>
      </w:r>
      <w:r>
        <w:rPr/>
        <w:t xml:space="preserve"> als sie das Pascha</w:t>
      </w:r>
      <w:r>
        <w:rPr>
          <w:b/>
          <w:color w:val="808080"/>
        </w:rPr>
        <w:t>[</w:t>
      </w:r>
      <w:r>
        <w:rPr/>
        <w:t>lamm</w:t>
      </w:r>
      <w:r>
        <w:rPr>
          <w:b/>
          <w:color w:val="808080"/>
        </w:rPr>
        <w:t>]</w:t>
      </w:r>
      <w:r>
        <w:rPr/>
        <w:t xml:space="preserve"> opferten </w:t>
      </w:r>
      <w:r>
        <w:rPr>
          <w:color w:val="808080"/>
        </w:rPr>
        <w:t>(an dem man das Pascha</w:t>
      </w:r>
      <w:r>
        <w:rPr>
          <w:b/>
          <w:color w:val="808080"/>
        </w:rPr>
        <w:t>[</w:t>
      </w:r>
      <w:r>
        <w:rPr>
          <w:color w:val="808080"/>
        </w:rPr>
        <w:t>lamm</w:t>
      </w:r>
      <w:r>
        <w:rPr>
          <w:b/>
          <w:color w:val="808080"/>
        </w:rPr>
        <w:t>]</w:t>
      </w:r>
      <w:r>
        <w:rPr>
          <w:color w:val="808080"/>
        </w:rPr>
        <w:t xml:space="preserve"> zu opfern pflegte)</w:t>
      </w:r>
      <w:r>
        <w:rPr/>
        <w:t>,</w:t>
      </w:r>
      <w:r>
        <w:rPr>
          <w:rStyle w:val="Funotenanker"/>
        </w:rPr>
        <w:footnoteReference w:customMarkFollows="1" w:id="2295"/>
        <w:t>v</w:t>
      </w:r>
      <w:r>
        <w:rPr/>
        <w:t xml:space="preserve"> fragten</w:t>
      </w:r>
      <w:r>
        <w:rPr>
          <w:rStyle w:val="Funotenanker"/>
        </w:rPr>
        <w:footnoteReference w:customMarkFollows="1" w:id="2296"/>
        <w:t>w</w:t>
      </w:r>
      <w:r>
        <w:rPr/>
        <w:t xml:space="preserve"> ihn seine Jünger: „Wo willst du, </w:t>
      </w:r>
      <w:r>
        <w:rPr>
          <w:b/>
          <w:color w:val="808080"/>
        </w:rPr>
        <w:t>[</w:t>
      </w:r>
      <w:r>
        <w:rPr/>
        <w:t>dass</w:t>
      </w:r>
      <w:r>
        <w:rPr>
          <w:b/>
          <w:color w:val="808080"/>
        </w:rPr>
        <w:t>]</w:t>
      </w:r>
      <w:r>
        <w:rPr/>
        <w:t xml:space="preserve"> wir </w:t>
      </w:r>
      <w:r>
        <w:rPr>
          <w:strike/>
          <w:color w:val="808080"/>
        </w:rPr>
        <w:t>{fortgehend}</w:t>
      </w:r>
      <w:r>
        <w:rPr/>
        <w:t xml:space="preserve"> vorbereiten, damit du das Pascha essen kann?“{{field-off:bible}} </w:t>
        <w:br/>
        <w:t>[[@BibleTOBIBLE:Mk 14:13]]</w:t>
      </w:r>
      <w:r>
        <w:rPr>
          <w:b/>
        </w:rPr>
        <w:t>13</w:t>
      </w:r>
      <w:r>
        <w:rPr/>
        <w:t xml:space="preserve"> {{field-on:bible}}Und er sandte zwei seiner Jünger</w:t>
      </w:r>
      <w:r>
        <w:rPr>
          <w:rStyle w:val="Funotenanker"/>
        </w:rPr>
        <w:footnoteReference w:customMarkFollows="1" w:id="2297"/>
        <w:t>x</w:t>
      </w:r>
      <w:r>
        <w:rPr/>
        <w:t xml:space="preserve"> und sagte zu ihnen: „Geht in die Stadt, und es wird ein Mann auf euch zutreten,</w:t>
      </w:r>
      <w:r>
        <w:rPr>
          <w:rStyle w:val="Funotenanker"/>
        </w:rPr>
        <w:footnoteReference w:customMarkFollows="1" w:id="2298"/>
        <w:t>y</w:t>
      </w:r>
      <w:r>
        <w:rPr/>
        <w:t xml:space="preserve"> der einen Krug Wasser trägt. Folgt ihm,{{field-off:bible}} </w:t>
        <w:br/>
        <w:t>[[@BibleTOBIBLE:Mk 14:14]]</w:t>
      </w:r>
      <w:r>
        <w:rPr>
          <w:b/>
        </w:rPr>
        <w:t>14</w:t>
      </w:r>
      <w:r>
        <w:rPr/>
        <w:t xml:space="preserve"> {{field-on:bible}}und wo auch immer er hineingeht, sagt zu dem Hausherrn </w:t>
      </w:r>
      <w:r>
        <w:rPr>
          <w:strike/>
          <w:color w:val="808080"/>
        </w:rPr>
        <w:t>{dass}</w:t>
      </w:r>
      <w:r>
        <w:rPr/>
        <w:t>: »Der Lehrer sagt: »Wo ist mein Gästezimmer, wo ich das Pascha</w:t>
      </w:r>
      <w:r>
        <w:rPr>
          <w:b/>
          <w:color w:val="808080"/>
        </w:rPr>
        <w:t>[</w:t>
      </w:r>
      <w:r>
        <w:rPr/>
        <w:t>mahl</w:t>
      </w:r>
      <w:r>
        <w:rPr>
          <w:b/>
          <w:color w:val="808080"/>
        </w:rPr>
        <w:t>]</w:t>
      </w:r>
      <w:r>
        <w:rPr/>
        <w:t xml:space="preserve"> mit meinen Jüngern essen kann?««!</w:t>
      </w:r>
      <w:r>
        <w:rPr>
          <w:rStyle w:val="Funotenanker"/>
        </w:rPr>
        <w:footnoteReference w:customMarkFollows="1" w:id="2299"/>
        <w:t>z</w:t>
      </w:r>
      <w:r>
        <w:rPr/>
        <w:t xml:space="preserve"> {{field-off:bible}} </w:t>
        <w:br/>
        <w:t>[[@BibleTOBIBLE:Mk 14:15]]</w:t>
      </w:r>
      <w:r>
        <w:rPr>
          <w:b/>
        </w:rPr>
        <w:t>15</w:t>
      </w:r>
      <w:r>
        <w:rPr/>
        <w:t xml:space="preserve"> {{field-on:bible}}Und dieser wird euch ein großes Zimmer im Obergeschoss zeigen, möbliert und vorbereitet. Dort bereitet für uns vor!“</w:t>
      </w:r>
      <w:r>
        <w:rPr>
          <w:rStyle w:val="Funotenanker"/>
        </w:rPr>
        <w:footnoteReference w:customMarkFollows="1" w:id="2300"/>
        <w:t>aa</w:t>
      </w:r>
      <w:r>
        <w:rPr/>
        <w:t xml:space="preserve"> {{field-off:bible}} </w:t>
        <w:br/>
        <w:t>[[@BibleTOBIBLE:Mk 14:16]]</w:t>
      </w:r>
      <w:r>
        <w:rPr>
          <w:b/>
        </w:rPr>
        <w:t>16</w:t>
      </w:r>
      <w:r>
        <w:rPr/>
        <w:t xml:space="preserve"> {{field-on:bible}}Und die Jünger gingen hinaus und kamen in die Stadt, und sie fanden </w:t>
      </w:r>
      <w:r>
        <w:rPr>
          <w:b/>
          <w:color w:val="808080"/>
        </w:rPr>
        <w:t>[</w:t>
      </w:r>
      <w:r>
        <w:rPr/>
        <w:t>alles so</w:t>
      </w:r>
      <w:r>
        <w:rPr>
          <w:b/>
          <w:color w:val="808080"/>
        </w:rPr>
        <w:t>]</w:t>
      </w:r>
      <w:r>
        <w:rPr/>
        <w:t xml:space="preserve"> vor, wie er </w:t>
      </w:r>
      <w:r>
        <w:rPr>
          <w:b/>
          <w:color w:val="808080"/>
        </w:rPr>
        <w:t>[</w:t>
      </w:r>
      <w:r>
        <w:rPr/>
        <w:t>es</w:t>
      </w:r>
      <w:r>
        <w:rPr>
          <w:b/>
          <w:color w:val="808080"/>
        </w:rPr>
        <w:t>]</w:t>
      </w:r>
      <w:r>
        <w:rPr/>
        <w:t xml:space="preserve"> ihnen gesagt hatte, und sie bereiteten das Pascha</w:t>
      </w:r>
      <w:r>
        <w:rPr>
          <w:b/>
          <w:color w:val="808080"/>
        </w:rPr>
        <w:t>[</w:t>
      </w:r>
      <w:r>
        <w:rPr/>
        <w:t>mahl</w:t>
      </w:r>
      <w:r>
        <w:rPr>
          <w:b/>
          <w:color w:val="808080"/>
        </w:rPr>
        <w:t>]</w:t>
      </w:r>
      <w:r>
        <w:rPr/>
        <w:t xml:space="preserve"> vor.{{field-off:bible}} </w:t>
        <w:br/>
        <w:t>[[@BibleTOBIBLE:Mk 14:17]]</w:t>
      </w:r>
      <w:r>
        <w:rPr>
          <w:b/>
        </w:rPr>
        <w:t>17</w:t>
      </w:r>
      <w:r>
        <w:rPr/>
        <w:t xml:space="preserve"> {{field-on:bible}}Und als </w:t>
      </w:r>
      <w:r>
        <w:rPr>
          <w:b/>
          <w:color w:val="808080"/>
        </w:rPr>
        <w:t>[</w:t>
      </w:r>
      <w:r>
        <w:rPr/>
        <w:t>es</w:t>
      </w:r>
      <w:r>
        <w:rPr>
          <w:b/>
          <w:color w:val="808080"/>
        </w:rPr>
        <w:t>]</w:t>
      </w:r>
      <w:r>
        <w:rPr/>
        <w:t xml:space="preserve"> Abend geworden war </w:t>
      </w:r>
      <w:r>
        <w:rPr>
          <w:color w:val="808080"/>
        </w:rPr>
        <w:t>(wurde)</w:t>
      </w:r>
      <w:r>
        <w:rPr/>
        <w:t xml:space="preserve">, kam er mit den Zwölf.{{field-off:bible}} </w:t>
        <w:br/>
        <w:t>[[@BibleTOBIBLE:Mk 14:18]]</w:t>
      </w:r>
      <w:r>
        <w:rPr>
          <w:b/>
        </w:rPr>
        <w:t>18</w:t>
      </w:r>
      <w:r>
        <w:rPr/>
        <w:t xml:space="preserve"> {{field-on:bible}}Und während </w:t>
      </w:r>
      <w:r>
        <w:rPr>
          <w:color w:val="808080"/>
        </w:rPr>
        <w:t>(als)</w:t>
      </w:r>
      <w:r>
        <w:rPr/>
        <w:t xml:space="preserve"> </w:t>
      </w:r>
      <w:r>
        <w:rPr>
          <w:rStyle w:val="Funotenanker"/>
        </w:rPr>
        <w:footnoteReference w:customMarkFollows="1" w:id="2301"/>
        <w:t>ab</w:t>
      </w:r>
      <w:r>
        <w:rPr/>
        <w:t xml:space="preserve"> sie zum Essen lagen,</w:t>
      </w:r>
      <w:r>
        <w:rPr>
          <w:rStyle w:val="Funotenanker"/>
        </w:rPr>
        <w:footnoteReference w:customMarkFollows="1" w:id="2302"/>
        <w:t>ac</w:t>
      </w:r>
      <w:r>
        <w:rPr/>
        <w:t xml:space="preserve"> sagte Jesus: „Amen, ich sage euch: Einer von euch, der mit mir isst,</w:t>
      </w:r>
      <w:r>
        <w:rPr>
          <w:rStyle w:val="Funotenanker"/>
        </w:rPr>
        <w:footnoteReference w:customMarkFollows="1" w:id="2303"/>
        <w:t>ad</w:t>
      </w:r>
      <w:r>
        <w:rPr/>
        <w:t xml:space="preserve"> wird mich ausliefern</w:t>
      </w:r>
      <w:r>
        <w:rPr>
          <w:rStyle w:val="Funotenanker"/>
        </w:rPr>
        <w:footnoteReference w:customMarkFollows="1" w:id="2304"/>
        <w:t>ae</w:t>
      </w:r>
      <w:r>
        <w:rPr/>
        <w:t xml:space="preserve">.“{{field-off:bible}} </w:t>
        <w:br/>
        <w:t>[[@BibleTOBIBLE:Mk 14:19]]</w:t>
      </w:r>
      <w:r>
        <w:rPr>
          <w:b/>
        </w:rPr>
        <w:t>19</w:t>
      </w:r>
      <w:r>
        <w:rPr/>
        <w:t xml:space="preserve"> {{field-on:bible}}Das machte sie bestürzt </w:t>
      </w:r>
      <w:r>
        <w:rPr>
          <w:color w:val="808080"/>
        </w:rPr>
        <w:t>(traurig)</w:t>
      </w:r>
      <w:r>
        <w:rPr/>
        <w:t xml:space="preserve"> und einer nach dem anderen sagte zu ihm: „Doch nicht etwa ich?“{{field-off:bible}} </w:t>
        <w:br/>
        <w:t>[[@BibleTOBIBLE:Mk 14:20]]</w:t>
      </w:r>
      <w:r>
        <w:rPr>
          <w:b/>
        </w:rPr>
        <w:t>20</w:t>
      </w:r>
      <w:r>
        <w:rPr/>
        <w:t xml:space="preserve"> {{field-on:bible}}Da sagte er zu ihnen: „Einer der Zwölf, der </w:t>
      </w:r>
      <w:r>
        <w:rPr>
          <w:b/>
          <w:color w:val="808080"/>
        </w:rPr>
        <w:t>[</w:t>
      </w:r>
      <w:r>
        <w:rPr/>
        <w:t>das Brot</w:t>
      </w:r>
      <w:r>
        <w:rPr>
          <w:b/>
          <w:color w:val="808080"/>
        </w:rPr>
        <w:t>]</w:t>
      </w:r>
      <w:r>
        <w:rPr/>
        <w:t xml:space="preserve"> mit mir in die </w:t>
      </w:r>
      <w:r>
        <w:rPr>
          <w:color w:val="808080"/>
        </w:rPr>
        <w:t>(eine)</w:t>
      </w:r>
      <w:r>
        <w:rPr/>
        <w:t xml:space="preserve"> </w:t>
      </w:r>
      <w:r>
        <w:rPr>
          <w:rStyle w:val="Funotenanker"/>
        </w:rPr>
        <w:footnoteReference w:customMarkFollows="1" w:id="2305"/>
        <w:t>af</w:t>
      </w:r>
      <w:r>
        <w:rPr/>
        <w:t xml:space="preserve"> Schüssel tunkt.</w:t>
      </w:r>
      <w:r>
        <w:rPr>
          <w:rStyle w:val="Funotenanker"/>
        </w:rPr>
        <w:footnoteReference w:customMarkFollows="1" w:id="2306"/>
        <w:t>ag</w:t>
      </w:r>
      <w:r>
        <w:rPr/>
        <w:t xml:space="preserve"> {{field-off:bible}} </w:t>
        <w:br/>
        <w:t>[[@BibleTOBIBLE:Mk 14:21]]</w:t>
      </w:r>
      <w:r>
        <w:rPr>
          <w:b/>
        </w:rPr>
        <w:t>21</w:t>
      </w:r>
      <w:r>
        <w:rPr/>
        <w:t xml:space="preserve"> {{field-on:bible}}Denn der Menschensohn</w:t>
      </w:r>
      <w:r>
        <w:rPr>
          <w:rStyle w:val="Funotenanker"/>
        </w:rPr>
        <w:footnoteReference w:customMarkFollows="1" w:id="2307"/>
        <w:t>ah</w:t>
      </w:r>
      <w:r>
        <w:rPr/>
        <w:t xml:space="preserve"> geht</w:t>
      </w:r>
      <w:r>
        <w:rPr>
          <w:rStyle w:val="Funotenanker"/>
        </w:rPr>
        <w:footnoteReference w:customMarkFollows="1" w:id="2308"/>
        <w:t>ai</w:t>
      </w:r>
      <w:r>
        <w:rPr/>
        <w:t xml:space="preserve"> zwar, wie über ihn geschrieben steht,</w:t>
      </w:r>
      <w:r>
        <w:rPr>
          <w:rStyle w:val="Funotenanker"/>
        </w:rPr>
        <w:footnoteReference w:customMarkFollows="1" w:id="2309"/>
        <w:t>aj</w:t>
      </w:r>
      <w:r>
        <w:rPr/>
        <w:t xml:space="preserve"> aber wehe jenem Menschen, durch den der Menschensohn ausgeliefert wird! </w:t>
      </w:r>
      <w:r>
        <w:rPr>
          <w:b/>
          <w:color w:val="808080"/>
        </w:rPr>
        <w:t>[</w:t>
      </w:r>
      <w:r>
        <w:rPr/>
        <w:t>Es wäre</w:t>
      </w:r>
      <w:r>
        <w:rPr>
          <w:b/>
          <w:color w:val="808080"/>
        </w:rPr>
        <w:t>]</w:t>
      </w:r>
      <w:r>
        <w:rPr/>
        <w:t xml:space="preserve"> besser für ihn, wenn jener Mensch nicht geboren worden wäre.“{{field-off:bible}} </w:t>
        <w:br/>
        <w:t>[[@BibleTOBIBLE:Mk 14:22]]</w:t>
      </w:r>
      <w:r>
        <w:rPr>
          <w:b/>
        </w:rPr>
        <w:t>22</w:t>
      </w:r>
      <w:r>
        <w:rPr/>
        <w:t xml:space="preserve"> {{field-on:bible}}Und als er bei </w:t>
      </w:r>
      <w:r>
        <w:rPr>
          <w:color w:val="808080"/>
        </w:rPr>
        <w:t>(nach)</w:t>
      </w:r>
      <w:r>
        <w:rPr/>
        <w:t xml:space="preserve"> ihrem Essen ein Brot genommen und </w:t>
      </w:r>
      <w:r>
        <w:rPr>
          <w:b/>
          <w:color w:val="808080"/>
        </w:rPr>
        <w:t>[</w:t>
      </w:r>
      <w:r>
        <w:rPr/>
        <w:t>Gott</w:t>
      </w:r>
      <w:r>
        <w:rPr>
          <w:b/>
          <w:color w:val="808080"/>
        </w:rPr>
        <w:t>]</w:t>
      </w:r>
      <w:r>
        <w:rPr/>
        <w:t xml:space="preserve"> gedankt hatte,</w:t>
      </w:r>
      <w:r>
        <w:rPr>
          <w:rStyle w:val="Funotenanker"/>
        </w:rPr>
        <w:footnoteReference w:customMarkFollows="1" w:id="2310"/>
        <w:t>ak</w:t>
      </w:r>
      <w:r>
        <w:rPr/>
        <w:t xml:space="preserve"> hatte, brach er </w:t>
      </w:r>
      <w:r>
        <w:rPr>
          <w:b/>
          <w:color w:val="808080"/>
        </w:rPr>
        <w:t>[</w:t>
      </w:r>
      <w:r>
        <w:rPr/>
        <w:t>es</w:t>
      </w:r>
      <w:r>
        <w:rPr>
          <w:b/>
          <w:color w:val="808080"/>
        </w:rPr>
        <w:t>]</w:t>
      </w:r>
      <w:r>
        <w:rPr/>
        <w:t>,</w:t>
      </w:r>
      <w:r>
        <w:rPr>
          <w:rStyle w:val="Funotenanker"/>
        </w:rPr>
        <w:footnoteReference w:customMarkFollows="1" w:id="2311"/>
        <w:t>al</w:t>
      </w:r>
      <w:r>
        <w:rPr/>
        <w:t xml:space="preserve"> gab </w:t>
      </w:r>
      <w:r>
        <w:rPr>
          <w:b/>
          <w:color w:val="808080"/>
        </w:rPr>
        <w:t>[</w:t>
      </w:r>
      <w:r>
        <w:rPr/>
        <w:t>es</w:t>
      </w:r>
      <w:r>
        <w:rPr>
          <w:b/>
          <w:color w:val="808080"/>
        </w:rPr>
        <w:t>]</w:t>
      </w:r>
      <w:r>
        <w:rPr/>
        <w:t xml:space="preserve"> ihnen und sagte: „Nehmt, dies</w:t>
      </w:r>
      <w:r>
        <w:rPr>
          <w:rStyle w:val="Funotenanker"/>
        </w:rPr>
        <w:footnoteReference w:customMarkFollows="1" w:id="2312"/>
        <w:t>am</w:t>
      </w:r>
      <w:r>
        <w:rPr/>
        <w:t xml:space="preserve"> ist mein Leib!“</w:t>
      </w:r>
      <w:r>
        <w:rPr>
          <w:rStyle w:val="Funotenanker"/>
        </w:rPr>
        <w:footnoteReference w:customMarkFollows="1" w:id="2313"/>
        <w:t>an</w:t>
      </w:r>
      <w:r>
        <w:rPr/>
        <w:t xml:space="preserve"> {{field-off:bible}} </w:t>
        <w:br/>
        <w:t>[[@BibleTOBIBLE:Mk 14:23]]</w:t>
      </w:r>
      <w:r>
        <w:rPr>
          <w:b/>
        </w:rPr>
        <w:t>23</w:t>
      </w:r>
      <w:r>
        <w:rPr/>
        <w:t xml:space="preserve"> {{field-on:bible}}Und als er einen Becher </w:t>
      </w:r>
      <w:r>
        <w:rPr>
          <w:color w:val="808080"/>
        </w:rPr>
        <w:t>(Kelch)</w:t>
      </w:r>
      <w:r>
        <w:rPr/>
        <w:t xml:space="preserve"> </w:t>
      </w:r>
      <w:r>
        <w:rPr>
          <w:rStyle w:val="Funotenanker"/>
        </w:rPr>
        <w:footnoteReference w:customMarkFollows="1" w:id="2314"/>
        <w:t>ao</w:t>
      </w:r>
      <w:r>
        <w:rPr/>
        <w:t xml:space="preserve"> genommen und </w:t>
      </w:r>
      <w:r>
        <w:rPr>
          <w:b/>
          <w:color w:val="808080"/>
        </w:rPr>
        <w:t>[</w:t>
      </w:r>
      <w:r>
        <w:rPr/>
        <w:t>Gott</w:t>
      </w:r>
      <w:r>
        <w:rPr>
          <w:b/>
          <w:color w:val="808080"/>
        </w:rPr>
        <w:t>]</w:t>
      </w:r>
      <w:r>
        <w:rPr/>
        <w:t xml:space="preserve"> gedankt</w:t>
      </w:r>
      <w:r>
        <w:rPr>
          <w:rStyle w:val="Funotenanker"/>
        </w:rPr>
        <w:footnoteReference w:customMarkFollows="1" w:id="2315"/>
        <w:t>ap</w:t>
      </w:r>
      <w:r>
        <w:rPr/>
        <w:t xml:space="preserve"> hatte, gab er </w:t>
      </w:r>
      <w:r>
        <w:rPr>
          <w:b/>
          <w:color w:val="808080"/>
        </w:rPr>
        <w:t>[</w:t>
      </w:r>
      <w:r>
        <w:rPr/>
        <w:t>ihn</w:t>
      </w:r>
      <w:r>
        <w:rPr>
          <w:b/>
          <w:color w:val="808080"/>
        </w:rPr>
        <w:t>]</w:t>
      </w:r>
      <w:r>
        <w:rPr/>
        <w:t xml:space="preserve"> ihnen und sie alle tranken aus diesem.</w:t>
      </w:r>
      <w:r>
        <w:rPr>
          <w:rStyle w:val="Funotenanker"/>
        </w:rPr>
        <w:footnoteReference w:customMarkFollows="1" w:id="2316"/>
        <w:t>aq</w:t>
      </w:r>
      <w:r>
        <w:rPr/>
        <w:t xml:space="preserve"> {{field-off:bible}} </w:t>
        <w:br/>
        <w:t>[[@BibleTOBIBLE:Mk 14:24]]</w:t>
      </w:r>
      <w:r>
        <w:rPr>
          <w:b/>
        </w:rPr>
        <w:t>24</w:t>
      </w:r>
      <w:r>
        <w:rPr/>
        <w:t xml:space="preserve"> {{field-on:bible}}Und er sagte zu ihnen: „Dies ist mein Blut des </w:t>
      </w:r>
      <w:r>
        <w:rPr>
          <w:color w:val="808080"/>
        </w:rPr>
        <w:t>(neuen)</w:t>
      </w:r>
      <w:r>
        <w:rPr/>
        <w:t xml:space="preserve"> </w:t>
      </w:r>
      <w:r>
        <w:rPr>
          <w:rStyle w:val="Funotenanker"/>
        </w:rPr>
        <w:footnoteReference w:customMarkFollows="1" w:id="2317"/>
        <w:t>ar</w:t>
      </w:r>
      <w:r>
        <w:rPr/>
        <w:t xml:space="preserve"> Bundes, für viele</w:t>
      </w:r>
      <w:r>
        <w:rPr>
          <w:rStyle w:val="Funotenanker"/>
        </w:rPr>
        <w:footnoteReference w:customMarkFollows="1" w:id="2318"/>
        <w:t>as</w:t>
      </w:r>
      <w:r>
        <w:rPr/>
        <w:t xml:space="preserve"> vergossen.</w:t>
      </w:r>
      <w:r>
        <w:rPr>
          <w:rStyle w:val="Funotenanker"/>
        </w:rPr>
        <w:footnoteReference w:customMarkFollows="1" w:id="2319"/>
        <w:t>at</w:t>
      </w:r>
      <w:r>
        <w:rPr/>
        <w:t xml:space="preserve"> {{field-off:bible}} </w:t>
        <w:br/>
        <w:t>[[@BibleTOBIBLE:Mk 14:25]]</w:t>
      </w:r>
      <w:r>
        <w:rPr>
          <w:b/>
        </w:rPr>
        <w:t>25</w:t>
      </w:r>
      <w:r>
        <w:rPr/>
        <w:t xml:space="preserve"> {{field-on:bible}}Amen, ich sage euch: Ich werde nicht wieder vom Gewächs des Weinstocks trinken bis zu jenem Tag, an dem ich </w:t>
      </w:r>
      <w:r>
        <w:rPr>
          <w:b/>
          <w:color w:val="808080"/>
        </w:rPr>
        <w:t>[</w:t>
      </w:r>
      <w:r>
        <w:rPr/>
        <w:t>von</w:t>
      </w:r>
      <w:r>
        <w:rPr>
          <w:b/>
          <w:color w:val="808080"/>
        </w:rPr>
        <w:t>]</w:t>
      </w:r>
      <w:r>
        <w:rPr/>
        <w:t xml:space="preserve"> ihm erneut </w:t>
      </w:r>
      <w:r>
        <w:rPr>
          <w:color w:val="808080"/>
        </w:rPr>
        <w:t>(ihn als neuen)</w:t>
      </w:r>
      <w:r>
        <w:rPr/>
        <w:t xml:space="preserve"> </w:t>
      </w:r>
      <w:r>
        <w:rPr>
          <w:rStyle w:val="Funotenanker"/>
        </w:rPr>
        <w:footnoteReference w:customMarkFollows="1" w:id="2320"/>
        <w:t>au</w:t>
      </w:r>
      <w:r>
        <w:rPr/>
        <w:t xml:space="preserve"> im Reich Gottes trinken werde.“{{field-off:bible}} </w:t>
        <w:br/>
        <w:t>[[@BibleTOBIBLE:Mk 14:26]]</w:t>
      </w:r>
      <w:r>
        <w:rPr>
          <w:b/>
        </w:rPr>
        <w:t>26</w:t>
      </w:r>
      <w:r>
        <w:rPr/>
        <w:t xml:space="preserve"> {{field-on:bible}}Und nachdem sie </w:t>
      </w:r>
      <w:r>
        <w:rPr>
          <w:b/>
          <w:color w:val="808080"/>
        </w:rPr>
        <w:t>[</w:t>
      </w:r>
      <w:r>
        <w:rPr/>
        <w:t>Loblieder</w:t>
      </w:r>
      <w:r>
        <w:rPr>
          <w:b/>
          <w:color w:val="808080"/>
        </w:rPr>
        <w:t>]</w:t>
      </w:r>
      <w:r>
        <w:rPr/>
        <w:t xml:space="preserve"> gesungen hatten,</w:t>
      </w:r>
      <w:r>
        <w:rPr>
          <w:rStyle w:val="Funotenanker"/>
        </w:rPr>
        <w:footnoteReference w:customMarkFollows="1" w:id="2321"/>
        <w:t>av</w:t>
      </w:r>
      <w:r>
        <w:rPr/>
        <w:t xml:space="preserve"> gingen sie hinaus zum Ölberg.</w:t>
      </w:r>
      <w:r>
        <w:rPr>
          <w:rStyle w:val="Funotenanker"/>
        </w:rPr>
        <w:footnoteReference w:customMarkFollows="1" w:id="2322"/>
        <w:t>aw</w:t>
      </w:r>
      <w:r>
        <w:rPr/>
        <w:t xml:space="preserve"> </w:t>
      </w:r>
      <w:r>
        <w:rPr>
          <w:position w:val="8"/>
          <w:sz w:val="19"/>
        </w:rPr>
        <w:t>[[ ℘ &gt;&gt; BibleTOBIBLE:2Sa 15:30]]</w:t>
      </w:r>
      <w:r>
        <w:rPr/>
        <w:t xml:space="preserve"> {{field-off:bible}} </w:t>
        <w:br/>
        <w:t>[[@BibleTOBIBLE:Mk 14:27]]</w:t>
      </w:r>
      <w:r>
        <w:rPr>
          <w:b/>
        </w:rPr>
        <w:t>27</w:t>
      </w:r>
      <w:r>
        <w:rPr/>
        <w:t xml:space="preserve"> {{field-on:bible}}Da sagt</w:t>
      </w:r>
      <w:r>
        <w:rPr>
          <w:b/>
          <w:color w:val="808080"/>
        </w:rPr>
        <w:t>[</w:t>
      </w:r>
      <w:r>
        <w:rPr/>
        <w:t>e</w:t>
      </w:r>
      <w:r>
        <w:rPr>
          <w:b/>
          <w:color w:val="808080"/>
        </w:rPr>
        <w:t>]</w:t>
      </w:r>
      <w:r>
        <w:rPr/>
        <w:t xml:space="preserve"> Jesus zu ihnen: „Ihr werdet alle zu Fall kommen </w:t>
      </w:r>
      <w:r>
        <w:rPr>
          <w:color w:val="808080"/>
        </w:rPr>
        <w:t>(ärgern)</w:t>
      </w:r>
      <w:r>
        <w:rPr/>
        <w:t>,</w:t>
      </w:r>
      <w:r>
        <w:rPr>
          <w:rStyle w:val="Funotenanker"/>
        </w:rPr>
        <w:footnoteReference w:customMarkFollows="1" w:id="2323"/>
        <w:t>ax</w:t>
      </w:r>
      <w:r>
        <w:rPr/>
        <w:t>,weil geschrieben steht:</w:t>
      </w:r>
      <w:r>
        <w:rPr>
          <w:rStyle w:val="Funotenanker"/>
        </w:rPr>
        <w:footnoteReference w:customMarkFollows="1" w:id="2324"/>
        <w:t>ay</w:t>
      </w:r>
      <w:r>
        <w:rPr/>
        <w:t xml:space="preserve"> »Ich werde den Hirten schlagen </w:t>
      </w:r>
      <w:r>
        <w:rPr>
          <w:color w:val="808080"/>
        </w:rPr>
        <w:t>(erschlagen)</w:t>
      </w:r>
      <w:r>
        <w:rPr/>
        <w:t>, und die Schafe werden zerstreut werden.«</w:t>
      </w:r>
      <w:r>
        <w:rPr>
          <w:rStyle w:val="Funotenanker"/>
        </w:rPr>
        <w:footnoteReference w:customMarkFollows="1" w:id="2325"/>
        <w:t>az</w:t>
      </w:r>
      <w:r>
        <w:rPr/>
        <w:t xml:space="preserve"> </w:t>
      </w:r>
      <w:r>
        <w:rPr>
          <w:position w:val="8"/>
          <w:sz w:val="19"/>
        </w:rPr>
        <w:t>[[ ℘ &gt;&gt; BibleTOBIBLE:Zec 13:7]]</w:t>
      </w:r>
      <w:r>
        <w:rPr/>
        <w:t xml:space="preserve"> {{field-off:bible}} </w:t>
        <w:br/>
        <w:t>[[@BibleTOBIBLE:Mk 14:28]]</w:t>
      </w:r>
      <w:r>
        <w:rPr>
          <w:b/>
        </w:rPr>
        <w:t>28</w:t>
      </w:r>
      <w:r>
        <w:rPr/>
        <w:t xml:space="preserve"> {{field-on:bible}}Doch nachdem ich auferweckt worden sein werde, werde ich euch nach Galiläa vorausgehen </w:t>
      </w:r>
      <w:r>
        <w:rPr>
          <w:color w:val="808080"/>
        </w:rPr>
        <w:t>(in Galiläa anführen)</w:t>
      </w:r>
      <w:r>
        <w:rPr/>
        <w:t xml:space="preserve">.“ </w:t>
      </w:r>
      <w:r>
        <w:rPr>
          <w:position w:val="8"/>
          <w:sz w:val="19"/>
        </w:rPr>
        <w:t>[[ ℘ &gt;&gt; BibleTOBIBLE:Mk 16:7]]</w:t>
      </w:r>
      <w:r>
        <w:rPr/>
        <w:t xml:space="preserve"> {{field-off:bible}} </w:t>
        <w:br/>
        <w:t>[[@BibleTOBIBLE:Mk 14:29]]</w:t>
      </w:r>
      <w:r>
        <w:rPr>
          <w:b/>
        </w:rPr>
        <w:t>29</w:t>
      </w:r>
      <w:r>
        <w:rPr/>
        <w:t xml:space="preserve"> {{field-on:bible}}Petrus aber sagte zu ihm: „Und wenn alle zu Fall kommen </w:t>
      </w:r>
      <w:r>
        <w:rPr>
          <w:color w:val="808080"/>
        </w:rPr>
        <w:t>(sich ärgern)</w:t>
      </w:r>
      <w:r>
        <w:rPr/>
        <w:t xml:space="preserve"> werden – ich aber nicht!“{{field-off:bible}} </w:t>
        <w:br/>
        <w:t>[[@BibleTOBIBLE:Mk 14:30]]</w:t>
      </w:r>
      <w:r>
        <w:rPr>
          <w:b/>
        </w:rPr>
        <w:t>30</w:t>
      </w:r>
      <w:r>
        <w:rPr/>
        <w:t xml:space="preserve"> {{field-on:bible}}Und Jesus sagt</w:t>
      </w:r>
      <w:r>
        <w:rPr>
          <w:b/>
          <w:color w:val="808080"/>
        </w:rPr>
        <w:t>[</w:t>
      </w:r>
      <w:r>
        <w:rPr/>
        <w:t>e</w:t>
      </w:r>
      <w:r>
        <w:rPr>
          <w:b/>
          <w:color w:val="808080"/>
        </w:rPr>
        <w:t>]</w:t>
      </w:r>
      <w:r>
        <w:rPr/>
        <w:t xml:space="preserve"> zu ihm: „Amen, ich sage dir: Du wirst mich heute, in dieser Nacht, vor dem zweimaligen Krähen des Hahns,</w:t>
      </w:r>
      <w:r>
        <w:rPr>
          <w:rStyle w:val="Funotenanker"/>
        </w:rPr>
        <w:footnoteReference w:customMarkFollows="1" w:id="2326"/>
        <w:t>ba</w:t>
      </w:r>
      <w:r>
        <w:rPr/>
        <w:t xml:space="preserve"> dreimal verleugnen.“{{field-off:bible}} </w:t>
        <w:br/>
        <w:t>[[@BibleTOBIBLE:Mk 14:31]]</w:t>
      </w:r>
      <w:r>
        <w:rPr>
          <w:b/>
        </w:rPr>
        <w:t>31</w:t>
      </w:r>
      <w:r>
        <w:rPr/>
        <w:t xml:space="preserve"> {{field-on:bible}}Er aber sagte </w:t>
      </w:r>
      <w:r>
        <w:rPr>
          <w:b/>
          <w:color w:val="808080"/>
        </w:rPr>
        <w:t>[</w:t>
      </w:r>
      <w:r>
        <w:rPr/>
        <w:t>überaus</w:t>
      </w:r>
      <w:r>
        <w:rPr>
          <w:b/>
          <w:color w:val="808080"/>
        </w:rPr>
        <w:t>]</w:t>
      </w:r>
      <w:r>
        <w:rPr/>
        <w:t xml:space="preserve"> vehement:</w:t>
      </w:r>
      <w:r>
        <w:rPr>
          <w:rStyle w:val="Funotenanker"/>
        </w:rPr>
        <w:footnoteReference w:customMarkFollows="1" w:id="2327"/>
        <w:t>bb</w:t>
      </w:r>
      <w:r>
        <w:rPr/>
        <w:t xml:space="preserve"> „Wenn ich zusammen sterben müsste mit dir, werde ich dich keinesfalls verleugnen!“ Und genauso redeten auch alle </w:t>
      </w:r>
      <w:r>
        <w:rPr>
          <w:b/>
          <w:color w:val="808080"/>
        </w:rPr>
        <w:t>[</w:t>
      </w:r>
      <w:r>
        <w:rPr/>
        <w:t>anderen</w:t>
      </w:r>
      <w:r>
        <w:rPr>
          <w:b/>
          <w:color w:val="808080"/>
        </w:rPr>
        <w:t>]</w:t>
      </w:r>
      <w:r>
        <w:rPr/>
        <w:t xml:space="preserve">.{{field-off:bible}} </w:t>
        <w:br/>
        <w:t>[[@BibleTOBIBLE:Mk 14:32]]</w:t>
      </w:r>
      <w:r>
        <w:rPr>
          <w:b/>
        </w:rPr>
        <w:t>32</w:t>
      </w:r>
      <w:r>
        <w:rPr/>
        <w:t xml:space="preserve"> {{field-on:bible}}Und sie kommen </w:t>
      </w:r>
      <w:r>
        <w:rPr>
          <w:color w:val="808080"/>
        </w:rPr>
        <w:t>(kamen)</w:t>
      </w:r>
      <w:r>
        <w:rPr/>
        <w:t xml:space="preserve"> zu einem Grundstück </w:t>
      </w:r>
      <w:r>
        <w:rPr>
          <w:color w:val="808080"/>
        </w:rPr>
        <w:t>(Landstück)</w:t>
      </w:r>
      <w:r>
        <w:rPr/>
        <w:t>, dessen Name „Getsemani“</w:t>
      </w:r>
      <w:r>
        <w:rPr>
          <w:rStyle w:val="Funotenanker"/>
        </w:rPr>
        <w:footnoteReference w:customMarkFollows="1" w:id="2328"/>
        <w:t>bc</w:t>
      </w:r>
      <w:r>
        <w:rPr/>
        <w:t xml:space="preserve"> </w:t>
      </w:r>
      <w:r>
        <w:rPr>
          <w:b/>
          <w:color w:val="808080"/>
        </w:rPr>
        <w:t>[</w:t>
      </w:r>
      <w:r>
        <w:rPr/>
        <w:t>war</w:t>
      </w:r>
      <w:r>
        <w:rPr>
          <w:b/>
          <w:color w:val="808080"/>
        </w:rPr>
        <w:t>]</w:t>
      </w:r>
      <w:r>
        <w:rPr/>
        <w:t>, und er sagt</w:t>
      </w:r>
      <w:r>
        <w:rPr>
          <w:b/>
          <w:color w:val="808080"/>
        </w:rPr>
        <w:t>[</w:t>
      </w:r>
      <w:r>
        <w:rPr/>
        <w:t>e</w:t>
      </w:r>
      <w:r>
        <w:rPr>
          <w:b/>
          <w:color w:val="808080"/>
        </w:rPr>
        <w:t>]</w:t>
      </w:r>
      <w:r>
        <w:rPr/>
        <w:t xml:space="preserve"> seinen Jüngern: „Setzt euch </w:t>
      </w:r>
      <w:r>
        <w:rPr>
          <w:color w:val="808080"/>
        </w:rPr>
        <w:t>(sitzt)</w:t>
      </w:r>
      <w:r>
        <w:rPr/>
        <w:t xml:space="preserve"> hier, bis ich gebetet habe!“{{field-off:bible}} </w:t>
        <w:br/>
        <w:t>[[@BibleTOBIBLE:Mk 14:33]]</w:t>
      </w:r>
      <w:r>
        <w:rPr>
          <w:b/>
        </w:rPr>
        <w:t>33</w:t>
      </w:r>
      <w:r>
        <w:rPr/>
        <w:t xml:space="preserve"> {{field-on:bible}}Dann nimmt </w:t>
      </w:r>
      <w:r>
        <w:rPr>
          <w:color w:val="808080"/>
        </w:rPr>
        <w:t>(nahm)</w:t>
      </w:r>
      <w:r>
        <w:rPr/>
        <w:t xml:space="preserve"> er Petrus und Jakobus und Johannes mit sich und begann, erschreckt </w:t>
      </w:r>
      <w:r>
        <w:rPr>
          <w:color w:val="808080"/>
        </w:rPr>
        <w:t>(erstaunt)</w:t>
      </w:r>
      <w:r>
        <w:rPr/>
        <w:t xml:space="preserve"> und verängstigt zu sein </w:t>
      </w:r>
      <w:r>
        <w:rPr>
          <w:color w:val="808080"/>
        </w:rPr>
        <w:t>(war erschreckt und verängstigt)</w:t>
      </w:r>
      <w:r>
        <w:rPr/>
        <w:t>,</w:t>
      </w:r>
      <w:r>
        <w:rPr>
          <w:rStyle w:val="Funotenanker"/>
        </w:rPr>
        <w:footnoteReference w:customMarkFollows="1" w:id="2329"/>
        <w:t>bd</w:t>
      </w:r>
      <w:r>
        <w:rPr/>
        <w:t xml:space="preserve"> </w:t>
      </w:r>
      <w:r>
        <w:rPr>
          <w:position w:val="8"/>
          <w:sz w:val="19"/>
        </w:rPr>
        <w:t>[[ ℘ &gt;&gt; BibleTOBIBLE:Ps 42:6]]</w:t>
      </w:r>
      <w:r>
        <w:rPr/>
        <w:t xml:space="preserve"> {{field-off:bible}} </w:t>
        <w:br/>
        <w:t>[[@BibleTOBIBLE:Mk 14:34]]</w:t>
      </w:r>
      <w:r>
        <w:rPr>
          <w:b/>
        </w:rPr>
        <w:t>34</w:t>
      </w:r>
      <w:r>
        <w:rPr/>
        <w:t xml:space="preserve"> {{field-on:bible}}und er sagt</w:t>
      </w:r>
      <w:r>
        <w:rPr>
          <w:b/>
          <w:color w:val="808080"/>
        </w:rPr>
        <w:t>[</w:t>
      </w:r>
      <w:r>
        <w:rPr/>
        <w:t>e</w:t>
      </w:r>
      <w:r>
        <w:rPr>
          <w:b/>
          <w:color w:val="808080"/>
        </w:rPr>
        <w:t>]</w:t>
      </w:r>
      <w:r>
        <w:rPr/>
        <w:t xml:space="preserve"> ihnen: „Meine Seele ist </w:t>
      </w:r>
      <w:r>
        <w:rPr>
          <w:color w:val="808080"/>
        </w:rPr>
        <w:t>(ich bin)</w:t>
      </w:r>
      <w:r>
        <w:rPr/>
        <w:t xml:space="preserve"> zu Tode betrübt</w:t>
      </w:r>
      <w:r>
        <w:rPr>
          <w:rStyle w:val="Funotenanker"/>
        </w:rPr>
        <w:footnoteReference w:customMarkFollows="1" w:id="2330"/>
        <w:t>be</w:t>
      </w:r>
      <w:r>
        <w:rPr/>
        <w:t xml:space="preserve">; bleibt hier und wacht </w:t>
      </w:r>
      <w:r>
        <w:rPr>
          <w:color w:val="808080"/>
        </w:rPr>
        <w:t>(bleibt wach)</w:t>
      </w:r>
      <w:r>
        <w:rPr/>
        <w:t xml:space="preserve">!“{{field-off:bible}} </w:t>
        <w:br/>
        <w:t>[[@BibleTOBIBLE:Mk 14:35]]</w:t>
      </w:r>
      <w:r>
        <w:rPr>
          <w:b/>
        </w:rPr>
        <w:t>35</w:t>
      </w:r>
      <w:r>
        <w:rPr/>
        <w:t xml:space="preserve"> {{field-on:bible}}Und nachdem er ein wenig weitergegangen war, warf er sich </w:t>
      </w:r>
      <w:r>
        <w:rPr>
          <w:color w:val="808080"/>
        </w:rPr>
        <w:t>(fiel er)</w:t>
      </w:r>
      <w:r>
        <w:rPr/>
        <w:t xml:space="preserve"> auf die Erde</w:t>
      </w:r>
      <w:r>
        <w:rPr>
          <w:rStyle w:val="Funotenanker"/>
        </w:rPr>
        <w:footnoteReference w:customMarkFollows="1" w:id="2331"/>
        <w:t>bf</w:t>
      </w:r>
      <w:r>
        <w:rPr/>
        <w:t xml:space="preserve"> und betete, dass – wenn es möglich sei – die Stunde an ihm vorüberginge,</w:t>
      </w:r>
      <w:r>
        <w:rPr>
          <w:rStyle w:val="Funotenanker"/>
        </w:rPr>
        <w:footnoteReference w:customMarkFollows="1" w:id="2332"/>
        <w:t>bg</w:t>
      </w:r>
      <w:r>
        <w:rPr/>
        <w:t xml:space="preserve"> {{field-off:bible}} </w:t>
        <w:br/>
        <w:t>[[@BibleTOBIBLE:Mk 14:36]]</w:t>
      </w:r>
      <w:r>
        <w:rPr>
          <w:b/>
        </w:rPr>
        <w:t>36</w:t>
      </w:r>
      <w:r>
        <w:rPr/>
        <w:t xml:space="preserve"> {{field-on:bible}}und er sagte: „Abba, Vater,</w:t>
      </w:r>
      <w:r>
        <w:rPr>
          <w:rStyle w:val="Funotenanker"/>
        </w:rPr>
        <w:footnoteReference w:customMarkFollows="1" w:id="2333"/>
        <w:t>bh</w:t>
      </w:r>
      <w:r>
        <w:rPr/>
        <w:t xml:space="preserve"> alles </w:t>
      </w:r>
      <w:r>
        <w:rPr>
          <w:b/>
          <w:color w:val="808080"/>
        </w:rPr>
        <w:t>[</w:t>
      </w:r>
      <w:r>
        <w:rPr/>
        <w:t>ist</w:t>
      </w:r>
      <w:r>
        <w:rPr>
          <w:b/>
          <w:color w:val="808080"/>
        </w:rPr>
        <w:t>]</w:t>
      </w:r>
      <w:r>
        <w:rPr/>
        <w:t xml:space="preserve"> dir möglich. Trag diesen Becher </w:t>
      </w:r>
      <w:r>
        <w:rPr>
          <w:color w:val="808080"/>
        </w:rPr>
        <w:t>(Kelch)</w:t>
      </w:r>
      <w:r>
        <w:rPr/>
        <w:t xml:space="preserve"> </w:t>
      </w:r>
      <w:r>
        <w:rPr>
          <w:rStyle w:val="Funotenanker"/>
        </w:rPr>
        <w:footnoteReference w:customMarkFollows="1" w:id="2334"/>
        <w:t>bi</w:t>
      </w:r>
      <w:r>
        <w:rPr/>
        <w:t xml:space="preserve"> an mir vorüber! Doch nicht, wie ich will, sondern wie du </w:t>
      </w:r>
      <w:r>
        <w:rPr>
          <w:b/>
          <w:color w:val="808080"/>
        </w:rPr>
        <w:t>[</w:t>
      </w:r>
      <w:r>
        <w:rPr/>
        <w:t>willst</w:t>
      </w:r>
      <w:r>
        <w:rPr>
          <w:b/>
          <w:color w:val="808080"/>
        </w:rPr>
        <w:t>]</w:t>
      </w:r>
      <w:r>
        <w:rPr/>
        <w:t xml:space="preserve">!“{{field-off:bible}} </w:t>
        <w:br/>
        <w:t>[[@BibleTOBIBLE:Mk 14:37]]</w:t>
      </w:r>
      <w:r>
        <w:rPr>
          <w:b/>
        </w:rPr>
        <w:t>37</w:t>
      </w:r>
      <w:r>
        <w:rPr/>
        <w:t xml:space="preserve"> {{field-on:bible}}Und er kommt </w:t>
      </w:r>
      <w:r>
        <w:rPr>
          <w:color w:val="808080"/>
        </w:rPr>
        <w:t>(kam)</w:t>
      </w:r>
      <w:r>
        <w:rPr/>
        <w:t xml:space="preserve"> und findet </w:t>
      </w:r>
      <w:r>
        <w:rPr>
          <w:color w:val="808080"/>
        </w:rPr>
        <w:t>(fand)</w:t>
      </w:r>
      <w:r>
        <w:rPr/>
        <w:t xml:space="preserve"> sie schlafend </w:t>
      </w:r>
      <w:r>
        <w:rPr>
          <w:b/>
          <w:color w:val="808080"/>
        </w:rPr>
        <w:t>[</w:t>
      </w:r>
      <w:r>
        <w:rPr/>
        <w:t>vor</w:t>
      </w:r>
      <w:r>
        <w:rPr>
          <w:b/>
          <w:color w:val="808080"/>
        </w:rPr>
        <w:t>]</w:t>
      </w:r>
      <w:r>
        <w:rPr/>
        <w:t xml:space="preserve"> und er sagt</w:t>
      </w:r>
      <w:r>
        <w:rPr>
          <w:b/>
          <w:color w:val="808080"/>
        </w:rPr>
        <w:t>[</w:t>
      </w:r>
      <w:r>
        <w:rPr/>
        <w:t>e</w:t>
      </w:r>
      <w:r>
        <w:rPr>
          <w:b/>
          <w:color w:val="808080"/>
        </w:rPr>
        <w:t>]</w:t>
      </w:r>
      <w:r>
        <w:rPr/>
        <w:t xml:space="preserve"> zu Petrus: „Simon, du schläfst!? </w:t>
      </w:r>
      <w:r>
        <w:rPr>
          <w:color w:val="808080"/>
        </w:rPr>
        <w:t>(Schläfst du?)</w:t>
      </w:r>
      <w:r>
        <w:rPr/>
        <w:t xml:space="preserve"> Vermochtest du nicht eine einzige Stunde zu wachen!?{{field-off:bible}} </w:t>
        <w:br/>
        <w:t>[[@BibleTOBIBLE:Mk 14:38]]</w:t>
      </w:r>
      <w:r>
        <w:rPr>
          <w:b/>
        </w:rPr>
        <w:t>38</w:t>
      </w:r>
      <w:r>
        <w:rPr/>
        <w:t xml:space="preserve"> {{field-on:bible}}Seid wach </w:t>
      </w:r>
      <w:r>
        <w:rPr>
          <w:color w:val="808080"/>
        </w:rPr>
        <w:t>(wachsam)</w:t>
      </w:r>
      <w:r>
        <w:rPr/>
        <w:t xml:space="preserve"> und betet darum, dass </w:t>
      </w:r>
      <w:r>
        <w:rPr>
          <w:color w:val="808080"/>
        </w:rPr>
        <w:t>(damit)</w:t>
      </w:r>
      <w:r>
        <w:rPr/>
        <w:t xml:space="preserve"> </w:t>
      </w:r>
      <w:r>
        <w:rPr>
          <w:rStyle w:val="Funotenanker"/>
        </w:rPr>
        <w:footnoteReference w:customMarkFollows="1" w:id="2335"/>
        <w:t>bj</w:t>
      </w:r>
      <w:r>
        <w:rPr/>
        <w:t xml:space="preserve"> ihr nicht in Versuchung geratet! Der Geist</w:t>
      </w:r>
      <w:r>
        <w:rPr>
          <w:rStyle w:val="Funotenanker"/>
        </w:rPr>
        <w:footnoteReference w:customMarkFollows="1" w:id="2336"/>
        <w:t>bk</w:t>
      </w:r>
      <w:r>
        <w:rPr/>
        <w:t xml:space="preserve"> </w:t>
      </w:r>
      <w:r>
        <w:rPr>
          <w:b/>
          <w:color w:val="808080"/>
        </w:rPr>
        <w:t>[</w:t>
      </w:r>
      <w:r>
        <w:rPr/>
        <w:t>ist</w:t>
      </w:r>
      <w:r>
        <w:rPr>
          <w:b/>
          <w:color w:val="808080"/>
        </w:rPr>
        <w:t>]</w:t>
      </w:r>
      <w:r>
        <w:rPr/>
        <w:t xml:space="preserve"> zwar willig, aber das Fleisch </w:t>
      </w:r>
      <w:r>
        <w:rPr>
          <w:b/>
          <w:color w:val="808080"/>
        </w:rPr>
        <w:t>[</w:t>
      </w:r>
      <w:r>
        <w:rPr/>
        <w:t>ist</w:t>
      </w:r>
      <w:r>
        <w:rPr>
          <w:b/>
          <w:color w:val="808080"/>
        </w:rPr>
        <w:t>]</w:t>
      </w:r>
      <w:r>
        <w:rPr/>
        <w:t xml:space="preserve"> schwach.“{{field-off:bible}} </w:t>
        <w:br/>
        <w:t>[[@BibleTOBIBLE:Mk 14:39]]</w:t>
      </w:r>
      <w:r>
        <w:rPr>
          <w:b/>
        </w:rPr>
        <w:t>39</w:t>
      </w:r>
      <w:r>
        <w:rPr/>
        <w:t xml:space="preserve"> {{field-on:bible}}Und nachdem er erneut weggegangen war, betete und sprach dasselbe Gebet </w:t>
      </w:r>
      <w:r>
        <w:rPr>
          <w:color w:val="808080"/>
        </w:rPr>
        <w:t>(Wort)</w:t>
      </w:r>
      <w:r>
        <w:rPr/>
        <w:t xml:space="preserve">.{{field-off:bible}} </w:t>
        <w:br/>
        <w:t>[[@BibleTOBIBLE:Mk 14:40]]</w:t>
      </w:r>
      <w:r>
        <w:rPr>
          <w:b/>
        </w:rPr>
        <w:t>40</w:t>
      </w:r>
      <w:r>
        <w:rPr/>
        <w:t xml:space="preserve"> {{field-on:bible}}Und nachdem er zurückkehrte, fand er sie erneut schlafend </w:t>
      </w:r>
      <w:r>
        <w:rPr>
          <w:b/>
          <w:color w:val="808080"/>
        </w:rPr>
        <w:t>[</w:t>
      </w:r>
      <w:r>
        <w:rPr/>
        <w:t>vor</w:t>
      </w:r>
      <w:r>
        <w:rPr>
          <w:b/>
          <w:color w:val="808080"/>
        </w:rPr>
        <w:t>]</w:t>
      </w:r>
      <w:r>
        <w:rPr/>
        <w:t>,</w:t>
      </w:r>
      <w:r>
        <w:rPr>
          <w:rStyle w:val="Funotenanker"/>
        </w:rPr>
        <w:footnoteReference w:customMarkFollows="1" w:id="2337"/>
        <w:t>bl</w:t>
      </w:r>
      <w:r>
        <w:rPr/>
        <w:t xml:space="preserve"> denn ihre Augen waren schwer. Und sie wussten nicht, was sie ihm antworten sollten.</w:t>
      </w:r>
      <w:r>
        <w:rPr>
          <w:rStyle w:val="Funotenanker"/>
        </w:rPr>
        <w:footnoteReference w:customMarkFollows="1" w:id="2338"/>
        <w:t>bm</w:t>
      </w:r>
      <w:r>
        <w:rPr/>
        <w:t xml:space="preserve"> {{field-off:bible}} </w:t>
        <w:br/>
        <w:t>[[@BibleTOBIBLE:Mk 14:41]]</w:t>
      </w:r>
      <w:r>
        <w:rPr>
          <w:b/>
        </w:rPr>
        <w:t>41</w:t>
      </w:r>
      <w:r>
        <w:rPr/>
        <w:t xml:space="preserve"> {{field-on:bible}}Und er kommt </w:t>
      </w:r>
      <w:r>
        <w:rPr>
          <w:color w:val="808080"/>
        </w:rPr>
        <w:t>(kam)</w:t>
      </w:r>
      <w:r>
        <w:rPr/>
        <w:t xml:space="preserve"> das dritte Mal</w:t>
      </w:r>
      <w:r>
        <w:rPr>
          <w:rStyle w:val="Funotenanker"/>
        </w:rPr>
        <w:footnoteReference w:customMarkFollows="1" w:id="2339"/>
        <w:t>bn</w:t>
      </w:r>
      <w:r>
        <w:rPr/>
        <w:t xml:space="preserve"> und sagt</w:t>
      </w:r>
      <w:r>
        <w:rPr>
          <w:b/>
          <w:color w:val="808080"/>
        </w:rPr>
        <w:t>[</w:t>
      </w:r>
      <w:r>
        <w:rPr/>
        <w:t>e</w:t>
      </w:r>
      <w:r>
        <w:rPr>
          <w:b/>
          <w:color w:val="808080"/>
        </w:rPr>
        <w:t>]</w:t>
      </w:r>
      <w:r>
        <w:rPr/>
        <w:t xml:space="preserve"> ihnen: „Von nun an könnt ihr schlafen und euch ausruhen, es langt.</w:t>
      </w:r>
      <w:r>
        <w:rPr>
          <w:rStyle w:val="Funotenanker"/>
        </w:rPr>
        <w:footnoteReference w:customMarkFollows="1" w:id="2340"/>
        <w:t>bo</w:t>
      </w:r>
      <w:r>
        <w:rPr/>
        <w:t xml:space="preserve"> Die Stunde ist gekommen, siehe!, ausgeliefert wird der Menschensohn in die Hände der Sünder.{{field-off:bible}} </w:t>
        <w:br/>
        <w:t>[[@BibleTOBIBLE:Mk 14:42]]</w:t>
      </w:r>
      <w:r>
        <w:rPr>
          <w:b/>
        </w:rPr>
        <w:t>42</w:t>
      </w:r>
      <w:r>
        <w:rPr/>
        <w:t xml:space="preserve"> {{field-on:bible}}Erhebt euch, lasst uns aufbrechen! Siehe!, der mich ausliefert, ist genaht.“{{field-off:bible}} </w:t>
        <w:br/>
        <w:t>[[@BibleTOBIBLE:Mk 14:43]]</w:t>
      </w:r>
      <w:r>
        <w:rPr>
          <w:b/>
        </w:rPr>
        <w:t>43</w:t>
      </w:r>
      <w:r>
        <w:rPr/>
        <w:t xml:space="preserve"> {{field-on:bible}}Und sogleich, noch während er redete, kommt </w:t>
      </w:r>
      <w:r>
        <w:rPr>
          <w:color w:val="808080"/>
        </w:rPr>
        <w:t>(kam)</w:t>
      </w:r>
      <w:r>
        <w:rPr/>
        <w:t xml:space="preserve"> Judas, einer der Zwölf, und mit ihm eine Menge</w:t>
      </w:r>
      <w:r>
        <w:rPr>
          <w:rStyle w:val="Funotenanker"/>
        </w:rPr>
        <w:footnoteReference w:customMarkFollows="1" w:id="2341"/>
        <w:t>bp</w:t>
      </w:r>
      <w:r>
        <w:rPr/>
        <w:t xml:space="preserve"> mit Schwertern und Keulen </w:t>
      </w:r>
      <w:r>
        <w:rPr>
          <w:color w:val="808080"/>
        </w:rPr>
        <w:t>(Schlagstöcken)</w:t>
      </w:r>
      <w:r>
        <w:rPr/>
        <w:t xml:space="preserve"> </w:t>
      </w:r>
      <w:r>
        <w:rPr>
          <w:rStyle w:val="Funotenanker"/>
        </w:rPr>
        <w:footnoteReference w:customMarkFollows="1" w:id="2342"/>
        <w:t>bq</w:t>
      </w:r>
      <w:r>
        <w:rPr/>
        <w:t xml:space="preserve"> von den Hohepriestern und den Schriftgelehrten und den Ältesten.</w:t>
      </w:r>
      <w:r>
        <w:rPr>
          <w:rStyle w:val="Funotenanker"/>
        </w:rPr>
        <w:footnoteReference w:customMarkFollows="1" w:id="2343"/>
        <w:t>br</w:t>
      </w:r>
      <w:r>
        <w:rPr/>
        <w:t xml:space="preserve"> {{field-off:bible}} </w:t>
        <w:br/>
        <w:t>[[@BibleTOBIBLE:Mk 14:44]]</w:t>
      </w:r>
      <w:r>
        <w:rPr>
          <w:b/>
        </w:rPr>
        <w:t>44</w:t>
      </w:r>
      <w:r>
        <w:rPr/>
        <w:t xml:space="preserve"> {{field-on:bible}}Aber der ihn auslieferte, hatte ihnen ein Signal gegeben </w:t>
      </w:r>
      <w:r>
        <w:rPr>
          <w:color w:val="808080"/>
        </w:rPr>
        <w:t>(ein Signal mit ihnen vereinbart)</w:t>
      </w:r>
      <w:r>
        <w:rPr/>
        <w:t xml:space="preserve"> </w:t>
      </w:r>
      <w:r>
        <w:rPr>
          <w:strike/>
          <w:color w:val="808080"/>
        </w:rPr>
        <w:t>{, sagend}</w:t>
      </w:r>
      <w:r>
        <w:rPr/>
        <w:t xml:space="preserve">: „Den, welchen ich küssen </w:t>
      </w:r>
      <w:r>
        <w:rPr>
          <w:color w:val="808080"/>
        </w:rPr>
        <w:t>(lieben)</w:t>
      </w:r>
      <w:r>
        <w:rPr/>
        <w:t xml:space="preserve"> werde,</w:t>
      </w:r>
      <w:r>
        <w:rPr>
          <w:rStyle w:val="Funotenanker"/>
        </w:rPr>
        <w:footnoteReference w:customMarkFollows="1" w:id="2344"/>
        <w:t>bs</w:t>
      </w:r>
      <w:r>
        <w:rPr/>
        <w:t xml:space="preserve"> der ist es. Ergreift ihn und führt ihn gesichert </w:t>
      </w:r>
      <w:r>
        <w:rPr>
          <w:color w:val="808080"/>
        </w:rPr>
        <w:t>(unter Bewachung, sicher)</w:t>
      </w:r>
      <w:r>
        <w:rPr/>
        <w:t xml:space="preserve"> ab!“{{field-off:bible}} </w:t>
        <w:br/>
        <w:t>[[@BibleTOBIBLE:Mk 14:45]]</w:t>
      </w:r>
      <w:r>
        <w:rPr>
          <w:b/>
        </w:rPr>
        <w:t>45</w:t>
      </w:r>
      <w:r>
        <w:rPr/>
        <w:t xml:space="preserve"> {{field-on:bible}}Und als er kam </w:t>
      </w:r>
      <w:r>
        <w:rPr>
          <w:b/>
          <w:color w:val="808080"/>
        </w:rPr>
        <w:t>[</w:t>
      </w:r>
      <w:r>
        <w:rPr/>
        <w:t>und</w:t>
      </w:r>
      <w:r>
        <w:rPr>
          <w:b/>
          <w:color w:val="808080"/>
        </w:rPr>
        <w:t>]</w:t>
      </w:r>
      <w:r>
        <w:rPr/>
        <w:t xml:space="preserve"> sogleich zu ihm kam, sagt</w:t>
      </w:r>
      <w:r>
        <w:rPr>
          <w:b/>
          <w:color w:val="808080"/>
        </w:rPr>
        <w:t>[</w:t>
      </w:r>
      <w:r>
        <w:rPr/>
        <w:t>e</w:t>
      </w:r>
      <w:r>
        <w:rPr>
          <w:b/>
          <w:color w:val="808080"/>
        </w:rPr>
        <w:t>]</w:t>
      </w:r>
      <w:r>
        <w:rPr/>
        <w:t xml:space="preserve"> er: „Rabbi! </w:t>
      </w:r>
      <w:r>
        <w:rPr>
          <w:color w:val="808080"/>
        </w:rPr>
        <w:t>(Rabbi, Rabbi!)</w:t>
      </w:r>
      <w:r>
        <w:rPr/>
        <w:t>“,,</w:t>
      </w:r>
      <w:r>
        <w:rPr>
          <w:rStyle w:val="Funotenanker"/>
        </w:rPr>
        <w:footnoteReference w:customMarkFollows="1" w:id="2345"/>
        <w:t>bt</w:t>
      </w:r>
      <w:r>
        <w:rPr/>
        <w:t xml:space="preserve"> und er küsste ihn.{{field-off:bible}} </w:t>
        <w:br/>
        <w:t>[[@BibleTOBIBLE:Mk 14:46]]</w:t>
      </w:r>
      <w:r>
        <w:rPr>
          <w:b/>
        </w:rPr>
        <w:t>46</w:t>
      </w:r>
      <w:r>
        <w:rPr/>
        <w:t xml:space="preserve"> {{field-on:bible}}Da legten sie </w:t>
      </w:r>
      <w:r>
        <w:rPr>
          <w:color w:val="808080"/>
        </w:rPr>
        <w:t>(sie aber legten)</w:t>
      </w:r>
      <w:r>
        <w:rPr/>
        <w:t xml:space="preserve"> die Hände an ihn und ergriffen ihn </w:t>
      </w:r>
      <w:r>
        <w:rPr>
          <w:color w:val="808080"/>
        </w:rPr>
        <w:t>(nahmen ihn fest)</w:t>
      </w:r>
      <w:r>
        <w:rPr/>
        <w:t xml:space="preserve">.{{field-off:bible}} </w:t>
        <w:br/>
        <w:t>[[@BibleTOBIBLE:Mk 14:47]]</w:t>
      </w:r>
      <w:r>
        <w:rPr>
          <w:b/>
        </w:rPr>
        <w:t>47</w:t>
      </w:r>
      <w:r>
        <w:rPr/>
        <w:t xml:space="preserve"> {{field-on:bible}}Ein Gewisser aber von den Dabeistehenden</w:t>
      </w:r>
      <w:r>
        <w:rPr>
          <w:rStyle w:val="Funotenanker"/>
        </w:rPr>
        <w:footnoteReference w:customMarkFollows="1" w:id="2346"/>
        <w:t>bu</w:t>
      </w:r>
      <w:r>
        <w:rPr/>
        <w:t xml:space="preserve"> zog das Schwert, schlug den Diener des Hohepriesters und trennte dessen Ohr </w:t>
      </w:r>
      <w:r>
        <w:rPr>
          <w:color w:val="808080"/>
        </w:rPr>
        <w:t>(Ohrläppchen?)</w:t>
      </w:r>
      <w:r>
        <w:rPr/>
        <w:t xml:space="preserve"> ab.</w:t>
      </w:r>
      <w:r>
        <w:rPr>
          <w:rStyle w:val="Funotenanker"/>
        </w:rPr>
        <w:footnoteReference w:customMarkFollows="1" w:id="2347"/>
        <w:t>bv</w:t>
      </w:r>
      <w:r>
        <w:rPr/>
        <w:t xml:space="preserve"> {{field-off:bible}} </w:t>
        <w:br/>
        <w:t>[[@BibleTOBIBLE:Mk 14:48]]</w:t>
      </w:r>
      <w:r>
        <w:rPr>
          <w:b/>
        </w:rPr>
        <w:t>48</w:t>
      </w:r>
      <w:r>
        <w:rPr/>
        <w:t xml:space="preserve"> {{field-on:bible}}Und Jesus antwortete</w:t>
      </w:r>
      <w:r>
        <w:rPr>
          <w:rStyle w:val="Funotenanker"/>
        </w:rPr>
        <w:footnoteReference w:customMarkFollows="1" w:id="2348"/>
        <w:t>bw</w:t>
      </w:r>
      <w:r>
        <w:rPr/>
        <w:t xml:space="preserve"> </w:t>
      </w:r>
      <w:r>
        <w:rPr>
          <w:strike/>
          <w:color w:val="808080"/>
        </w:rPr>
        <w:t>{und sagte zu}</w:t>
      </w:r>
      <w:r>
        <w:rPr/>
        <w:t xml:space="preserve"> ihnen: „Wie gegen einen Räuber </w:t>
      </w:r>
      <w:r>
        <w:rPr>
          <w:color w:val="808080"/>
        </w:rPr>
        <w:t>(Rebellen, Aufwiegler)</w:t>
      </w:r>
      <w:r>
        <w:rPr/>
        <w:t xml:space="preserve"> </w:t>
      </w:r>
      <w:r>
        <w:rPr>
          <w:rStyle w:val="Funotenanker"/>
        </w:rPr>
        <w:footnoteReference w:customMarkFollows="1" w:id="2349"/>
        <w:t>bx</w:t>
      </w:r>
      <w:r>
        <w:rPr/>
        <w:t xml:space="preserve"> seid ihr mit Schwertern und Keulen ausgezogen, um mich festzunehmen!?{{field-off:bible}} </w:t>
        <w:br/>
        <w:t>[[@BibleTOBIBLE:Mk 14:49]]</w:t>
      </w:r>
      <w:r>
        <w:rPr>
          <w:b/>
        </w:rPr>
        <w:t>49</w:t>
      </w:r>
      <w:r>
        <w:rPr/>
        <w:t xml:space="preserve"> {{field-on:bible}}Tag für Tag </w:t>
      </w:r>
      <w:r>
        <w:rPr>
          <w:color w:val="808080"/>
        </w:rPr>
        <w:t>(Tagsüber)</w:t>
      </w:r>
      <w:r>
        <w:rPr/>
        <w:t xml:space="preserve"> </w:t>
      </w:r>
      <w:r>
        <w:rPr>
          <w:rStyle w:val="Funotenanker"/>
        </w:rPr>
        <w:footnoteReference w:customMarkFollows="1" w:id="2350"/>
        <w:t>by</w:t>
      </w:r>
      <w:r>
        <w:rPr/>
        <w:t xml:space="preserve"> war ich bei euch im Tempel</w:t>
      </w:r>
      <w:r>
        <w:rPr>
          <w:rStyle w:val="Funotenanker"/>
        </w:rPr>
        <w:footnoteReference w:customMarkFollows="1" w:id="2351"/>
        <w:t>bz</w:t>
      </w:r>
      <w:r>
        <w:rPr/>
        <w:t xml:space="preserve"> und lehrte </w:t>
      </w:r>
      <w:r>
        <w:rPr>
          <w:color w:val="808080"/>
        </w:rPr>
        <w:t>(Tag für Tag lehrte ich bei euch im Tempel)</w:t>
      </w:r>
      <w:r>
        <w:rPr/>
        <w:t xml:space="preserve"> und ihr habt mich nicht ergriffen. Aber </w:t>
      </w:r>
      <w:r>
        <w:rPr>
          <w:b/>
          <w:color w:val="808080"/>
        </w:rPr>
        <w:t>[</w:t>
      </w:r>
      <w:r>
        <w:rPr/>
        <w:t>es sei</w:t>
      </w:r>
      <w:r>
        <w:rPr>
          <w:b/>
          <w:color w:val="808080"/>
        </w:rPr>
        <w:t>]</w:t>
      </w:r>
      <w:r>
        <w:rPr/>
        <w:t>, dass die Schriften erfüllt werden!</w:t>
      </w:r>
      <w:r>
        <w:rPr>
          <w:rStyle w:val="Funotenanker"/>
        </w:rPr>
        <w:footnoteReference w:customMarkFollows="1" w:id="2352"/>
        <w:t>ca</w:t>
      </w:r>
      <w:r>
        <w:rPr/>
        <w:t xml:space="preserve"> </w:t>
      </w:r>
      <w:r>
        <w:rPr>
          <w:color w:val="808080"/>
        </w:rPr>
        <w:t xml:space="preserve">(Aber </w:t>
      </w:r>
      <w:r>
        <w:rPr>
          <w:b/>
          <w:color w:val="808080"/>
        </w:rPr>
        <w:t>[</w:t>
      </w:r>
      <w:r>
        <w:rPr>
          <w:color w:val="808080"/>
        </w:rPr>
        <w:t>all dies geschieht</w:t>
      </w:r>
      <w:r>
        <w:rPr>
          <w:b/>
          <w:color w:val="808080"/>
        </w:rPr>
        <w:t>]</w:t>
      </w:r>
      <w:r>
        <w:rPr>
          <w:color w:val="808080"/>
        </w:rPr>
        <w:t>, damit die Schriften erfüllt werden.)</w:t>
      </w:r>
      <w:r>
        <w:rPr/>
        <w:t xml:space="preserve">“{{field-off:bible}} </w:t>
        <w:br/>
        <w:t>[[@BibleTOBIBLE:Mk 14:50]]</w:t>
      </w:r>
      <w:r>
        <w:rPr>
          <w:b/>
        </w:rPr>
        <w:t>50</w:t>
      </w:r>
      <w:r>
        <w:rPr/>
        <w:t xml:space="preserve"> {{field-on:bible}}Und indem sie ihn verließen, flohen alle.{{field-off:bible}} </w:t>
        <w:br/>
        <w:t>[[@BibleTOBIBLE:Mk 14:51]]</w:t>
      </w:r>
      <w:r>
        <w:rPr>
          <w:b/>
        </w:rPr>
        <w:t>51</w:t>
      </w:r>
      <w:r>
        <w:rPr/>
        <w:t xml:space="preserve"> {{field-on:bible}}Und ein gewisser junger Mann folgte ihm</w:t>
      </w:r>
      <w:r>
        <w:rPr>
          <w:rStyle w:val="Funotenanker"/>
        </w:rPr>
        <w:footnoteReference w:customMarkFollows="1" w:id="2353"/>
        <w:t>cb</w:t>
      </w:r>
      <w:r>
        <w:rPr/>
        <w:t xml:space="preserve"> </w:t>
      </w:r>
      <w:r>
        <w:rPr>
          <w:color w:val="808080"/>
        </w:rPr>
        <w:t>(wollte ihm folgen)</w:t>
      </w:r>
      <w:r>
        <w:rPr/>
        <w:t>, bekleidet mit einem Leinentuch</w:t>
      </w:r>
      <w:r>
        <w:rPr>
          <w:rStyle w:val="Funotenanker"/>
        </w:rPr>
        <w:footnoteReference w:customMarkFollows="1" w:id="2354"/>
        <w:t>cc</w:t>
      </w:r>
      <w:r>
        <w:rPr/>
        <w:t xml:space="preserve"> über </w:t>
      </w:r>
      <w:r>
        <w:rPr>
          <w:b/>
          <w:color w:val="808080"/>
        </w:rPr>
        <w:t>[</w:t>
      </w:r>
      <w:r>
        <w:rPr/>
        <w:t>seinem</w:t>
      </w:r>
      <w:r>
        <w:rPr>
          <w:b/>
          <w:color w:val="808080"/>
        </w:rPr>
        <w:t>]</w:t>
      </w:r>
      <w:r>
        <w:rPr/>
        <w:t xml:space="preserve"> nackten </w:t>
      </w:r>
      <w:r>
        <w:rPr>
          <w:b/>
          <w:color w:val="808080"/>
        </w:rPr>
        <w:t>[</w:t>
      </w:r>
      <w:r>
        <w:rPr/>
        <w:t>Körper</w:t>
      </w:r>
      <w:r>
        <w:rPr>
          <w:b/>
          <w:color w:val="808080"/>
        </w:rPr>
        <w:t>]</w:t>
      </w:r>
      <w:r>
        <w:rPr/>
        <w:t xml:space="preserve">, und sie ergreifen </w:t>
      </w:r>
      <w:r>
        <w:rPr>
          <w:color w:val="808080"/>
        </w:rPr>
        <w:t>(ergriffen)</w:t>
      </w:r>
      <w:r>
        <w:rPr/>
        <w:t xml:space="preserve"> ihn,{{field-off:bible}} </w:t>
        <w:br/>
        <w:t>[[@BibleTOBIBLE:Mk 14:52]]</w:t>
      </w:r>
      <w:r>
        <w:rPr>
          <w:b/>
        </w:rPr>
        <w:t>52</w:t>
      </w:r>
      <w:r>
        <w:rPr/>
        <w:t xml:space="preserve"> {{field-on:bible}}aber er ließ das Leinentuch zurück und floh nackt.</w:t>
      </w:r>
      <w:r>
        <w:rPr>
          <w:rStyle w:val="Funotenanker"/>
        </w:rPr>
        <w:footnoteReference w:customMarkFollows="1" w:id="2355"/>
        <w:t>cd</w:t>
      </w:r>
      <w:r>
        <w:rPr/>
        <w:t xml:space="preserve"> {{field-off:bible}} </w:t>
        <w:br/>
        <w:t>[[@BibleTOBIBLE:Mk 14:53]]</w:t>
      </w:r>
      <w:r>
        <w:rPr>
          <w:b/>
        </w:rPr>
        <w:t>53</w:t>
      </w:r>
      <w:r>
        <w:rPr/>
        <w:t xml:space="preserve"> {{field-on:bible}}Und sie führten Jesus zum Hohepriester ab und alle obersten </w:t>
      </w:r>
      <w:r>
        <w:rPr>
          <w:color w:val="808080"/>
        </w:rPr>
        <w:t>(führenden, Hohe-)</w:t>
      </w:r>
      <w:r>
        <w:rPr/>
        <w:t xml:space="preserve"> Priester</w:t>
      </w:r>
      <w:r>
        <w:rPr>
          <w:rStyle w:val="Funotenanker"/>
        </w:rPr>
        <w:footnoteReference w:customMarkFollows="1" w:id="2356"/>
        <w:t>ce</w:t>
      </w:r>
      <w:r>
        <w:rPr/>
        <w:t xml:space="preserve"> und die Ältesten und die Schriftgelehrten kommen </w:t>
      </w:r>
      <w:r>
        <w:rPr>
          <w:color w:val="808080"/>
        </w:rPr>
        <w:t>(kamen)</w:t>
      </w:r>
      <w:r>
        <w:rPr/>
        <w:t xml:space="preserve"> zusammen </w:t>
      </w:r>
      <w:r>
        <w:rPr>
          <w:color w:val="808080"/>
        </w:rPr>
        <w:t>(versammelten sich)</w:t>
      </w:r>
      <w:r>
        <w:rPr/>
        <w:t xml:space="preserve">.{{field-off:bible}} </w:t>
        <w:br/>
        <w:t>[[@BibleTOBIBLE:Mk 14:54]]</w:t>
      </w:r>
      <w:r>
        <w:rPr>
          <w:b/>
        </w:rPr>
        <w:t>54</w:t>
      </w:r>
      <w:r>
        <w:rPr/>
        <w:t xml:space="preserve"> {{field-on:bible}}Und Petrus war ihm in einiger Entfernung bis nach drinnen </w:t>
      </w:r>
      <w:r>
        <w:rPr>
          <w:color w:val="808080"/>
        </w:rPr>
        <w:t>(hinein)</w:t>
      </w:r>
      <w:r>
        <w:rPr/>
        <w:t xml:space="preserve"> in den Innenhof </w:t>
      </w:r>
      <w:r>
        <w:rPr>
          <w:color w:val="808080"/>
        </w:rPr>
        <w:t>(Palast)</w:t>
      </w:r>
      <w:r>
        <w:rPr/>
        <w:t xml:space="preserve"> des Hohepriesters gefolgt, und </w:t>
      </w:r>
      <w:r>
        <w:rPr>
          <w:b/>
          <w:color w:val="808080"/>
        </w:rPr>
        <w:t>[</w:t>
      </w:r>
      <w:r>
        <w:rPr/>
        <w:t>dort</w:t>
      </w:r>
      <w:r>
        <w:rPr>
          <w:b/>
          <w:color w:val="808080"/>
        </w:rPr>
        <w:t>]</w:t>
      </w:r>
      <w:r>
        <w:rPr/>
        <w:t xml:space="preserve"> saß er </w:t>
      </w:r>
      <w:r>
        <w:rPr>
          <w:color w:val="808080"/>
        </w:rPr>
        <w:t>(setzte er sich)</w:t>
      </w:r>
      <w:r>
        <w:rPr/>
        <w:t xml:space="preserve"> </w:t>
      </w:r>
      <w:r>
        <w:rPr>
          <w:rStyle w:val="Funotenanker"/>
        </w:rPr>
        <w:footnoteReference w:customMarkFollows="1" w:id="2357"/>
        <w:t>cf</w:t>
      </w:r>
      <w:r>
        <w:rPr/>
        <w:t xml:space="preserve"> bei den Dienern </w:t>
      </w:r>
      <w:r>
        <w:rPr>
          <w:color w:val="808080"/>
        </w:rPr>
        <w:t>(Wächtern)</w:t>
      </w:r>
      <w:r>
        <w:rPr/>
        <w:t xml:space="preserve"> </w:t>
      </w:r>
      <w:r>
        <w:rPr>
          <w:rStyle w:val="Funotenanker"/>
        </w:rPr>
        <w:footnoteReference w:customMarkFollows="1" w:id="2358"/>
        <w:t>cg</w:t>
      </w:r>
      <w:r>
        <w:rPr/>
        <w:t xml:space="preserve"> und wärmte sich am Licht </w:t>
      </w:r>
      <w:r>
        <w:rPr>
          <w:color w:val="808080"/>
        </w:rPr>
        <w:t>(Feuer)</w:t>
      </w:r>
      <w:r>
        <w:rPr/>
        <w:t>.</w:t>
      </w:r>
      <w:r>
        <w:rPr>
          <w:rStyle w:val="Funotenanker"/>
        </w:rPr>
        <w:footnoteReference w:customMarkFollows="1" w:id="2359"/>
        <w:t>ch</w:t>
      </w:r>
      <w:r>
        <w:rPr/>
        <w:t xml:space="preserve"> {{field-off:bible}} </w:t>
        <w:br/>
        <w:t>[[@BibleTOBIBLE:Mk 14:55]]</w:t>
      </w:r>
      <w:r>
        <w:rPr>
          <w:b/>
        </w:rPr>
        <w:t>55</w:t>
      </w:r>
      <w:r>
        <w:rPr/>
        <w:t xml:space="preserve"> {{field-on:bible}}Die obersten </w:t>
      </w:r>
      <w:r>
        <w:rPr>
          <w:color w:val="808080"/>
        </w:rPr>
        <w:t>(führenden, Hohen)</w:t>
      </w:r>
      <w:r>
        <w:rPr/>
        <w:t xml:space="preserve"> Priester </w:t>
      </w:r>
      <w:r>
        <w:rPr>
          <w:strike/>
          <w:color w:val="808080"/>
        </w:rPr>
        <w:t>{aber}</w:t>
      </w:r>
      <w:r>
        <w:rPr/>
        <w:t xml:space="preserve"> und der ganze Hohe Rat </w:t>
      </w:r>
      <w:r>
        <w:rPr>
          <w:color w:val="808080"/>
        </w:rPr>
        <w:t>(Sanhedrin)</w:t>
      </w:r>
      <w:r>
        <w:rPr/>
        <w:t xml:space="preserve"> suchten nach einer Zeugenaussage gegen Jesus, um ihn zu töten, aber sie fanden keine,{{field-off:bible}} </w:t>
        <w:br/>
        <w:t>[[@BibleTOBIBLE:Mk 14:56]]</w:t>
      </w:r>
      <w:r>
        <w:rPr>
          <w:b/>
        </w:rPr>
        <w:t>56</w:t>
      </w:r>
      <w:r>
        <w:rPr/>
        <w:t xml:space="preserve"> {{field-on:bible}}denn viele machten Falschaussagen gegen ihn, aber ihre Aussagen waren nicht übereinstimmend </w:t>
      </w:r>
      <w:r>
        <w:rPr>
          <w:color w:val="808080"/>
        </w:rPr>
        <w:t>(gleich)</w:t>
      </w:r>
      <w:r>
        <w:rPr/>
        <w:t xml:space="preserve">.{{field-off:bible}} </w:t>
        <w:br/>
        <w:t>[[@BibleTOBIBLE:Mk 14:57]]</w:t>
      </w:r>
      <w:r>
        <w:rPr>
          <w:b/>
        </w:rPr>
        <w:t>57</w:t>
      </w:r>
      <w:r>
        <w:rPr/>
        <w:t xml:space="preserve"> {{field-on:bible}}Und einige standen auf und machten gegen ihn Falschaussagen, </w:t>
      </w:r>
      <w:r>
        <w:rPr>
          <w:strike/>
          <w:color w:val="808080"/>
        </w:rPr>
        <w:t>{sagend}</w:t>
      </w:r>
      <w:r>
        <w:rPr/>
        <w:t xml:space="preserve">:{{field-off:bible}} </w:t>
        <w:br/>
        <w:t>[[@BibleTOBIBLE:Mk 14:58]]</w:t>
      </w:r>
      <w:r>
        <w:rPr>
          <w:b/>
        </w:rPr>
        <w:t>58</w:t>
      </w:r>
      <w:r>
        <w:rPr/>
        <w:t xml:space="preserve"> {{field-on:bible}}„Wir haben gehört, wie </w:t>
      </w:r>
      <w:r>
        <w:rPr>
          <w:color w:val="808080"/>
        </w:rPr>
        <w:t>(dass)</w:t>
      </w:r>
      <w:r>
        <w:rPr/>
        <w:t xml:space="preserve"> er sagte: Ich werde diesen von Hand erbauten</w:t>
      </w:r>
      <w:r>
        <w:rPr>
          <w:rStyle w:val="Funotenanker"/>
        </w:rPr>
        <w:footnoteReference w:customMarkFollows="1" w:id="2360"/>
        <w:t>ci</w:t>
      </w:r>
      <w:r>
        <w:rPr/>
        <w:t xml:space="preserve"> Tempel abreißen und innerhalb von drei Tagen einen anderen, nicht von Hand erbauten, errichten!“</w:t>
      </w:r>
      <w:r>
        <w:rPr>
          <w:rStyle w:val="Funotenanker"/>
        </w:rPr>
        <w:footnoteReference w:customMarkFollows="1" w:id="2361"/>
        <w:t>cj</w:t>
      </w:r>
      <w:r>
        <w:rPr/>
        <w:t xml:space="preserve"> </w:t>
      </w:r>
      <w:r>
        <w:rPr>
          <w:position w:val="8"/>
          <w:sz w:val="19"/>
        </w:rPr>
        <w:t>[[ ℘ &gt;&gt; BibleTOBIBLE:Jn 2:19]][[ ℘ &gt;&gt; BibleTOBIBLE:Ac 6:14]]</w:t>
      </w:r>
      <w:r>
        <w:rPr/>
        <w:t xml:space="preserve"> {{field-off:bible}} </w:t>
        <w:br/>
        <w:t>[[@BibleTOBIBLE:Mk 14:59]]</w:t>
      </w:r>
      <w:r>
        <w:rPr>
          <w:b/>
        </w:rPr>
        <w:t>59</w:t>
      </w:r>
      <w:r>
        <w:rPr/>
        <w:t xml:space="preserve"> {{field-on:bible}}Aber </w:t>
      </w:r>
      <w:r>
        <w:rPr>
          <w:color w:val="808080"/>
        </w:rPr>
        <w:t>(und)</w:t>
      </w:r>
      <w:r>
        <w:rPr/>
        <w:t xml:space="preserve"> nicht einmal </w:t>
      </w:r>
      <w:r>
        <w:rPr>
          <w:color w:val="808080"/>
        </w:rPr>
        <w:t>(auch nicht)</w:t>
      </w:r>
      <w:r>
        <w:rPr/>
        <w:t xml:space="preserve"> darin </w:t>
      </w:r>
      <w:r>
        <w:rPr>
          <w:color w:val="808080"/>
        </w:rPr>
        <w:t>(so)</w:t>
      </w:r>
      <w:r>
        <w:rPr/>
        <w:t xml:space="preserve"> war ihre Aussage </w:t>
      </w:r>
      <w:r>
        <w:rPr>
          <w:color w:val="808080"/>
        </w:rPr>
        <w:t>(ihr Zeugnis)</w:t>
      </w:r>
      <w:r>
        <w:rPr/>
        <w:t xml:space="preserve"> übereinstimmend </w:t>
      </w:r>
      <w:r>
        <w:rPr>
          <w:color w:val="808080"/>
        </w:rPr>
        <w:t>(gleich)</w:t>
      </w:r>
      <w:r>
        <w:rPr/>
        <w:t xml:space="preserve">.{{field-off:bible}} </w:t>
        <w:br/>
        <w:t>[[@BibleTOBIBLE:Mk 14:60]]</w:t>
      </w:r>
      <w:r>
        <w:rPr>
          <w:b/>
        </w:rPr>
        <w:t>60</w:t>
      </w:r>
      <w:r>
        <w:rPr/>
        <w:t xml:space="preserve"> {{field-on:bible}}Da </w:t>
      </w:r>
      <w:r>
        <w:rPr>
          <w:color w:val="808080"/>
        </w:rPr>
        <w:t>(und)</w:t>
      </w:r>
      <w:r>
        <w:rPr/>
        <w:t xml:space="preserve"> stand der Hohe Priester auf, </w:t>
      </w:r>
      <w:r>
        <w:rPr>
          <w:b/>
          <w:color w:val="808080"/>
        </w:rPr>
        <w:t>[</w:t>
      </w:r>
      <w:r>
        <w:rPr/>
        <w:t>trat</w:t>
      </w:r>
      <w:r>
        <w:rPr>
          <w:b/>
          <w:color w:val="808080"/>
        </w:rPr>
        <w:t>]</w:t>
      </w:r>
      <w:r>
        <w:rPr/>
        <w:t xml:space="preserve"> </w:t>
      </w:r>
      <w:r>
        <w:rPr>
          <w:rStyle w:val="Funotenanker"/>
        </w:rPr>
        <w:footnoteReference w:customMarkFollows="1" w:id="2362"/>
        <w:t>ck</w:t>
      </w:r>
      <w:r>
        <w:rPr/>
        <w:t xml:space="preserve"> in die Mitte und</w:t>
      </w:r>
      <w:r>
        <w:rPr>
          <w:rStyle w:val="Funotenanker"/>
        </w:rPr>
        <w:footnoteReference w:customMarkFollows="1" w:id="2363"/>
        <w:t>cl</w:t>
      </w:r>
      <w:r>
        <w:rPr/>
        <w:t xml:space="preserve"> fragte </w:t>
      </w:r>
      <w:r>
        <w:rPr>
          <w:color w:val="808080"/>
        </w:rPr>
        <w:t>(befragte, verhörte)</w:t>
      </w:r>
      <w:r>
        <w:rPr/>
        <w:t xml:space="preserve"> Jesus, </w:t>
      </w:r>
      <w:r>
        <w:rPr>
          <w:strike/>
          <w:color w:val="808080"/>
        </w:rPr>
        <w:t>{indem er sagte}</w:t>
      </w:r>
      <w:r>
        <w:rPr/>
        <w:t xml:space="preserve">: „Entgegnest </w:t>
      </w:r>
      <w:r>
        <w:rPr>
          <w:color w:val="808080"/>
        </w:rPr>
        <w:t>(antwortest)</w:t>
      </w:r>
      <w:r>
        <w:rPr/>
        <w:t xml:space="preserve"> du gar nichts </w:t>
      </w:r>
      <w:r>
        <w:rPr>
          <w:b/>
          <w:color w:val="808080"/>
        </w:rPr>
        <w:t>[</w:t>
      </w:r>
      <w:r>
        <w:rPr/>
        <w:t>auf das</w:t>
      </w:r>
      <w:r>
        <w:rPr>
          <w:b/>
          <w:color w:val="808080"/>
        </w:rPr>
        <w:t>]</w:t>
      </w:r>
      <w:r>
        <w:rPr/>
        <w:t xml:space="preserve">, was diese gegen dich als Aussage machen?“ </w:t>
      </w:r>
      <w:r>
        <w:rPr>
          <w:color w:val="808080"/>
        </w:rPr>
        <w:t>(„Entgegnest du nichts? Was sagen diese gegen dich aus?“)</w:t>
      </w:r>
      <w:r>
        <w:rPr/>
        <w:t xml:space="preserve"> {{field-off:bible}} </w:t>
        <w:br/>
        <w:t>[[@BibleTOBIBLE:Mk 14:61]]</w:t>
      </w:r>
      <w:r>
        <w:rPr>
          <w:b/>
        </w:rPr>
        <w:t>61</w:t>
      </w:r>
      <w:r>
        <w:rPr/>
        <w:t xml:space="preserve"> {{field-on:bible}}Er aber schwieg </w:t>
      </w:r>
      <w:r>
        <w:rPr>
          <w:b/>
          <w:color w:val="808080"/>
        </w:rPr>
        <w:t>[</w:t>
      </w:r>
      <w:r>
        <w:rPr/>
        <w:t>weiter</w:t>
      </w:r>
      <w:r>
        <w:rPr>
          <w:b/>
          <w:color w:val="808080"/>
        </w:rPr>
        <w:t>]</w:t>
      </w:r>
      <w:r>
        <w:rPr/>
        <w:t xml:space="preserve"> </w:t>
      </w:r>
      <w:r>
        <w:rPr>
          <w:rStyle w:val="Funotenanker"/>
        </w:rPr>
        <w:footnoteReference w:customMarkFollows="1" w:id="2364"/>
        <w:t>cm</w:t>
      </w:r>
      <w:r>
        <w:rPr/>
        <w:t xml:space="preserve"> und antwortete gar nichts. Wieder fragte </w:t>
      </w:r>
      <w:r>
        <w:rPr>
          <w:color w:val="808080"/>
        </w:rPr>
        <w:t>(befragte, verhörte)</w:t>
      </w:r>
      <w:r>
        <w:rPr/>
        <w:t xml:space="preserve"> ihn der Hohepriester und sagt</w:t>
      </w:r>
      <w:r>
        <w:rPr>
          <w:b/>
          <w:color w:val="808080"/>
        </w:rPr>
        <w:t>[</w:t>
      </w:r>
      <w:r>
        <w:rPr/>
        <w:t>e</w:t>
      </w:r>
      <w:r>
        <w:rPr>
          <w:b/>
          <w:color w:val="808080"/>
        </w:rPr>
        <w:t>]</w:t>
      </w:r>
      <w:r>
        <w:rPr/>
        <w:t xml:space="preserve"> </w:t>
      </w:r>
      <w:r>
        <w:rPr>
          <w:b/>
          <w:color w:val="808080"/>
        </w:rPr>
        <w:t>[</w:t>
      </w:r>
      <w:r>
        <w:rPr/>
        <w:t>zu</w:t>
      </w:r>
      <w:r>
        <w:rPr>
          <w:b/>
          <w:color w:val="808080"/>
        </w:rPr>
        <w:t>]</w:t>
      </w:r>
      <w:r>
        <w:rPr/>
        <w:t xml:space="preserve"> ihm: „Bist du der Messias </w:t>
      </w:r>
      <w:r>
        <w:rPr>
          <w:color w:val="808080"/>
        </w:rPr>
        <w:t>(Gesalbte, Christus, versprochene Retter)</w:t>
      </w:r>
      <w:r>
        <w:rPr/>
        <w:t xml:space="preserve">, der Sohn des Gepriesenen </w:t>
      </w:r>
      <w:r>
        <w:rPr>
          <w:color w:val="808080"/>
        </w:rPr>
        <w:t>(Hochgelobten, zu Preisenden)</w:t>
      </w:r>
      <w:r>
        <w:rPr/>
        <w:t xml:space="preserve">?“{{field-off:bible}} </w:t>
        <w:br/>
        <w:t>[[@BibleTOBIBLE:Mk 14:62]]</w:t>
      </w:r>
      <w:r>
        <w:rPr>
          <w:b/>
        </w:rPr>
        <w:t>62</w:t>
      </w:r>
      <w:r>
        <w:rPr/>
        <w:t xml:space="preserve"> {{field-on:bible}}Da </w:t>
      </w:r>
      <w:r>
        <w:rPr>
          <w:color w:val="808080"/>
        </w:rPr>
        <w:t>(aber)</w:t>
      </w:r>
      <w:r>
        <w:rPr/>
        <w:t xml:space="preserve"> sagte Jesus: „Ich bin </w:t>
      </w:r>
      <w:r>
        <w:rPr>
          <w:b/>
          <w:color w:val="808080"/>
        </w:rPr>
        <w:t>[</w:t>
      </w:r>
      <w:r>
        <w:rPr/>
        <w:t>es</w:t>
      </w:r>
      <w:r>
        <w:rPr>
          <w:b/>
          <w:color w:val="808080"/>
        </w:rPr>
        <w:t>]</w:t>
      </w:r>
      <w:r>
        <w:rPr/>
        <w:t xml:space="preserve">, und ihr werdet den Menschensohn </w:t>
      </w:r>
      <w:r>
        <w:rPr>
          <w:color w:val="808080"/>
        </w:rPr>
        <w:t>(Sohn des Menschen)</w:t>
      </w:r>
      <w:r>
        <w:rPr/>
        <w:t xml:space="preserve"> sehen, wie er an der rechten </w:t>
      </w:r>
      <w:r>
        <w:rPr>
          <w:b/>
          <w:color w:val="808080"/>
        </w:rPr>
        <w:t>[</w:t>
      </w:r>
      <w:r>
        <w:rPr/>
        <w:t>Seite</w:t>
      </w:r>
      <w:r>
        <w:rPr>
          <w:b/>
          <w:color w:val="808080"/>
        </w:rPr>
        <w:t>]</w:t>
      </w:r>
      <w:r>
        <w:rPr/>
        <w:t xml:space="preserve"> des Allmächtigen </w:t>
      </w:r>
      <w:r>
        <w:rPr>
          <w:color w:val="808080"/>
        </w:rPr>
        <w:t>(der Macht)</w:t>
      </w:r>
      <w:r>
        <w:rPr/>
        <w:t xml:space="preserve"> </w:t>
      </w:r>
      <w:r>
        <w:rPr>
          <w:rStyle w:val="Funotenanker"/>
        </w:rPr>
        <w:footnoteReference w:customMarkFollows="1" w:id="2365"/>
        <w:t>cn</w:t>
      </w:r>
      <w:r>
        <w:rPr/>
        <w:t xml:space="preserve"> sitzt</w:t>
      </w:r>
      <w:r>
        <w:rPr>
          <w:rStyle w:val="Funotenanker"/>
        </w:rPr>
        <w:footnoteReference w:customMarkFollows="1" w:id="2366"/>
        <w:t>co</w:t>
      </w:r>
      <w:r>
        <w:rPr/>
        <w:t xml:space="preserve"> und mit den Wolken des Himmels kommt.“</w:t>
      </w:r>
      <w:r>
        <w:rPr>
          <w:rStyle w:val="Funotenanker"/>
        </w:rPr>
        <w:footnoteReference w:customMarkFollows="1" w:id="2367"/>
        <w:t>cp</w:t>
      </w:r>
      <w:r>
        <w:rPr/>
        <w:t xml:space="preserve"> </w:t>
      </w:r>
      <w:r>
        <w:rPr>
          <w:rStyle w:val="Funotenanker"/>
        </w:rPr>
        <w:footnoteReference w:customMarkFollows="1" w:id="2368"/>
        <w:t>cq</w:t>
      </w:r>
      <w:r>
        <w:rPr/>
        <w:t xml:space="preserve"> </w:t>
      </w:r>
      <w:r>
        <w:rPr>
          <w:position w:val="8"/>
          <w:sz w:val="19"/>
        </w:rPr>
        <w:t>[[ ℘ &gt;&gt; BibleTOBIBLE:Da 7:13]]</w:t>
      </w:r>
      <w:r>
        <w:rPr/>
        <w:t xml:space="preserve"> {{field-off:bible}} </w:t>
        <w:br/>
        <w:t>[[@BibleTOBIBLE:Mk 14:63]]</w:t>
      </w:r>
      <w:r>
        <w:rPr>
          <w:b/>
        </w:rPr>
        <w:t>63</w:t>
      </w:r>
      <w:r>
        <w:rPr/>
        <w:t xml:space="preserve"> {{field-on:bible}}Da </w:t>
      </w:r>
      <w:r>
        <w:rPr>
          <w:color w:val="808080"/>
        </w:rPr>
        <w:t>(aber)</w:t>
      </w:r>
      <w:r>
        <w:rPr/>
        <w:t xml:space="preserve"> zerriss der Hohe Priester seine Kleider</w:t>
      </w:r>
      <w:r>
        <w:rPr>
          <w:rStyle w:val="Funotenanker"/>
        </w:rPr>
        <w:footnoteReference w:customMarkFollows="1" w:id="2369"/>
        <w:t>cr</w:t>
      </w:r>
      <w:r>
        <w:rPr/>
        <w:t xml:space="preserve"> </w:t>
      </w:r>
      <w:r>
        <w:rPr>
          <w:b/>
          <w:color w:val="808080"/>
        </w:rPr>
        <w:t>[</w:t>
      </w:r>
      <w:r>
        <w:rPr/>
        <w:t>und</w:t>
      </w:r>
      <w:r>
        <w:rPr>
          <w:b/>
          <w:color w:val="808080"/>
        </w:rPr>
        <w:t>]</w:t>
      </w:r>
      <w:r>
        <w:rPr/>
        <w:t xml:space="preserve"> sagt</w:t>
      </w:r>
      <w:r>
        <w:rPr>
          <w:b/>
          <w:color w:val="808080"/>
        </w:rPr>
        <w:t>[</w:t>
      </w:r>
      <w:r>
        <w:rPr/>
        <w:t>e</w:t>
      </w:r>
      <w:r>
        <w:rPr>
          <w:b/>
          <w:color w:val="808080"/>
        </w:rPr>
        <w:t>]</w:t>
      </w:r>
      <w:r>
        <w:rPr/>
        <w:t xml:space="preserve">: „Wozu </w:t>
      </w:r>
      <w:r>
        <w:rPr>
          <w:color w:val="808080"/>
        </w:rPr>
        <w:t>(was)</w:t>
      </w:r>
      <w:r>
        <w:rPr/>
        <w:t xml:space="preserve"> bedürfen wir noch Zeugen?{{field-off:bible}} </w:t>
        <w:br/>
        <w:t>[[@BibleTOBIBLE:Mk 14:64]]</w:t>
      </w:r>
      <w:r>
        <w:rPr>
          <w:b/>
        </w:rPr>
        <w:t>64</w:t>
      </w:r>
      <w:r>
        <w:rPr/>
        <w:t xml:space="preserve"> {{field-on:bible}}Ihr habt die Gotteslästerung gehört.</w:t>
      </w:r>
      <w:r>
        <w:rPr>
          <w:rStyle w:val="Funotenanker"/>
        </w:rPr>
        <w:footnoteReference w:customMarkFollows="1" w:id="2370"/>
        <w:t>cs</w:t>
      </w:r>
      <w:r>
        <w:rPr/>
        <w:t xml:space="preserve"> Was ist eurer Urteil </w:t>
      </w:r>
      <w:r>
        <w:rPr>
          <w:color w:val="808080"/>
        </w:rPr>
        <w:t>(eure Meinung)</w:t>
      </w:r>
      <w:r>
        <w:rPr/>
        <w:t xml:space="preserve">?“ Und </w:t>
      </w:r>
      <w:r>
        <w:rPr>
          <w:color w:val="808080"/>
        </w:rPr>
        <w:t>(aber)</w:t>
      </w:r>
      <w:r>
        <w:rPr/>
        <w:t xml:space="preserve"> sie alle verurteilten ihn, des Todes schuldig zu sein. </w:t>
      </w:r>
      <w:r>
        <w:rPr>
          <w:rStyle w:val="Funotenanker"/>
        </w:rPr>
        <w:footnoteReference w:customMarkFollows="1" w:id="2371"/>
        <w:t>ct</w:t>
      </w:r>
      <w:r>
        <w:rPr/>
        <w:t xml:space="preserve"> {{field-off:bible}} </w:t>
        <w:br/>
        <w:t>[[@BibleTOBIBLE:Mk 14:65]]</w:t>
      </w:r>
      <w:r>
        <w:rPr>
          <w:b/>
        </w:rPr>
        <w:t>65</w:t>
      </w:r>
      <w:r>
        <w:rPr/>
        <w:t xml:space="preserve"> {{field-on:bible}}Dann spuckten ihn einige an und verhüllten sein Gesicht und prügelten ihn und sagten ihm:</w:t>
      </w:r>
      <w:r>
        <w:rPr>
          <w:rStyle w:val="Funotenanker"/>
        </w:rPr>
        <w:footnoteReference w:customMarkFollows="1" w:id="2372"/>
        <w:t>cu</w:t>
      </w:r>
      <w:r>
        <w:rPr/>
        <w:t xml:space="preserve"> „Prophezeie!“,</w:t>
      </w:r>
      <w:r>
        <w:rPr>
          <w:rStyle w:val="Funotenanker"/>
        </w:rPr>
        <w:footnoteReference w:customMarkFollows="1" w:id="2373"/>
        <w:t>cv</w:t>
      </w:r>
      <w:r>
        <w:rPr/>
        <w:t xml:space="preserve"> und </w:t>
      </w:r>
      <w:r>
        <w:rPr>
          <w:b/>
          <w:color w:val="808080"/>
        </w:rPr>
        <w:t>[</w:t>
      </w:r>
      <w:r>
        <w:rPr/>
        <w:t>auch</w:t>
      </w:r>
      <w:r>
        <w:rPr>
          <w:b/>
          <w:color w:val="808080"/>
        </w:rPr>
        <w:t>]</w:t>
      </w:r>
      <w:r>
        <w:rPr/>
        <w:t xml:space="preserve"> die Diener nahmen sich seiner mit Ohrfeigen an.</w:t>
      </w:r>
      <w:r>
        <w:rPr>
          <w:rStyle w:val="Funotenanker"/>
        </w:rPr>
        <w:footnoteReference w:customMarkFollows="1" w:id="2374"/>
        <w:t>cw</w:t>
      </w:r>
      <w:r>
        <w:rPr/>
        <w:t xml:space="preserve"> {{field-off:bible}} </w:t>
        <w:br/>
        <w:t>[[@BibleTOBIBLE:Mk 14:66]]</w:t>
      </w:r>
      <w:r>
        <w:rPr>
          <w:b/>
        </w:rPr>
        <w:t>66</w:t>
      </w:r>
      <w:r>
        <w:rPr/>
        <w:t xml:space="preserve"> {{field-on:bible}}Und während Petrus unten im Hof</w:t>
      </w:r>
      <w:r>
        <w:rPr>
          <w:rStyle w:val="Funotenanker"/>
        </w:rPr>
        <w:footnoteReference w:customMarkFollows="1" w:id="2375"/>
        <w:t>cx</w:t>
      </w:r>
      <w:r>
        <w:rPr/>
        <w:t xml:space="preserve"> war, kommt </w:t>
      </w:r>
      <w:r>
        <w:rPr>
          <w:color w:val="808080"/>
        </w:rPr>
        <w:t>(kam)</w:t>
      </w:r>
      <w:r>
        <w:rPr/>
        <w:t xml:space="preserve"> eine der Mägde des Hohepriesters,{{field-off:bible}} </w:t>
        <w:br/>
        <w:t>[[@BibleTOBIBLE:Mk 14:67]]</w:t>
      </w:r>
      <w:r>
        <w:rPr>
          <w:b/>
        </w:rPr>
        <w:t>67</w:t>
      </w:r>
      <w:r>
        <w:rPr/>
        <w:t xml:space="preserve"> {{field-on:bible}}und als sie sah, dass Petrus sich wärmte, blickte sie ihn an und sagt</w:t>
      </w:r>
      <w:r>
        <w:rPr>
          <w:b/>
          <w:color w:val="808080"/>
        </w:rPr>
        <w:t>[</w:t>
      </w:r>
      <w:r>
        <w:rPr/>
        <w:t>e</w:t>
      </w:r>
      <w:r>
        <w:rPr>
          <w:b/>
          <w:color w:val="808080"/>
        </w:rPr>
        <w:t>]</w:t>
      </w:r>
      <w:r>
        <w:rPr/>
        <w:t>: „Auch du warst mit</w:t>
      </w:r>
      <w:r>
        <w:rPr>
          <w:rStyle w:val="Funotenanker"/>
        </w:rPr>
        <w:footnoteReference w:customMarkFollows="1" w:id="2376"/>
        <w:t>cy</w:t>
      </w:r>
      <w:r>
        <w:rPr/>
        <w:t xml:space="preserve"> dem Nazarener Jesus!“{{field-off:bible}} </w:t>
        <w:br/>
        <w:t>[[@BibleTOBIBLE:Mk 14:68]]</w:t>
      </w:r>
      <w:r>
        <w:rPr>
          <w:b/>
        </w:rPr>
        <w:t>68</w:t>
      </w:r>
      <w:r>
        <w:rPr/>
        <w:t xml:space="preserve"> {{field-on:bible}}Aber er leugnete</w:t>
      </w:r>
      <w:r>
        <w:rPr>
          <w:rStyle w:val="Funotenanker"/>
        </w:rPr>
        <w:footnoteReference w:customMarkFollows="1" w:id="2377"/>
        <w:t>cz</w:t>
      </w:r>
      <w:r>
        <w:rPr/>
        <w:t xml:space="preserve"> und sagte: „Weder weiß ich noch verstehe ich, was du sagst.“</w:t>
      </w:r>
      <w:r>
        <w:rPr>
          <w:rStyle w:val="Funotenanker"/>
        </w:rPr>
        <w:footnoteReference w:customMarkFollows="1" w:id="2378"/>
        <w:t>da</w:t>
      </w:r>
      <w:r>
        <w:rPr/>
        <w:t xml:space="preserve"> Und er ging hinaus nach draußen in den Vorhof,</w:t>
      </w:r>
      <w:r>
        <w:rPr>
          <w:rStyle w:val="Funotenanker"/>
        </w:rPr>
        <w:footnoteReference w:customMarkFollows="1" w:id="2379"/>
        <w:t>db</w:t>
      </w:r>
      <w:r>
        <w:rPr/>
        <w:t xml:space="preserve"> </w:t>
      </w:r>
      <w:r>
        <w:rPr>
          <w:strike/>
          <w:color w:val="808080"/>
        </w:rPr>
        <w:t>{und ein Hahn krähte}</w:t>
      </w:r>
      <w:r>
        <w:rPr/>
        <w:t>.</w:t>
      </w:r>
      <w:r>
        <w:rPr>
          <w:rStyle w:val="Funotenanker"/>
        </w:rPr>
        <w:footnoteReference w:customMarkFollows="1" w:id="2380"/>
        <w:t>dc</w:t>
      </w:r>
      <w:r>
        <w:rPr/>
        <w:t xml:space="preserve"> {{field-off:bible}} </w:t>
        <w:br/>
        <w:t>[[@BibleTOBIBLE:Mk 14:69]]</w:t>
      </w:r>
      <w:r>
        <w:rPr>
          <w:b/>
        </w:rPr>
        <w:t>69</w:t>
      </w:r>
      <w:r>
        <w:rPr/>
        <w:t xml:space="preserve"> {{field-on:bible}}Und als die Magd ihn sah, sagte</w:t>
      </w:r>
      <w:r>
        <w:rPr>
          <w:rStyle w:val="Funotenanker"/>
        </w:rPr>
        <w:footnoteReference w:customMarkFollows="1" w:id="2381"/>
        <w:t>dd</w:t>
      </w:r>
      <w:r>
        <w:rPr/>
        <w:t xml:space="preserve"> sie erneut zu den Dabeistehenden: „Dieser gehört zu</w:t>
      </w:r>
      <w:r>
        <w:rPr>
          <w:rStyle w:val="Funotenanker"/>
        </w:rPr>
        <w:footnoteReference w:customMarkFollows="1" w:id="2382"/>
        <w:t>de</w:t>
      </w:r>
      <w:r>
        <w:rPr/>
        <w:t xml:space="preserve"> ihnen!“{{field-off:bible}} </w:t>
        <w:br/>
        <w:t>[[@BibleTOBIBLE:Mk 14:70]]</w:t>
      </w:r>
      <w:r>
        <w:rPr>
          <w:b/>
        </w:rPr>
        <w:t>70</w:t>
      </w:r>
      <w:r>
        <w:rPr/>
        <w:t xml:space="preserve"> {{field-on:bible}}Aber er leugnete wieder. Und kurz danach sagten diejenigen, die dabeistanden, erneut zu Petrus: „Wahrhaftig, du gehörst zu ihnen, denn du bist auch ein Galiläer!“</w:t>
      </w:r>
      <w:r>
        <w:rPr>
          <w:rStyle w:val="Funotenanker"/>
        </w:rPr>
        <w:footnoteReference w:customMarkFollows="1" w:id="2383"/>
        <w:t>df</w:t>
      </w:r>
      <w:r>
        <w:rPr/>
        <w:t xml:space="preserve"> {{field-off:bible}} </w:t>
        <w:br/>
        <w:t>[[@BibleTOBIBLE:Mk 14:71]]</w:t>
      </w:r>
      <w:r>
        <w:rPr>
          <w:b/>
        </w:rPr>
        <w:t>71</w:t>
      </w:r>
      <w:r>
        <w:rPr/>
        <w:t xml:space="preserve"> {{field-on:bible}}Er aber verfluchte</w:t>
      </w:r>
      <w:r>
        <w:rPr>
          <w:rStyle w:val="Funotenanker"/>
        </w:rPr>
        <w:footnoteReference w:customMarkFollows="1" w:id="2384"/>
        <w:t>dg</w:t>
      </w:r>
      <w:r>
        <w:rPr/>
        <w:t xml:space="preserve"> und zu schwor: „Ich kenne diesen Menschen nicht, </w:t>
      </w:r>
      <w:r>
        <w:rPr>
          <w:b/>
          <w:color w:val="808080"/>
        </w:rPr>
        <w:t>[</w:t>
      </w:r>
      <w:r>
        <w:rPr/>
        <w:t>von</w:t>
      </w:r>
      <w:r>
        <w:rPr>
          <w:b/>
          <w:color w:val="808080"/>
        </w:rPr>
        <w:t>]</w:t>
      </w:r>
      <w:r>
        <w:rPr/>
        <w:t xml:space="preserve"> den ihr sprecht!“{{field-off:bible}} </w:t>
        <w:br/>
        <w:t>[[@BibleTOBIBLE:Mk 14:72]]</w:t>
      </w:r>
      <w:r>
        <w:rPr>
          <w:b/>
        </w:rPr>
        <w:t>72</w:t>
      </w:r>
      <w:r>
        <w:rPr/>
        <w:t xml:space="preserve"> {{field-on:bible}}Und sogleich krähte zum zweiten Mal </w:t>
      </w:r>
      <w:r>
        <w:rPr>
          <w:color w:val="808080"/>
        </w:rPr>
        <w:t>(</w:t>
      </w:r>
      <w:r>
        <w:rPr>
          <w:strike/>
          <w:color w:val="808080"/>
        </w:rPr>
        <w:t>{zum zweiten Mal}</w:t>
      </w:r>
      <w:r>
        <w:rPr>
          <w:color w:val="808080"/>
        </w:rPr>
        <w:t>)</w:t>
      </w:r>
      <w:r>
        <w:rPr/>
        <w:t xml:space="preserve"> ein Hahn. Da erinnerte sich Petrus an das Wort, wie</w:t>
      </w:r>
      <w:r>
        <w:rPr>
          <w:rStyle w:val="Funotenanker"/>
        </w:rPr>
        <w:footnoteReference w:customMarkFollows="1" w:id="2385"/>
        <w:t>dh</w:t>
      </w:r>
      <w:r>
        <w:rPr/>
        <w:t xml:space="preserve"> Jesus zu ihm gesagt hatte: „Bevor dem zweimaligen Krähen des Hahns wirst du mich dreimal verleugnen.“ Und er brach in Tränen aus.</w:t>
      </w:r>
      <w:r>
        <w:rPr>
          <w:rStyle w:val="Funotenanker"/>
        </w:rPr>
        <w:footnoteReference w:customMarkFollows="1" w:id="2386"/>
        <w:t>di</w:t>
      </w:r>
      <w:r>
        <w:rPr/>
        <w:t xml:space="preserve"> {{field-off:bible}}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2387"/>
        <w:t>Status</w:t>
      </w:r>
      <w:r>
        <w:rPr/>
        <w:t xml:space="preserve"> Und dann frühmorgens, nachdem die Oberpriester mit den Ältesten und Schriftgelehrten und dem gesamten Synedrium Rat gehalten hatten </w:t>
      </w:r>
      <w:r>
        <w:rPr>
          <w:color w:val="808080"/>
        </w:rPr>
        <w:t>(einen Plan gefasst hatten)</w:t>
      </w:r>
      <w:r>
        <w:rPr/>
        <w:t xml:space="preserve"> </w:t>
      </w:r>
      <w:r>
        <w:rPr>
          <w:b/>
          <w:color w:val="808080"/>
        </w:rPr>
        <w:t>[</w:t>
      </w:r>
      <w:r>
        <w:rPr/>
        <w:t>und</w:t>
      </w:r>
      <w:r>
        <w:rPr>
          <w:b/>
          <w:color w:val="808080"/>
        </w:rPr>
        <w:t>]</w:t>
      </w:r>
      <w:r>
        <w:rPr/>
        <w:t xml:space="preserve"> nachdem sie Jesus gefesselt hatten, führten sie ihn ab und lieferten ihn an Pilatus aus.{{field-off:bible}} </w:t>
        <w:br/>
        <w:t>[[@BibleTOBIBLE:Mk 15:2]]</w:t>
      </w:r>
      <w:r>
        <w:rPr>
          <w:b/>
        </w:rPr>
        <w:t>2</w:t>
      </w:r>
      <w:r>
        <w:rPr/>
        <w:t xml:space="preserve"> {{field-on:bible}}Und Pilatus fragte ihn: „Bist ''du'' der König der Juden </w:t>
      </w:r>
      <w:r>
        <w:rPr>
          <w:color w:val="808080"/>
        </w:rPr>
        <w:t>(Judäer)</w:t>
      </w:r>
      <w:r>
        <w:rPr/>
        <w:t xml:space="preserve">?“ Er </w:t>
      </w:r>
      <w:r>
        <w:rPr>
          <w:strike/>
          <w:color w:val="808080"/>
        </w:rPr>
        <w:t>{aber}</w:t>
      </w:r>
      <w:r>
        <w:rPr/>
        <w:t xml:space="preserve"> antwortete ihm </w:t>
      </w:r>
      <w:r>
        <w:rPr>
          <w:strike/>
          <w:color w:val="808080"/>
        </w:rPr>
        <w:t>{und sagt}</w:t>
      </w:r>
      <w:r>
        <w:rPr/>
        <w:t xml:space="preserve">: „Du sagst </w:t>
      </w:r>
      <w:r>
        <w:rPr>
          <w:b/>
          <w:color w:val="808080"/>
        </w:rPr>
        <w:t>[</w:t>
      </w:r>
      <w:r>
        <w:rPr/>
        <w:t>es</w:t>
      </w:r>
      <w:r>
        <w:rPr>
          <w:b/>
          <w:color w:val="808080"/>
        </w:rPr>
        <w:t>]</w:t>
      </w:r>
      <w:r>
        <w:rPr/>
        <w:t xml:space="preserve">.“{{field-off:bible}} </w:t>
        <w:br/>
        <w:t>[[@BibleTOBIBLE:Mk 15:3]]</w:t>
      </w:r>
      <w:r>
        <w:rPr>
          <w:b/>
        </w:rPr>
        <w:t>3</w:t>
      </w:r>
      <w:r>
        <w:rPr/>
        <w:t xml:space="preserve"> {{field-on:bible}} </w:t>
      </w:r>
      <w:r>
        <w:rPr>
          <w:strike/>
          <w:color w:val="808080"/>
        </w:rPr>
        <w:t>{Und}</w:t>
      </w:r>
      <w:r>
        <w:rPr/>
        <w:t xml:space="preserve"> </w:t>
      </w:r>
      <w:r>
        <w:rPr>
          <w:b/>
          <w:color w:val="808080"/>
        </w:rPr>
        <w:t>[</w:t>
      </w:r>
      <w:r>
        <w:rPr/>
        <w:t>da</w:t>
      </w:r>
      <w:r>
        <w:rPr>
          <w:b/>
          <w:color w:val="808080"/>
        </w:rPr>
        <w:t>]</w:t>
      </w:r>
      <w:r>
        <w:rPr/>
        <w:t xml:space="preserve"> klagten ihn die Oberpriester vieler </w:t>
      </w:r>
      <w:r>
        <w:rPr>
          <w:b/>
          <w:color w:val="808080"/>
        </w:rPr>
        <w:t>[</w:t>
      </w:r>
      <w:r>
        <w:rPr/>
        <w:t>Dinge</w:t>
      </w:r>
      <w:r>
        <w:rPr>
          <w:b/>
          <w:color w:val="808080"/>
        </w:rPr>
        <w:t>]</w:t>
      </w:r>
      <w:r>
        <w:rPr/>
        <w:t xml:space="preserve"> an.{{field-off:bible}} </w:t>
        <w:br/>
        <w:t>[[@BibleTOBIBLE:Mk 15:4]]</w:t>
      </w:r>
      <w:r>
        <w:rPr>
          <w:b/>
        </w:rPr>
        <w:t>4</w:t>
      </w:r>
      <w:r>
        <w:rPr/>
        <w:t xml:space="preserve"> {{field-on:bible}}Und Pilatus fragte ihn erneut </w:t>
      </w:r>
      <w:r>
        <w:rPr>
          <w:strike/>
          <w:color w:val="808080"/>
        </w:rPr>
        <w:t>{und sagte}</w:t>
      </w:r>
      <w:r>
        <w:rPr/>
        <w:t xml:space="preserve">: „Antwortest du nichts? Siehe, wie viel sie dich beschuldigen!“{{field-off:bible}} </w:t>
        <w:br/>
        <w:t>[[@BibleTOBIBLE:Mk 15:5]]</w:t>
      </w:r>
      <w:r>
        <w:rPr>
          <w:b/>
        </w:rPr>
        <w:t>5</w:t>
      </w:r>
      <w:r>
        <w:rPr/>
        <w:t xml:space="preserve"> {{field-on:bible}}Jesus aber antwortete nicht länger, sodass Pilatus sich wunderte.{{field-off:bible}} </w:t>
        <w:br/>
        <w:t>[[@BibleTOBIBLE:Mk 15:6]]</w:t>
      </w:r>
      <w:r>
        <w:rPr>
          <w:b/>
        </w:rPr>
        <w:t>6</w:t>
      </w:r>
      <w:r>
        <w:rPr/>
        <w:t xml:space="preserve"> {{field-on:bible}}Nun ließ er ihnen zum Fest ''einen'' Gefangenen frei, den sie erbaten.{{field-off:bible}} </w:t>
        <w:br/>
        <w:t>[[@BibleTOBIBLE:Mk 15:7]]</w:t>
      </w:r>
      <w:r>
        <w:rPr>
          <w:b/>
        </w:rPr>
        <w:t>7</w:t>
      </w:r>
      <w:r>
        <w:rPr/>
        <w:t xml:space="preserve"> {{field-on:bible}}Es war aber einer, der Barabbas genannt wurde </w:t>
      </w:r>
      <w:r>
        <w:rPr>
          <w:b/>
          <w:color w:val="808080"/>
        </w:rPr>
        <w:t>[</w:t>
      </w:r>
      <w:r>
        <w:rPr/>
        <w:t>und</w:t>
      </w:r>
      <w:r>
        <w:rPr>
          <w:b/>
          <w:color w:val="808080"/>
        </w:rPr>
        <w:t>]</w:t>
      </w:r>
      <w:r>
        <w:rPr/>
        <w:t xml:space="preserve"> mit den Aufständischen gefangen, worden war, welche während des Aufstandes einen Mord begangen hatten.{{field-off:bible}} </w:t>
        <w:br/>
        <w:t>[[@BibleTOBIBLE:Mk 15:8]]</w:t>
      </w:r>
      <w:r>
        <w:rPr>
          <w:b/>
        </w:rPr>
        <w:t>8</w:t>
      </w:r>
      <w:r>
        <w:rPr/>
        <w:t xml:space="preserve"> {{field-on:bible}}Und die Menschenmenge stieg hinauf und begann zu bitten, </w:t>
      </w:r>
      <w:r>
        <w:rPr>
          <w:b/>
          <w:color w:val="808080"/>
        </w:rPr>
        <w:t>[</w:t>
      </w:r>
      <w:r>
        <w:rPr/>
        <w:t>zu tun</w:t>
      </w:r>
      <w:r>
        <w:rPr>
          <w:b/>
          <w:color w:val="808080"/>
        </w:rPr>
        <w:t>]</w:t>
      </w:r>
      <w:r>
        <w:rPr/>
        <w:t xml:space="preserve"> was er für sie zu tun pflegte.{{field-off:bible}} </w:t>
        <w:br/>
        <w:t>[[@BibleTOBIBLE:Mk 15:9]]</w:t>
      </w:r>
      <w:r>
        <w:rPr>
          <w:b/>
        </w:rPr>
        <w:t>9</w:t>
      </w:r>
      <w:r>
        <w:rPr/>
        <w:t xml:space="preserve"> {{field-on:bible}}Und Pilatus antwortete ihnen </w:t>
      </w:r>
      <w:r>
        <w:rPr>
          <w:strike/>
          <w:color w:val="808080"/>
        </w:rPr>
        <w:t>{und sagte}</w:t>
      </w:r>
      <w:r>
        <w:rPr/>
        <w:t xml:space="preserve">: „Wollt ihr, dass ich euch den »König der Juden </w:t>
      </w:r>
      <w:r>
        <w:rPr>
          <w:color w:val="808080"/>
        </w:rPr>
        <w:t>(Judäer)</w:t>
      </w:r>
      <w:r>
        <w:rPr/>
        <w:t xml:space="preserve">« freilasse?“{{field-off:bible}} </w:t>
        <w:br/>
        <w:t>[[@BibleTOBIBLE:Mk 15:10]]</w:t>
      </w:r>
      <w:r>
        <w:rPr>
          <w:b/>
        </w:rPr>
        <w:t>10</w:t>
      </w:r>
      <w:r>
        <w:rPr/>
        <w:t xml:space="preserve"> {{field-on:bible}}Denn er wusste, dass die Oberpriester ihn aus Neid übergeben hatten.{{field-off:bible}} </w:t>
        <w:br/>
        <w:t>[[@BibleTOBIBLE:Mk 15:11]]</w:t>
      </w:r>
      <w:r>
        <w:rPr>
          <w:b/>
        </w:rPr>
        <w:t>11</w:t>
      </w:r>
      <w:r>
        <w:rPr/>
        <w:t xml:space="preserve"> {{field-on:bible}}Die Oberpriester aber hetzten die Menschenmenge auf, dass er ihnen vielmehr Barabbas freilassen solle.{{field-off:bible}} </w:t>
        <w:br/>
        <w:t>[[@BibleTOBIBLE:Mk 15:12]]</w:t>
      </w:r>
      <w:r>
        <w:rPr>
          <w:b/>
        </w:rPr>
        <w:t>12</w:t>
      </w:r>
      <w:r>
        <w:rPr/>
        <w:t xml:space="preserve"> {{field-on:bible}}Und Pilatus antwortete ihnen erneut </w:t>
      </w:r>
      <w:r>
        <w:rPr>
          <w:b/>
          <w:color w:val="808080"/>
        </w:rPr>
        <w:t>[</w:t>
      </w:r>
      <w:r>
        <w:rPr/>
        <w:t>und sagte</w:t>
      </w:r>
      <w:r>
        <w:rPr>
          <w:b/>
          <w:color w:val="808080"/>
        </w:rPr>
        <w:t>]</w:t>
      </w:r>
      <w:r>
        <w:rPr/>
        <w:t xml:space="preserve">: „Was nun wollt ihr, dass ich </w:t>
      </w:r>
      <w:r>
        <w:rPr>
          <w:b/>
          <w:color w:val="808080"/>
        </w:rPr>
        <w:t>[</w:t>
      </w:r>
      <w:r>
        <w:rPr/>
        <w:t>mit dem</w:t>
      </w:r>
      <w:r>
        <w:rPr>
          <w:b/>
          <w:color w:val="808080"/>
        </w:rPr>
        <w:t>]</w:t>
      </w:r>
      <w:r>
        <w:rPr/>
        <w:t xml:space="preserve"> mache, den ihr den »König der Juden </w:t>
      </w:r>
      <w:r>
        <w:rPr>
          <w:color w:val="808080"/>
        </w:rPr>
        <w:t>(Judäer)</w:t>
      </w:r>
      <w:r>
        <w:rPr/>
        <w:t>« nennt?“</w:t>
      </w:r>
      <w:r>
        <w:rPr>
          <w:rStyle w:val="Funotenanker"/>
        </w:rPr>
        <w:footnoteReference w:customMarkFollows="1" w:id="2388"/>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gegeißelt hatte, damit er gekreuzigt werde.{{field-off:bible}} </w:t>
        <w:br/>
        <w:t>[[@BibleTOBIBLE:Mk 15:16]]</w:t>
      </w:r>
      <w:r>
        <w:rPr>
          <w:b/>
        </w:rPr>
        <w:t>16</w:t>
      </w:r>
      <w:r>
        <w:rPr/>
        <w:t xml:space="preserve"> {{field-on:bible}}Und die Soldaten führten ihn in den Hof – das heißt: das Prätorium – und </w:t>
      </w:r>
      <w:r>
        <w:rPr>
          <w:strike/>
          <w:color w:val="808080"/>
        </w:rPr>
        <w:t>{sie}</w:t>
      </w:r>
      <w:r>
        <w:rPr/>
        <w:t xml:space="preserve"> riefen</w:t>
      </w:r>
      <w:r>
        <w:rPr>
          <w:rStyle w:val="Funotenanker"/>
        </w:rPr>
        <w:footnoteReference w:customMarkFollows="1" w:id="2389"/>
        <w:t>b</w:t>
      </w:r>
      <w:r>
        <w:rPr/>
        <w:t xml:space="preserve"> die gesamte Truppe zusammen.{{field-off:bible}} </w:t>
        <w:br/>
        <w:t>[[@BibleTOBIBLE:Mk 15:17]]</w:t>
      </w:r>
      <w:r>
        <w:rPr>
          <w:b/>
        </w:rPr>
        <w:t>17</w:t>
      </w:r>
      <w:r>
        <w:rPr/>
        <w:t xml:space="preserve"> {{field-on:bible}}Und sie ziehen ihm einen Purpurmantel an, und sie flochten eine Krone aus Dornen und setzen sie ihm auf.{{field-off:bible}} </w:t>
        <w:br/>
        <w:t>[[@BibleTOBIBLE:Mk 15:18]]</w:t>
      </w:r>
      <w:r>
        <w:rPr>
          <w:b/>
        </w:rPr>
        <w:t>18</w:t>
      </w:r>
      <w:r>
        <w:rPr/>
        <w:t xml:space="preserve"> {{field-on:bible}}Und sie begannen, ihn zu grüßen: „Sei gegrüßt, König der Juden </w:t>
      </w:r>
      <w:r>
        <w:rPr>
          <w:color w:val="808080"/>
        </w:rPr>
        <w:t>(Judäer)</w:t>
      </w:r>
      <w:r>
        <w:rPr/>
        <w:t xml:space="preserve">!“{{field-off:bible}} </w:t>
        <w:br/>
        <w:t>[[@BibleTOBIBLE:Mk 15:19]]</w:t>
      </w:r>
      <w:r>
        <w:rPr>
          <w:b/>
        </w:rPr>
        <w:t>19</w:t>
      </w:r>
      <w:r>
        <w:rPr/>
        <w:t xml:space="preserve"> {{field-on:bible}}Und sie schlugen seinen Kopf mit einem Rohr und bespuckten ihn, und sie gingen auf die Knie und beteten ihn an.</w:t>
      </w:r>
      <w:r>
        <w:rPr>
          <w:rStyle w:val="Funotenanker"/>
        </w:rPr>
        <w:footnoteReference w:customMarkFollows="1" w:id="2390"/>
        <w:t>c</w:t>
      </w:r>
      <w:r>
        <w:rPr/>
        <w:t xml:space="preserve"> {{field-off:bible}} </w:t>
        <w:br/>
        <w:t>[[@BibleTOBIBLE:Mk 15:20]]</w:t>
      </w:r>
      <w:r>
        <w:rPr>
          <w:b/>
        </w:rPr>
        <w:t>20</w:t>
      </w:r>
      <w:r>
        <w:rPr/>
        <w:t xml:space="preserve"> {{field-on:bible}}Und als sie ihn verspottet hatten, zogen sie ihm den Purpurmantel aus, und sie zogen ihm seine Kleider an. Dann führen sie ihn ab, um ihn zu kreuzigen.{{field-off:bible}} </w:t>
        <w:br/>
        <w:t>[[@BibleTOBIBLE:Mk 15:21]]</w:t>
      </w:r>
      <w:r>
        <w:rPr>
          <w:b/>
        </w:rPr>
        <w:t>21</w:t>
      </w:r>
      <w:r>
        <w:rPr/>
        <w:t xml:space="preserve"> {{field-on:bible}}Und sie zwangen</w:t>
      </w:r>
      <w:r>
        <w:rPr>
          <w:rStyle w:val="Funotenanker"/>
        </w:rPr>
        <w:footnoteReference w:customMarkFollows="1" w:id="2391"/>
        <w:t>d</w:t>
      </w:r>
      <w:r>
        <w:rPr/>
        <w:t xml:space="preserve"> einen Passanten, einen gewissen Simon Kyrene, der vom Feld kam, von Vater von Alexander und Rufus, damit er sein </w:t>
      </w:r>
      <w:r>
        <w:rPr>
          <w:color w:val="808080"/>
        </w:rPr>
        <w:t>(dessen)</w:t>
      </w:r>
      <w:r>
        <w:rPr/>
        <w:t xml:space="preserve"> Kreuz träge.{{field-off:bible}} </w:t>
        <w:br/>
        <w:t>[[@BibleTOBIBLE:Mk 15:22]]</w:t>
      </w:r>
      <w:r>
        <w:rPr>
          <w:b/>
        </w:rPr>
        <w:t>22</w:t>
      </w:r>
      <w:r>
        <w:rPr/>
        <w:t xml:space="preserve"> {{field-on:bible}}Und sie bringen ihn zu dem Ort Golgata – das heißt übersetzt: Ort des Schädels.{{field-off:bible}} </w:t>
        <w:br/>
        <w:t>[[@BibleTOBIBLE:Mk 15:23]]</w:t>
      </w:r>
      <w:r>
        <w:rPr>
          <w:b/>
        </w:rPr>
        <w:t>23</w:t>
      </w:r>
      <w:r>
        <w:rPr/>
        <w:t xml:space="preserve"> {{field-on:bible}}Und sie gaben ihm mit Myrrhe vermischten Wein, er aber nahm </w:t>
      </w:r>
      <w:r>
        <w:rPr>
          <w:b/>
          <w:color w:val="808080"/>
        </w:rPr>
        <w:t>[</w:t>
      </w:r>
      <w:r>
        <w:rPr/>
        <w:t>den Wein</w:t>
      </w:r>
      <w:r>
        <w:rPr>
          <w:b/>
          <w:color w:val="808080"/>
        </w:rPr>
        <w:t>]</w:t>
      </w:r>
      <w:r>
        <w:rPr/>
        <w:t xml:space="preserve"> nicht.{{field-off:bible}} </w:t>
        <w:br/>
        <w:t>[[@BibleTOBIBLE:Mk 15:24]]</w:t>
      </w:r>
      <w:r>
        <w:rPr>
          <w:b/>
        </w:rPr>
        <w:t>24</w:t>
      </w:r>
      <w:r>
        <w:rPr/>
        <w:t xml:space="preserve"> {{field-on:bible}}Und sie kreuzigen ihn und ''</w:t>
      </w:r>
      <w:r>
        <w:rPr>
          <w:strike/>
          <w:color w:val="808080"/>
        </w:rPr>
        <w:t>{sie}</w:t>
      </w:r>
      <w:r>
        <w:rPr/>
        <w:t xml:space="preserve"> teilten seine Kleider, indem sie ein Los über </w:t>
      </w:r>
      <w:r>
        <w:rPr>
          <w:strike/>
          <w:color w:val="808080"/>
        </w:rPr>
        <w:t>{sie}</w:t>
      </w:r>
      <w:r>
        <w:rPr/>
        <w:t xml:space="preserve"> </w:t>
      </w:r>
      <w:r>
        <w:rPr>
          <w:b/>
          <w:color w:val="808080"/>
        </w:rPr>
        <w:t>[</w:t>
      </w:r>
      <w:r>
        <w:rPr/>
        <w:t>die Kleider</w:t>
      </w:r>
      <w:r>
        <w:rPr>
          <w:b/>
          <w:color w:val="808080"/>
        </w:rPr>
        <w:t>]</w:t>
      </w:r>
      <w:r>
        <w:rPr/>
        <w:t xml:space="preserve"> warfen''</w:t>
      </w:r>
      <w:r>
        <w:rPr>
          <w:rStyle w:val="Funotenanker"/>
        </w:rPr>
        <w:footnoteReference w:customMarkFollows="1" w:id="2392"/>
        <w:t>e</w:t>
      </w:r>
      <w:r>
        <w:rPr/>
        <w:t xml:space="preserve">, wer was nähme. </w:t>
      </w:r>
      <w:r>
        <w:rPr>
          <w:position w:val="8"/>
          <w:sz w:val="19"/>
        </w:rPr>
        <w:t>[[ ℘ &gt;&gt; BibleTOBIBLE:Ps 22:19]]</w:t>
      </w:r>
      <w:r>
        <w:rPr/>
        <w:t xml:space="preserve"> {{field-off:bible}}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w:t>
      </w:r>
      <w:r>
        <w:rPr>
          <w:b/>
          <w:color w:val="808080"/>
        </w:rPr>
        <w:t>[</w:t>
      </w:r>
      <w:r>
        <w:rPr/>
        <w:t>ihm</w:t>
      </w:r>
      <w:r>
        <w:rPr>
          <w:b/>
          <w:color w:val="808080"/>
        </w:rPr>
        <w:t>]</w:t>
      </w:r>
      <w:r>
        <w:rPr/>
        <w:t xml:space="preserve"> geschrieben: Der König der Juden </w:t>
      </w:r>
      <w:r>
        <w:rPr>
          <w:color w:val="808080"/>
        </w:rPr>
        <w:t>(Judäer)</w:t>
      </w:r>
      <w:r>
        <w:rPr/>
        <w:t xml:space="preserve">.{{field-off:bible}} </w:t>
        <w:br/>
        <w:t>[[@BibleTOBIBLE:Mk 15:27]]</w:t>
      </w:r>
      <w:r>
        <w:rPr>
          <w:b/>
        </w:rPr>
        <w:t>27</w:t>
      </w:r>
      <w:r>
        <w:rPr/>
        <w:t xml:space="preserve"> {{field-on:bible}}Und zusammen mit ihm kreuzigen sie zwei Räuber, einen zur seiner Rechten und einen zur seiner Linken.{{field-off:bible}} </w:t>
        <w:br/>
        <w:t>[[@BibleTOBIBLE:Mk 15:28]]</w:t>
      </w:r>
      <w:r>
        <w:rPr>
          <w:b/>
        </w:rPr>
        <w:t>28</w:t>
      </w:r>
      <w:r>
        <w:rPr/>
        <w:t xml:space="preserve"> {{field-on:bible}} </w:t>
      </w:r>
      <w:r>
        <w:rPr>
          <w:strike/>
          <w:color w:val="808080"/>
        </w:rPr>
        <w:t>{Und erfüllt wurde die Schrift[, die sagt]: Mit den Ungerechten wurde er [zusammengetan] {angerechnet}}</w:t>
      </w:r>
      <w:r>
        <w:rPr/>
        <w:t xml:space="preserve"> </w:t>
      </w:r>
      <w:r>
        <w:rPr>
          <w:rStyle w:val="Funotenanker"/>
        </w:rPr>
        <w:footnoteReference w:customMarkFollows="1" w:id="2393"/>
        <w:t>f</w:t>
      </w:r>
      <w:r>
        <w:rPr/>
        <w:t xml:space="preserve"> {{field-off:bible}} </w:t>
        <w:br/>
        <w:t>[[@BibleTOBIBLE:Mk 15:29]]</w:t>
      </w:r>
      <w:r>
        <w:rPr>
          <w:b/>
        </w:rPr>
        <w:t>29</w:t>
      </w:r>
      <w:r>
        <w:rPr/>
        <w:t xml:space="preserve"> {{field-on:bible}}Und die Vobeilaufenden lästerten </w:t>
      </w:r>
      <w:r>
        <w:rPr>
          <w:strike/>
          <w:color w:val="808080"/>
        </w:rPr>
        <w:t>{über}</w:t>
      </w:r>
      <w:r>
        <w:rPr/>
        <w:t xml:space="preserve"> ihn, schüttelten ihre Köpfe und sagten: „Aha! Der </w:t>
      </w:r>
      <w:r>
        <w:rPr>
          <w:b/>
          <w:color w:val="808080"/>
        </w:rPr>
        <w:t>[</w:t>
      </w:r>
      <w:r>
        <w:rPr/>
        <w:t>du</w:t>
      </w:r>
      <w:r>
        <w:rPr>
          <w:b/>
          <w:color w:val="808080"/>
        </w:rPr>
        <w:t>]</w:t>
      </w:r>
      <w:r>
        <w:rPr/>
        <w:t xml:space="preserve"> den Tempel niederreißt und in drei Tagen aufbaust,{{field-off:bible}} </w:t>
        <w:br/>
        <w:t>[[@BibleTOBIBLE:Mk 15:30]]</w:t>
      </w:r>
      <w:r>
        <w:rPr>
          <w:b/>
        </w:rPr>
        <w:t>30</w:t>
      </w:r>
      <w:r>
        <w:rPr/>
        <w:t xml:space="preserve"> {{field-on:bible}}rette dich selbst, </w:t>
      </w:r>
      <w:r>
        <w:rPr>
          <w:b/>
          <w:color w:val="808080"/>
        </w:rPr>
        <w:t>[</w:t>
      </w:r>
      <w:r>
        <w:rPr/>
        <w:t>indem du</w:t>
      </w:r>
      <w:r>
        <w:rPr>
          <w:b/>
          <w:color w:val="808080"/>
        </w:rPr>
        <w:t>]</w:t>
      </w:r>
      <w:r>
        <w:rPr/>
        <w:t xml:space="preserve"> von dem Kreuz herabsteigst!“{{field-off:bible}} </w:t>
        <w:br/>
        <w:t>[[@BibleTOBIBLE:Mk 15:31]]</w:t>
      </w:r>
      <w:r>
        <w:rPr>
          <w:b/>
        </w:rPr>
        <w:t>31</w:t>
      </w:r>
      <w:r>
        <w:rPr/>
        <w:t xml:space="preserve"> {{field-on:bible}}Genauso spotteten auch die Oberpriester zueinander mit den Schriftgelehrten</w:t>
      </w:r>
      <w:r>
        <w:rPr>
          <w:strike/>
          <w:color w:val="808080"/>
        </w:rPr>
        <w:t>{ und sagten}</w:t>
      </w:r>
      <w:r>
        <w:rPr/>
        <w:t xml:space="preserve">: „Andere hat er gerettet, sich selbst vermag er nicht zu retten.{{field-off:bible}} </w:t>
        <w:br/>
        <w:t>[[@BibleTOBIBLE:Mk 15:32]]</w:t>
      </w:r>
      <w:r>
        <w:rPr>
          <w:b/>
        </w:rPr>
        <w:t>32</w:t>
      </w:r>
      <w:r>
        <w:rPr/>
        <w:t xml:space="preserve"> {{field-on:bible}}Der Gesalbte </w:t>
      </w:r>
      <w:r>
        <w:rPr>
          <w:color w:val="808080"/>
        </w:rPr>
        <w:t>(Christus)</w:t>
      </w:r>
      <w:r>
        <w:rPr/>
        <w:t xml:space="preserve">, der König Israels, er soll jetzt von dem Kreuz herabsteigen, damit wir sehen und glauben!“ Und die Mitgekreuzigten </w:t>
      </w:r>
      <w:r>
        <w:rPr>
          <w:strike/>
          <w:color w:val="808080"/>
        </w:rPr>
        <w:t>{mit ihm}</w:t>
      </w:r>
      <w:r>
        <w:rPr/>
        <w:t xml:space="preserve"> beleidigten ihn </w:t>
      </w:r>
      <w:r>
        <w:rPr>
          <w:b/>
          <w:color w:val="808080"/>
        </w:rPr>
        <w:t>[</w:t>
      </w:r>
      <w:r>
        <w:rPr/>
        <w:t>auch</w:t>
      </w:r>
      <w:r>
        <w:rPr>
          <w:b/>
          <w:color w:val="808080"/>
        </w:rPr>
        <w:t>]</w:t>
      </w:r>
      <w:r>
        <w:rPr/>
        <w:t xml:space="preserve">.{{field-off:bible}} </w:t>
        <w:br/>
        <w:t>[[@BibleTOBIBLE:Mk 15:33]]</w:t>
      </w:r>
      <w:r>
        <w:rPr>
          <w:b/>
        </w:rPr>
        <w:t>33</w:t>
      </w:r>
      <w:r>
        <w:rPr/>
        <w:t xml:space="preserve"> {{field-on:bible}}Und zur sechsten Stunde, geschah eine Finsternis über dem ganzen Land bis zur neunten Stunde.{{field-off:bible}} </w:t>
        <w:br/>
        <w:t>[[@BibleTOBIBLE:Mk 15:34]]</w:t>
      </w:r>
      <w:r>
        <w:rPr>
          <w:b/>
        </w:rPr>
        <w:t>34</w:t>
      </w:r>
      <w:r>
        <w:rPr/>
        <w:t xml:space="preserve"> {{field-on:bible}}Und zur neunten Stunde rief Jesus mit lauter Stimme: „Eloi, eloi, lema sabachthani?“</w:t>
      </w:r>
      <w:r>
        <w:rPr>
          <w:rStyle w:val="Funotenanker"/>
        </w:rPr>
        <w:footnoteReference w:customMarkFollows="1" w:id="2394"/>
        <w:t>g</w:t>
      </w:r>
      <w:r>
        <w:rPr/>
        <w:t xml:space="preserve"> Das heißt übersetzt: „Mein Gott, mein Gott, warum hast du mich verlassen?“{{field-off:bible}} </w:t>
        <w:br/>
        <w:t>[[@BibleTOBIBLE:Mk 15:35]]</w:t>
      </w:r>
      <w:r>
        <w:rPr>
          <w:b/>
        </w:rPr>
        <w:t>35</w:t>
      </w:r>
      <w:r>
        <w:rPr/>
        <w:t xml:space="preserve"> {{field-on:bible}}Und als einige der Beistehenden </w:t>
      </w:r>
      <w:r>
        <w:rPr>
          <w:b/>
          <w:color w:val="808080"/>
        </w:rPr>
        <w:t>[</w:t>
      </w:r>
      <w:r>
        <w:rPr/>
        <w:t>dies</w:t>
      </w:r>
      <w:r>
        <w:rPr>
          <w:b/>
          <w:color w:val="808080"/>
        </w:rPr>
        <w:t>]</w:t>
      </w:r>
      <w:r>
        <w:rPr/>
        <w:t xml:space="preserve"> hörten, sprachen sie: „Siehe, er ruft Elia.“{{field-off:bible}} </w:t>
        <w:br/>
        <w:t>[[@BibleTOBIBLE:Mk 15:36]]</w:t>
      </w:r>
      <w:r>
        <w:rPr>
          <w:b/>
        </w:rPr>
        <w:t>36</w:t>
      </w:r>
      <w:r>
        <w:rPr/>
        <w:t xml:space="preserve"> {{field-on:bible}}Jemand aber lief </w:t>
      </w:r>
      <w:r>
        <w:rPr>
          <w:b/>
          <w:color w:val="808080"/>
        </w:rPr>
        <w:t>[</w:t>
      </w:r>
      <w:r>
        <w:rPr/>
        <w:t>und</w:t>
      </w:r>
      <w:r>
        <w:rPr>
          <w:b/>
          <w:color w:val="808080"/>
        </w:rPr>
        <w:t>]</w:t>
      </w:r>
      <w:r>
        <w:rPr/>
        <w:t xml:space="preserve"> füllte einen Schwamm </w:t>
      </w:r>
      <w:r>
        <w:rPr>
          <w:b/>
          <w:color w:val="808080"/>
        </w:rPr>
        <w:t>[</w:t>
      </w:r>
      <w:r>
        <w:rPr/>
        <w:t>mit</w:t>
      </w:r>
      <w:r>
        <w:rPr>
          <w:b/>
          <w:color w:val="808080"/>
        </w:rPr>
        <w:t>]</w:t>
      </w:r>
      <w:r>
        <w:rPr/>
        <w:t xml:space="preserve"> Essig und steckte </w:t>
      </w:r>
      <w:r>
        <w:rPr>
          <w:b/>
          <w:color w:val="808080"/>
        </w:rPr>
        <w:t>[</w:t>
      </w:r>
      <w:r>
        <w:rPr/>
        <w:t>ihn</w:t>
      </w:r>
      <w:r>
        <w:rPr>
          <w:b/>
          <w:color w:val="808080"/>
        </w:rPr>
        <w:t>]</w:t>
      </w:r>
      <w:r>
        <w:rPr/>
        <w:t xml:space="preserve"> auf ein Rohr, gab ihm zu trinken und sprach: „Halt, lasst uns sehen, ob Elia kommt, um ihn herabzunehmen!“{{field-off:bible}} </w:t>
        <w:br/>
        <w:t>[[@BibleTOBIBLE:Mk 15:37]]</w:t>
      </w:r>
      <w:r>
        <w:rPr>
          <w:b/>
        </w:rPr>
        <w:t>37</w:t>
      </w:r>
      <w:r>
        <w:rPr/>
        <w:t xml:space="preserve"> {{field-on:bible}}Jesus aber stieß einen lauten Schrei aus und tat seinen letzten Atem.{{field-off:bible}} </w:t>
        <w:br/>
        <w:t>[[@BibleTOBIBLE:Mk 15:38]]</w:t>
      </w:r>
      <w:r>
        <w:rPr>
          <w:b/>
        </w:rPr>
        <w:t>38</w:t>
      </w:r>
      <w:r>
        <w:rPr/>
        <w:t xml:space="preserve"> {{field-on:bible}}Und der Vorhang des Tempels wurde entzwei zerrissen von oben nach unten.{{field-off:bible}} </w:t>
        <w:br/>
        <w:t>[[@BibleTOBIBLE:Mk 15:39]]</w:t>
      </w:r>
      <w:r>
        <w:rPr>
          <w:b/>
        </w:rPr>
        <w:t>39</w:t>
      </w:r>
      <w:r>
        <w:rPr/>
        <w:t xml:space="preserve"> {{field-on:bible}}Als nun der Centurio, der ihm gegenüber dabeistand, sah, dass er auf diese Weise schrie </w:t>
      </w:r>
      <w:r>
        <w:rPr>
          <w:b/>
          <w:color w:val="808080"/>
        </w:rPr>
        <w:t>[</w:t>
      </w:r>
      <w:r>
        <w:rPr/>
        <w:t>und</w:t>
      </w:r>
      <w:r>
        <w:rPr>
          <w:b/>
          <w:color w:val="808080"/>
        </w:rPr>
        <w:t>]</w:t>
      </w:r>
      <w:r>
        <w:rPr/>
        <w:t xml:space="preserve"> seinen letzten Atem tat, sagte er: „Wahrlich, dieser Mensch war</w:t>
      </w:r>
      <w:r>
        <w:rPr>
          <w:b/>
          <w:color w:val="808080"/>
        </w:rPr>
        <w:t>[</w:t>
      </w:r>
      <w:r>
        <w:rPr/>
        <w:t>und bleibt</w:t>
      </w:r>
      <w:r>
        <w:rPr>
          <w:b/>
          <w:color w:val="808080"/>
        </w:rPr>
        <w:t>]</w:t>
      </w:r>
      <w:r>
        <w:rPr/>
        <w:t xml:space="preserve"> </w:t>
      </w:r>
      <w:r>
        <w:rPr>
          <w:rStyle w:val="Funotenanker"/>
        </w:rPr>
        <w:footnoteReference w:customMarkFollows="1" w:id="2395"/>
        <w:t>h</w:t>
      </w:r>
      <w:r>
        <w:rPr/>
        <w:t xml:space="preserve"> Gottes Sohn!“{{field-off:bible}} </w:t>
        <w:br/>
        <w:t>[[@BibleTOBIBLE:Mk 15:40]]</w:t>
      </w:r>
      <w:r>
        <w:rPr>
          <w:b/>
        </w:rPr>
        <w:t>40</w:t>
      </w:r>
      <w:r>
        <w:rPr/>
        <w:t xml:space="preserve"> {{field-on:bible}}Es waren aber auch Frauen </w:t>
      </w:r>
      <w:r>
        <w:rPr>
          <w:b/>
          <w:color w:val="808080"/>
        </w:rPr>
        <w:t>[</w:t>
      </w:r>
      <w:r>
        <w:rPr/>
        <w:t>anwesend</w:t>
      </w:r>
      <w:r>
        <w:rPr>
          <w:b/>
          <w:color w:val="808080"/>
        </w:rPr>
        <w:t>]</w:t>
      </w:r>
      <w:r>
        <w:rPr/>
        <w:t xml:space="preserve">, die von Weitem zuschauten, unter ihnen auch Maria Magdalena und Maria, die Mutter von Jakobus dem Jüngeren </w:t>
      </w:r>
      <w:r>
        <w:rPr>
          <w:color w:val="808080"/>
        </w:rPr>
        <w:t>(Kleineren)</w:t>
      </w:r>
      <w:r>
        <w:rPr/>
        <w:t xml:space="preserve"> und Joses, und Salome,{{field-off:bible}} </w:t>
        <w:br/>
        <w:t>[[@BibleTOBIBLE:Mk 15:41]]</w:t>
      </w:r>
      <w:r>
        <w:rPr>
          <w:b/>
        </w:rPr>
        <w:t>41</w:t>
      </w:r>
      <w:r>
        <w:rPr/>
        <w:t xml:space="preserve"> {{field-on:bible}} </w:t>
      </w:r>
      <w:r>
        <w:rPr>
          <w:strike/>
          <w:color w:val="808080"/>
        </w:rPr>
        <w:t>{und}</w:t>
      </w:r>
      <w:r>
        <w:rPr/>
        <w:t xml:space="preserve"> die ihm, als er in Galiläa war, nachgefolgt waren und ihm gedient hatten und viele andere </w:t>
      </w:r>
      <w:r>
        <w:rPr>
          <w:b/>
          <w:color w:val="808080"/>
        </w:rPr>
        <w:t>[</w:t>
      </w:r>
      <w:r>
        <w:rPr/>
        <w:t>Frauen</w:t>
      </w:r>
      <w:r>
        <w:rPr>
          <w:b/>
          <w:color w:val="808080"/>
        </w:rPr>
        <w:t>]</w:t>
      </w:r>
      <w:r>
        <w:rPr/>
        <w:t>, die mit ihm nach Jerusalem hinaufgestiegen</w:t>
      </w:r>
      <w:r>
        <w:rPr>
          <w:rStyle w:val="Funotenanker"/>
        </w:rPr>
        <w:footnoteReference w:customMarkFollows="1" w:id="2396"/>
        <w:t>i</w:t>
      </w:r>
      <w:r>
        <w:rPr/>
        <w:t xml:space="preserve"> waren.{{field-off:bible}} </w:t>
        <w:br/>
        <w:t>[[@BibleTOBIBLE:Mk 15:42]]</w:t>
      </w:r>
      <w:r>
        <w:rPr>
          <w:b/>
        </w:rPr>
        <w:t>42</w:t>
      </w:r>
      <w:r>
        <w:rPr/>
        <w:t xml:space="preserve"> {{field-on:bible}}Und als es Abend wurde, weil es der Tag der Vorbereitung war, das heißt: der Tag vor dem Sabbat,{{field-off:bible}} </w:t>
        <w:br/>
        <w:t>[[@BibleTOBIBLE:Mk 15:43]]</w:t>
      </w:r>
      <w:r>
        <w:rPr>
          <w:b/>
        </w:rPr>
        <w:t>43</w:t>
      </w:r>
      <w:r>
        <w:rPr/>
        <w:t xml:space="preserve"> {{field-on:bible}}kam Josef von Arimatäa, ein angesehenes Mitglied des Rates, der auch selbst das Reich Gottes angenommen hatte, wagte </w:t>
      </w:r>
      <w:r>
        <w:rPr>
          <w:b/>
          <w:color w:val="808080"/>
        </w:rPr>
        <w:t>[</w:t>
      </w:r>
      <w:r>
        <w:rPr/>
        <w:t>es</w:t>
      </w:r>
      <w:r>
        <w:rPr>
          <w:b/>
          <w:color w:val="808080"/>
        </w:rPr>
        <w:t>]</w:t>
      </w:r>
      <w:r>
        <w:rPr/>
        <w:t xml:space="preserve"> und ging hinein zu Pilatus, und </w:t>
      </w:r>
      <w:r>
        <w:rPr>
          <w:strike/>
          <w:color w:val="808080"/>
        </w:rPr>
        <w:t>{er}</w:t>
      </w:r>
      <w:r>
        <w:rPr/>
        <w:t xml:space="preserve"> bat um den Leichnam </w:t>
      </w:r>
      <w:r>
        <w:rPr>
          <w:color w:val="808080"/>
        </w:rPr>
        <w:t>(Leib)</w:t>
      </w:r>
      <w:r>
        <w:rPr/>
        <w:t xml:space="preserve"> von Jesus.{{field-off:bible}} </w:t>
        <w:br/>
        <w:t>[[@BibleTOBIBLE:Mk 15:44]]</w:t>
      </w:r>
      <w:r>
        <w:rPr>
          <w:b/>
        </w:rPr>
        <w:t>44</w:t>
      </w:r>
      <w:r>
        <w:rPr/>
        <w:t xml:space="preserve"> {{field-on:bible}}Pilatus aber wunderte sich, dass er schon gestorben sei, und er rief den Centurion herbei und fragte ihn, ob er lange gestorben sei.{{field-off:bible}} </w:t>
        <w:br/>
        <w:t>[[@BibleTOBIBLE:Mk 15:45]]</w:t>
      </w:r>
      <w:r>
        <w:rPr>
          <w:b/>
        </w:rPr>
        <w:t>45</w:t>
      </w:r>
      <w:r>
        <w:rPr/>
        <w:t xml:space="preserve"> {{field-on:bible}}Und als er </w:t>
      </w:r>
      <w:r>
        <w:rPr>
          <w:b/>
          <w:color w:val="808080"/>
        </w:rPr>
        <w:t>[</w:t>
      </w:r>
      <w:r>
        <w:rPr/>
        <w:t>es</w:t>
      </w:r>
      <w:r>
        <w:rPr>
          <w:b/>
          <w:color w:val="808080"/>
        </w:rPr>
        <w:t>]</w:t>
      </w:r>
      <w:r>
        <w:rPr/>
        <w:t xml:space="preserve"> von dem Centurion erfuhr, gab er Josef den Leichnam.{{field-off:bible}} </w:t>
        <w:br/>
        <w:t>[[@BibleTOBIBLE:Mk 15:46]]</w:t>
      </w:r>
      <w:r>
        <w:rPr>
          <w:b/>
        </w:rPr>
        <w:t>46</w:t>
      </w:r>
      <w:r>
        <w:rPr/>
        <w:t xml:space="preserve"> {{field-on:bible}}Und er kaufte ein Leinentuch und nahm ihn herab, wickelte </w:t>
      </w:r>
      <w:r>
        <w:rPr>
          <w:b/>
          <w:color w:val="808080"/>
        </w:rPr>
        <w:t>[</w:t>
      </w:r>
      <w:r>
        <w:rPr/>
        <w:t>ihn</w:t>
      </w:r>
      <w:r>
        <w:rPr>
          <w:b/>
          <w:color w:val="808080"/>
        </w:rPr>
        <w:t>]</w:t>
      </w:r>
      <w:r>
        <w:rPr/>
        <w:t xml:space="preserve"> in das Leinentuch, und </w:t>
      </w:r>
      <w:r>
        <w:rPr>
          <w:strike/>
          <w:color w:val="808080"/>
        </w:rPr>
        <w:t>{er}</w:t>
      </w:r>
      <w:r>
        <w:rPr/>
        <w:t xml:space="preserve"> legte ihn in ein Grab, das in einen Felsen gehauen war, und er rollte einen Stein vor den Eingang </w:t>
      </w:r>
      <w:r>
        <w:rPr>
          <w:color w:val="808080"/>
        </w:rPr>
        <w:t>(Tür)</w:t>
      </w:r>
      <w:r>
        <w:rPr/>
        <w:t xml:space="preserve"> des Grabes.{{field-off:bible}} </w:t>
        <w:br/>
        <w:t>[[@BibleTOBIBLE:Mk 15:47]]</w:t>
      </w:r>
      <w:r>
        <w:rPr>
          <w:b/>
        </w:rPr>
        <w:t>47</w:t>
      </w:r>
      <w:r>
        <w:rPr/>
        <w:t xml:space="preserve"> {{field-on:bible}}Aber Maria Magdalena und Maria, die </w:t>
      </w:r>
      <w:r>
        <w:rPr>
          <w:b/>
          <w:color w:val="808080"/>
        </w:rPr>
        <w:t>[</w:t>
      </w:r>
      <w:r>
        <w:rPr/>
        <w:t>Mutter</w:t>
      </w:r>
      <w:r>
        <w:rPr>
          <w:b/>
          <w:color w:val="808080"/>
        </w:rPr>
        <w:t>]</w:t>
      </w:r>
      <w:r>
        <w:rPr/>
        <w:t xml:space="preserve"> von Joses, sahen, wo er hingelegt worden war.{{field-off:bible}}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397"/>
        <w:t>Status</w:t>
      </w:r>
      <w:r>
        <w:rPr/>
        <w:t xml:space="preserve"> Und als der Sabbat vorüber war</w:t>
      </w:r>
      <w:r>
        <w:rPr>
          <w:rStyle w:val="Funotenanker"/>
        </w:rPr>
        <w:footnoteReference w:customMarkFollows="1" w:id="2398"/>
        <w:t>a</w:t>
      </w:r>
      <w:r>
        <w:rPr/>
        <w:t xml:space="preserve">, kauften Maria </w:t>
      </w:r>
      <w:r>
        <w:rPr>
          <w:b/>
          <w:color w:val="808080"/>
        </w:rPr>
        <w:t>[</w:t>
      </w:r>
      <w:r>
        <w:rPr/>
        <w:t>von, aus</w:t>
      </w:r>
      <w:r>
        <w:rPr>
          <w:b/>
          <w:color w:val="808080"/>
        </w:rPr>
        <w:t>]</w:t>
      </w:r>
      <w:r>
        <w:rPr/>
        <w:t xml:space="preserve"> Magdala und Maria, </w:t>
      </w:r>
      <w:r>
        <w:rPr>
          <w:b/>
          <w:color w:val="808080"/>
        </w:rPr>
        <w:t>[</w:t>
      </w:r>
      <w:r>
        <w:rPr/>
        <w:t>die Mutter</w:t>
      </w:r>
      <w:r>
        <w:rPr>
          <w:b/>
          <w:color w:val="808080"/>
        </w:rPr>
        <w:t>]</w:t>
      </w:r>
      <w:r>
        <w:rPr/>
        <w:t xml:space="preserve"> des Jakobus</w:t>
      </w:r>
      <w:r>
        <w:rPr>
          <w:rStyle w:val="Funotenanker"/>
        </w:rPr>
        <w:footnoteReference w:customMarkFollows="1" w:id="2399"/>
        <w:t>b</w:t>
      </w:r>
      <w:r>
        <w:rPr/>
        <w:t xml:space="preserve"> und Salome Spezereien </w:t>
      </w:r>
      <w:r>
        <w:rPr>
          <w:color w:val="808080"/>
        </w:rPr>
        <w:t>(wohlriechende Kräuter, Gewürze)</w:t>
      </w:r>
      <w:r>
        <w:rPr/>
        <w:t xml:space="preserve"> </w:t>
      </w:r>
      <w:r>
        <w:rPr>
          <w:rStyle w:val="Funotenanker"/>
        </w:rPr>
        <w:footnoteReference w:customMarkFollows="1" w:id="2400"/>
        <w:t>c</w:t>
      </w:r>
      <w:r>
        <w:rPr/>
        <w:t xml:space="preserve">, um </w:t>
      </w:r>
      <w:r>
        <w:rPr>
          <w:b/>
          <w:color w:val="808080"/>
        </w:rPr>
        <w:t>[</w:t>
      </w:r>
      <w:r>
        <w:rPr/>
        <w:t>zum Grab</w:t>
      </w:r>
      <w:r>
        <w:rPr>
          <w:b/>
          <w:color w:val="808080"/>
        </w:rPr>
        <w:t>]</w:t>
      </w:r>
      <w:r>
        <w:rPr/>
        <w:t xml:space="preserve"> zu gehen </w:t>
      </w:r>
      <w:r>
        <w:rPr>
          <w:b/>
          <w:color w:val="808080"/>
        </w:rPr>
        <w:t>[</w:t>
      </w:r>
      <w:r>
        <w:rPr/>
        <w:t>und</w:t>
      </w:r>
      <w:r>
        <w:rPr>
          <w:b/>
          <w:color w:val="808080"/>
        </w:rPr>
        <w:t>]</w:t>
      </w:r>
      <w:r>
        <w:rPr/>
        <w:t xml:space="preserve"> ihn zu salben.{{field-off:bible}} </w:t>
        <w:br/>
        <w:t>[[@BibleTOBIBLE:Mk 16:2]]</w:t>
      </w:r>
      <w:r>
        <w:rPr>
          <w:b/>
        </w:rPr>
        <w:t>2</w:t>
      </w:r>
      <w:r>
        <w:rPr/>
        <w:t xml:space="preserve"> {{field-on:bible}}Und sehr </w:t>
      </w:r>
      <w:r>
        <w:rPr>
          <w:color w:val="808080"/>
        </w:rPr>
        <w:t>(ganz)</w:t>
      </w:r>
      <w:r>
        <w:rPr/>
        <w:t xml:space="preserve"> früh am ersten </w:t>
      </w:r>
      <w:r>
        <w:rPr>
          <w:b/>
          <w:color w:val="808080"/>
        </w:rPr>
        <w:t>[</w:t>
      </w:r>
      <w:r>
        <w:rPr/>
        <w:t>Tag</w:t>
      </w:r>
      <w:r>
        <w:rPr>
          <w:b/>
          <w:color w:val="808080"/>
        </w:rPr>
        <w:t>]</w:t>
      </w:r>
      <w:r>
        <w:rPr/>
        <w:t xml:space="preserve"> der Woche </w:t>
      </w:r>
      <w:r>
        <w:rPr>
          <w:color w:val="808080"/>
        </w:rPr>
        <w:t>(am Sonntag)</w:t>
      </w:r>
      <w:r>
        <w:rPr/>
        <w:t xml:space="preserve"> </w:t>
      </w:r>
      <w:r>
        <w:rPr>
          <w:rStyle w:val="Funotenanker"/>
        </w:rPr>
        <w:footnoteReference w:customMarkFollows="1" w:id="2401"/>
        <w:t>d</w:t>
      </w:r>
      <w:r>
        <w:rPr/>
        <w:t xml:space="preserve"> gingen sie zum Grab, während </w:t>
      </w:r>
      <w:r>
        <w:rPr>
          <w:color w:val="808080"/>
        </w:rPr>
        <w:t>(als)</w:t>
      </w:r>
      <w:r>
        <w:rPr/>
        <w:t xml:space="preserve"> die Sonne aufging</w:t>
      </w:r>
      <w:r>
        <w:rPr>
          <w:rStyle w:val="Funotenanker"/>
        </w:rPr>
        <w:footnoteReference w:customMarkFollows="1" w:id="2402"/>
        <w:t>e</w:t>
      </w:r>
      <w:r>
        <w:rPr/>
        <w:t xml:space="preserve">.{{field-off:bible}} </w:t>
        <w:br/>
        <w:t>[[@BibleTOBIBLE:Mk 16:3]]</w:t>
      </w:r>
      <w:r>
        <w:rPr>
          <w:b/>
        </w:rPr>
        <w:t>3</w:t>
      </w:r>
      <w:r>
        <w:rPr/>
        <w:t xml:space="preserve"> {{field-on:bible}}Und sie sprachen zu einander: Wer wälzt </w:t>
      </w:r>
      <w:r>
        <w:rPr>
          <w:strike/>
          <w:color w:val="808080"/>
        </w:rPr>
        <w:t>{für}</w:t>
      </w:r>
      <w:r>
        <w:rPr/>
        <w:t xml:space="preserve"> uns den Stein aus der Tür des Grabes </w:t>
      </w:r>
      <w:r>
        <w:rPr>
          <w:color w:val="808080"/>
        </w:rPr>
        <w:t>(von der Tür des Grabes ab)</w:t>
      </w:r>
      <w:r>
        <w:rPr/>
        <w:t xml:space="preserve">?{{field-off:bible}} </w:t>
        <w:br/>
        <w:t>[[@BibleTOBIBLE:Mk 16:4]]</w:t>
      </w:r>
      <w:r>
        <w:rPr>
          <w:b/>
        </w:rPr>
        <w:t>4</w:t>
      </w:r>
      <w:r>
        <w:rPr/>
        <w:t xml:space="preserve"> {{field-on:bible}}Und als sie aufblickten</w:t>
      </w:r>
      <w:r>
        <w:rPr>
          <w:rStyle w:val="Funotenanker"/>
        </w:rPr>
        <w:footnoteReference w:customMarkFollows="1" w:id="2403"/>
        <w:t>f</w:t>
      </w:r>
      <w:r>
        <w:rPr/>
        <w:t xml:space="preserve">, nehmen sie wahr </w:t>
      </w:r>
      <w:r>
        <w:rPr>
          <w:color w:val="808080"/>
        </w:rPr>
        <w:t>(merken sie)</w:t>
      </w:r>
      <w:r>
        <w:rPr/>
        <w:t xml:space="preserve">, dass der Stein abgewälzt </w:t>
      </w:r>
      <w:r>
        <w:rPr>
          <w:color w:val="808080"/>
        </w:rPr>
        <w:t>(weggewälzt)</w:t>
      </w:r>
      <w:r>
        <w:rPr/>
        <w:t xml:space="preserve"> war; er war nämlich sehr groß.{{field-off:bible}} </w:t>
        <w:br/>
        <w:t>[[@BibleTOBIBLE:Mk 16:5]]</w:t>
      </w:r>
      <w:r>
        <w:rPr>
          <w:b/>
        </w:rPr>
        <w:t>5</w:t>
      </w:r>
      <w:r>
        <w:rPr/>
        <w:t xml:space="preserve"> {{field-on:bible}}Und nachdem sie hineingegangen waren</w:t>
      </w:r>
      <w:r>
        <w:rPr>
          <w:rStyle w:val="Funotenanker"/>
        </w:rPr>
        <w:footnoteReference w:customMarkFollows="1" w:id="2404"/>
        <w:t>g</w:t>
      </w:r>
      <w:r>
        <w:rPr/>
        <w:t xml:space="preserve"> in das Grab, sahen</w:t>
      </w:r>
      <w:r>
        <w:rPr>
          <w:rStyle w:val="Funotenanker"/>
        </w:rPr>
        <w:footnoteReference w:customMarkFollows="1" w:id="2405"/>
        <w:t>h</w:t>
      </w:r>
      <w:r>
        <w:rPr/>
        <w:t xml:space="preserve"> sie einen Jüngling zur Rechten </w:t>
      </w:r>
      <w:r>
        <w:rPr>
          <w:color w:val="808080"/>
        </w:rPr>
        <w:t>(auf der rechten Seite)</w:t>
      </w:r>
      <w:r>
        <w:rPr/>
        <w:t xml:space="preserve"> </w:t>
      </w:r>
      <w:r>
        <w:rPr>
          <w:rStyle w:val="Funotenanker"/>
        </w:rPr>
        <w:footnoteReference w:customMarkFollows="1" w:id="2406"/>
        <w:t>i</w:t>
      </w:r>
      <w:r>
        <w:rPr/>
        <w:t xml:space="preserve"> sitzen, der ein weißes Gewand an</w:t>
      </w:r>
      <w:r>
        <w:rPr>
          <w:color w:val="808080"/>
        </w:rPr>
        <w:t>(gezogen)</w:t>
      </w:r>
      <w:r>
        <w:rPr/>
        <w:t xml:space="preserve"> </w:t>
      </w:r>
      <w:r>
        <w:rPr>
          <w:rStyle w:val="Funotenanker"/>
        </w:rPr>
        <w:footnoteReference w:customMarkFollows="1" w:id="2407"/>
        <w:t>j</w:t>
      </w:r>
      <w:r>
        <w:rPr/>
        <w:t xml:space="preserve"> hatte, und sie entsetzten sich </w:t>
      </w:r>
      <w:r>
        <w:rPr>
          <w:color w:val="808080"/>
        </w:rPr>
        <w:t>(waren sehr erstaunt)</w:t>
      </w:r>
      <w:r>
        <w:rPr/>
        <w:t xml:space="preserve">.{{field-off:bible}} </w:t>
        <w:br/>
        <w:t>[[@BibleTOBIBLE:Mk 16:6]]</w:t>
      </w:r>
      <w:r>
        <w:rPr>
          <w:b/>
        </w:rPr>
        <w:t>6</w:t>
      </w:r>
      <w:r>
        <w:rPr/>
        <w:t xml:space="preserve"> {{field-on:bible}}Er aber spricht</w:t>
      </w:r>
      <w:r>
        <w:rPr>
          <w:rStyle w:val="Funotenanker"/>
        </w:rPr>
        <w:footnoteReference w:customMarkFollows="1" w:id="2408"/>
        <w:t>k</w:t>
      </w:r>
      <w:r>
        <w:rPr/>
        <w:t xml:space="preserve"> zu ihnen: Entsetzt euch nicht </w:t>
      </w:r>
      <w:r>
        <w:rPr>
          <w:color w:val="808080"/>
        </w:rPr>
        <w:t>(Seid nicht erstaunt)</w:t>
      </w:r>
      <w:r>
        <w:rPr/>
        <w:t xml:space="preserve">! Ihr sucht Jesus, den Nazarener, den Gekreuzigten. Er ist auferstanden </w:t>
      </w:r>
      <w:r>
        <w:rPr>
          <w:color w:val="808080"/>
        </w:rPr>
        <w:t>(er wurde auferweckt)</w:t>
      </w:r>
      <w:r>
        <w:rPr/>
        <w:t xml:space="preserve"> </w:t>
      </w:r>
      <w:r>
        <w:rPr>
          <w:rStyle w:val="Funotenanker"/>
        </w:rPr>
        <w:footnoteReference w:customMarkFollows="1" w:id="2409"/>
        <w:t>l</w:t>
      </w:r>
      <w:r>
        <w:rPr/>
        <w:t xml:space="preserve">, er ist nicht hier. Hier </w:t>
      </w:r>
      <w:r>
        <w:rPr>
          <w:b/>
          <w:color w:val="808080"/>
        </w:rPr>
        <w:t>[</w:t>
      </w:r>
      <w:r>
        <w:rPr/>
        <w:t>ist</w:t>
      </w:r>
      <w:r>
        <w:rPr>
          <w:b/>
          <w:color w:val="808080"/>
        </w:rPr>
        <w:t>]</w:t>
      </w:r>
      <w:r>
        <w:rPr/>
        <w:t xml:space="preserve"> </w:t>
      </w:r>
      <w:r>
        <w:rPr>
          <w:color w:val="808080"/>
        </w:rPr>
        <w:t>(Siehe)</w:t>
      </w:r>
      <w:r>
        <w:rPr/>
        <w:t xml:space="preserve"> der Ort </w:t>
      </w:r>
      <w:r>
        <w:rPr>
          <w:color w:val="808080"/>
        </w:rPr>
        <w:t>(die Stelle)</w:t>
      </w:r>
      <w:r>
        <w:rPr/>
        <w:t xml:space="preserve">, wo sie ihn hingelegt haben.{{field-off:bible}} </w:t>
        <w:br/>
        <w:t>[[@BibleTOBIBLE:Mk 16:7]]</w:t>
      </w:r>
      <w:r>
        <w:rPr>
          <w:b/>
        </w:rPr>
        <w:t>7</w:t>
      </w:r>
      <w:r>
        <w:rPr/>
        <w:t xml:space="preserve"> {{field-on:bible}}Aber los! </w:t>
      </w:r>
      <w:r>
        <w:rPr>
          <w:color w:val="808080"/>
        </w:rPr>
        <w:t>(Auf!, Geht fort, Doch geht)</w:t>
      </w:r>
      <w:r>
        <w:rPr/>
        <w:t xml:space="preserve">, sagt </w:t>
      </w:r>
      <w:r>
        <w:rPr>
          <w:b/>
          <w:color w:val="808080"/>
        </w:rPr>
        <w:t>[</w:t>
      </w:r>
      <w:r>
        <w:rPr/>
        <w:t>es</w:t>
      </w:r>
      <w:r>
        <w:rPr>
          <w:b/>
          <w:color w:val="808080"/>
        </w:rPr>
        <w:t>]</w:t>
      </w:r>
      <w:r>
        <w:rPr/>
        <w:t xml:space="preserve"> seinen Jüngern und Petrus, dass er</w:t>
      </w:r>
      <w:r>
        <w:rPr>
          <w:rStyle w:val="Funotenanker"/>
        </w:rPr>
        <w:footnoteReference w:customMarkFollows="1" w:id="2410"/>
        <w:t>m</w:t>
      </w:r>
      <w:r>
        <w:rPr/>
        <w:t xml:space="preserve"> euch vorangeht nach Galiläa</w:t>
      </w:r>
      <w:r>
        <w:rPr>
          <w:rStyle w:val="Funotenanker"/>
        </w:rPr>
        <w:footnoteReference w:customMarkFollows="1" w:id="2411"/>
        <w:t>n</w:t>
      </w:r>
      <w:r>
        <w:rPr/>
        <w:t xml:space="preserve">. Dort werdet ihr ihn sehen, wie er euch sagte.{{field-off:bible}} </w:t>
        <w:br/>
        <w:t>[[@BibleTOBIBLE:Mk 16:8]]</w:t>
      </w:r>
      <w:r>
        <w:rPr>
          <w:b/>
        </w:rPr>
        <w:t>8</w:t>
      </w:r>
      <w:r>
        <w:rPr/>
        <w:t xml:space="preserve"> {{field-on:bible}}Und sie gingen hinaus</w:t>
      </w:r>
      <w:r>
        <w:rPr>
          <w:rStyle w:val="Funotenanker"/>
        </w:rPr>
        <w:footnoteReference w:customMarkFollows="1" w:id="2412"/>
        <w:t>o</w:t>
      </w:r>
      <w:r>
        <w:rPr/>
        <w:t xml:space="preserve"> und flohen von dem Grab, sie waren nämlich ergriffen von </w:t>
      </w:r>
      <w:r>
        <w:rPr>
          <w:color w:val="808080"/>
        </w:rPr>
        <w:t>(hatten)</w:t>
      </w:r>
      <w:r>
        <w:rPr/>
        <w:t xml:space="preserve"> Angst </w:t>
      </w:r>
      <w:r>
        <w:rPr>
          <w:color w:val="808080"/>
        </w:rPr>
        <w:t>(Zittern)</w:t>
      </w:r>
      <w:r>
        <w:rPr/>
        <w:t xml:space="preserve"> und Entsetzen </w:t>
      </w:r>
      <w:r>
        <w:rPr>
          <w:color w:val="808080"/>
        </w:rPr>
        <w:t>(Bestürzung)</w:t>
      </w:r>
      <w:r>
        <w:rPr/>
        <w:t xml:space="preserve"> </w:t>
      </w:r>
      <w:r>
        <w:rPr>
          <w:rStyle w:val="Funotenanker"/>
        </w:rPr>
        <w:footnoteReference w:customMarkFollows="1" w:id="2413"/>
        <w:t>p</w:t>
      </w:r>
      <w:r>
        <w:rPr/>
        <w:t xml:space="preserve">. Und sie sagten keinem </w:t>
      </w:r>
      <w:r>
        <w:rPr>
          <w:color w:val="808080"/>
        </w:rPr>
        <w:t>(niemandem)</w:t>
      </w:r>
      <w:r>
        <w:rPr/>
        <w:t xml:space="preserve"> etwas; denn</w:t>
      </w:r>
      <w:r>
        <w:rPr>
          <w:rStyle w:val="Funotenanker"/>
        </w:rPr>
        <w:footnoteReference w:customMarkFollows="1" w:id="2414"/>
        <w:t>q</w:t>
      </w:r>
      <w:r>
        <w:rPr/>
        <w:t xml:space="preserve"> sie fürchteten sich. </w:t>
      </w:r>
      <w:r>
        <w:rPr>
          <w:rStyle w:val="Funotenanker"/>
        </w:rPr>
        <w:footnoteReference w:customMarkFollows="1" w:id="2415"/>
        <w:t>r</w:t>
      </w:r>
      <w:r>
        <w:rPr/>
        <w:t xml:space="preserve"> {{field-off:bible}} </w:t>
        <w:br/>
        <w:t>[[@BibleTOBIBLE:Mk 16:9]]</w:t>
      </w:r>
      <w:r>
        <w:rPr>
          <w:b/>
        </w:rPr>
        <w:t>9</w:t>
      </w:r>
      <w:r>
        <w:rPr/>
        <w:t xml:space="preserve"> {{field-on:bible}}Nachdem </w:t>
      </w:r>
      <w:r>
        <w:rPr>
          <w:color w:val="808080"/>
        </w:rPr>
        <w:t>(als, weil)</w:t>
      </w:r>
      <w:r>
        <w:rPr/>
        <w:t xml:space="preserve"> </w:t>
      </w:r>
      <w:r>
        <w:rPr>
          <w:rStyle w:val="Funotenanker"/>
        </w:rPr>
        <w:footnoteReference w:customMarkFollows="1" w:id="2416"/>
        <w:t>s</w:t>
      </w:r>
      <w:r>
        <w:rPr/>
        <w:t xml:space="preserve"> er auferstanden war am frühen Morgen </w:t>
      </w:r>
      <w:r>
        <w:rPr>
          <w:color w:val="808080"/>
        </w:rPr>
        <w:t>(im Morgengrauen)</w:t>
      </w:r>
      <w:r>
        <w:rPr/>
        <w:t xml:space="preserve"> des ersten Tags der Woche </w:t>
      </w:r>
      <w:r>
        <w:rPr>
          <w:color w:val="808080"/>
        </w:rPr>
        <w:t>(des Sabbats)</w:t>
      </w:r>
      <w:r>
        <w:rPr/>
        <w:t xml:space="preserve">,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w:t>
      </w:r>
      <w:r>
        <w:rPr>
          <w:color w:val="808080"/>
        </w:rPr>
        <w:t>(zu verkündigen)</w:t>
      </w:r>
      <w:r>
        <w:rPr/>
        <w:t xml:space="preserve">, die bei ihm gewesen waren, trauerten sie weinten sie.{{field-off:bible}} </w:t>
        <w:br/>
        <w:t>[[@BibleTOBIBLE:Mk 16:11]]</w:t>
      </w:r>
      <w:r>
        <w:rPr>
          <w:b/>
        </w:rPr>
        <w:t>11</w:t>
      </w:r>
      <w:r>
        <w:rPr/>
        <w:t xml:space="preserve"> {{field-on:bible}}Und eben diese – obwohl </w:t>
      </w:r>
      <w:r>
        <w:rPr>
          <w:color w:val="808080"/>
        </w:rPr>
        <w:t>(als, nachdem)</w:t>
      </w:r>
      <w:r>
        <w:rPr/>
        <w:t xml:space="preserve"> sie hörten, dass </w:t>
      </w:r>
      <w:r>
        <w:rPr>
          <w:b/>
          <w:color w:val="808080"/>
        </w:rPr>
        <w:t>[</w:t>
      </w:r>
      <w:r>
        <w:rPr/>
        <w:t>Jesus</w:t>
      </w:r>
      <w:r>
        <w:rPr>
          <w:b/>
          <w:color w:val="808080"/>
        </w:rPr>
        <w:t>]</w:t>
      </w:r>
      <w:r>
        <w:rPr/>
        <w:t xml:space="preserve"> lebte und von ihr gesehen worden war, da glaubten sie </w:t>
      </w:r>
      <w:r>
        <w:rPr>
          <w:b/>
          <w:color w:val="808080"/>
        </w:rPr>
        <w:t>[</w:t>
      </w:r>
      <w:r>
        <w:rPr/>
        <w:t>es ihr</w:t>
      </w:r>
      <w:r>
        <w:rPr>
          <w:b/>
          <w:color w:val="808080"/>
        </w:rPr>
        <w:t>]</w:t>
      </w:r>
      <w:r>
        <w:rPr/>
        <w:t xml:space="preserve"> nicht.{{field-off:bible}} </w:t>
        <w:br/>
        <w:t>[[@BibleTOBIBLE:Mk 16:12]]</w:t>
      </w:r>
      <w:r>
        <w:rPr>
          <w:b/>
        </w:rPr>
        <w:t>12</w:t>
      </w:r>
      <w:r>
        <w:rPr/>
        <w:t xml:space="preserve"> {{field-on:bible}}Danach </w:t>
      </w:r>
      <w:r>
        <w:rPr>
          <w:strike/>
          <w:color w:val="808080"/>
        </w:rPr>
        <w:t>{aber}</w:t>
      </w:r>
      <w:r>
        <w:rPr/>
        <w:t xml:space="preserve"> erschien er zwei von ihnen, als </w:t>
      </w:r>
      <w:r>
        <w:rPr>
          <w:color w:val="808080"/>
        </w:rPr>
        <w:t>(während)</w:t>
      </w:r>
      <w:r>
        <w:rPr/>
        <w:t xml:space="preserve"> sie unterwegs waren, in anderer Gestalt, als </w:t>
      </w:r>
      <w:r>
        <w:rPr>
          <w:color w:val="808080"/>
        </w:rPr>
        <w:t>(während)</w:t>
      </w:r>
      <w:r>
        <w:rPr/>
        <w:t xml:space="preserve"> sie aufs Land </w:t>
      </w:r>
      <w:r>
        <w:rPr>
          <w:b/>
          <w:color w:val="808080"/>
        </w:rPr>
        <w:t>[</w:t>
      </w:r>
      <w:r>
        <w:rPr/>
        <w:t>hinaus</w:t>
      </w:r>
      <w:r>
        <w:rPr>
          <w:b/>
          <w:color w:val="808080"/>
        </w:rPr>
        <w:t>]</w:t>
      </w:r>
      <w:r>
        <w:rPr/>
        <w:t xml:space="preserve">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w:t>
      </w:r>
      <w:r>
        <w:rPr>
          <w:b/>
          <w:color w:val="808080"/>
        </w:rPr>
        <w:t>[</w:t>
      </w:r>
      <w:r>
        <w:rPr/>
        <w:t>ebenfalls</w:t>
      </w:r>
      <w:r>
        <w:rPr>
          <w:b/>
          <w:color w:val="808080"/>
        </w:rPr>
        <w:t>]</w:t>
      </w:r>
      <w:r>
        <w:rPr/>
        <w:t xml:space="preserve"> nicht.</w:t>
      </w:r>
      <w:r>
        <w:rPr>
          <w:position w:val="8"/>
          <w:sz w:val="19"/>
        </w:rPr>
        <w:t>[[ ℘ &gt;&gt; BibleTOBIBLE:Lk 24:33]]</w:t>
      </w:r>
      <w:r>
        <w:rPr/>
        <w:t xml:space="preserve"> {{field-off:bible}} </w:t>
        <w:br/>
        <w:t>[[@BibleTOBIBLE:Mk 16:14]]</w:t>
      </w:r>
      <w:r>
        <w:rPr>
          <w:b/>
        </w:rPr>
        <w:t>14</w:t>
      </w:r>
      <w:r>
        <w:rPr/>
        <w:t xml:space="preserve"> {{field-on:bible}}Später wiederum </w:t>
      </w:r>
      <w:r>
        <w:rPr>
          <w:color w:val="808080"/>
        </w:rPr>
        <w:t>(aber)</w:t>
      </w:r>
      <w:r>
        <w:rPr/>
        <w:t xml:space="preserve">, als sie gerade </w:t>
      </w:r>
      <w:r>
        <w:rPr>
          <w:b/>
          <w:color w:val="808080"/>
        </w:rPr>
        <w:t>[</w:t>
      </w:r>
      <w:r>
        <w:rPr/>
        <w:t>zu Tische</w:t>
      </w:r>
      <w:r>
        <w:rPr>
          <w:b/>
          <w:color w:val="808080"/>
        </w:rPr>
        <w:t>]</w:t>
      </w:r>
      <w:r>
        <w:rPr/>
        <w:t xml:space="preserve"> lagen </w:t>
      </w:r>
      <w:r>
        <w:rPr>
          <w:color w:val="808080"/>
        </w:rPr>
        <w:t>(gemeinsam aßen)</w:t>
      </w:r>
      <w:r>
        <w:rPr/>
        <w:t xml:space="preserve"> </w:t>
      </w:r>
      <w:r>
        <w:rPr>
          <w:rStyle w:val="Funotenanker"/>
        </w:rPr>
        <w:footnoteReference w:customMarkFollows="1" w:id="2417"/>
        <w:t>t</w:t>
      </w:r>
      <w:r>
        <w:rPr/>
        <w:t xml:space="preserve"> erschien er den elf </w:t>
      </w:r>
      <w:r>
        <w:rPr>
          <w:b/>
          <w:color w:val="808080"/>
        </w:rPr>
        <w:t>[</w:t>
      </w:r>
      <w:r>
        <w:rPr/>
        <w:t>Jüngern</w:t>
      </w:r>
      <w:r>
        <w:rPr>
          <w:b/>
          <w:color w:val="808080"/>
        </w:rPr>
        <w:t>]</w:t>
      </w:r>
      <w:r>
        <w:rPr/>
        <w:t xml:space="preserve">, und er tadelte ihren Unglauben </w:t>
      </w:r>
      <w:r>
        <w:rPr>
          <w:color w:val="808080"/>
        </w:rPr>
        <w:t>(ihr Mißtrauen, ihre Treulosigkeit)</w:t>
      </w:r>
      <w:r>
        <w:rPr/>
        <w:t xml:space="preserve"> und ihre Hartherzigkeit, dass sie denen, die ihn auferstanden gesehen hatten, nicht geglaubt </w:t>
      </w:r>
      <w:r>
        <w:rPr>
          <w:color w:val="808080"/>
        </w:rPr>
        <w:t>(vertraut)</w:t>
      </w:r>
      <w:r>
        <w:rPr/>
        <w:t xml:space="preserve"> hatten.</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ganze Welt hinaus und macht meine Freuden-Botschaft bekannt </w:t>
      </w:r>
      <w:r>
        <w:rPr>
          <w:color w:val="808080"/>
        </w:rPr>
        <w:t>(verkündet mein Evangelium)</w:t>
      </w:r>
      <w:r>
        <w:rPr/>
        <w:t xml:space="preserve"> der ganzen Schöpfung.</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customMarkFollows="1" w:id="2418"/>
        <w:t>u</w:t>
      </w:r>
      <w:r>
        <w:rPr/>
        <w:t xml:space="preserve"> glaubt </w:t>
      </w:r>
      <w:r>
        <w:rPr>
          <w:color w:val="808080"/>
        </w:rPr>
        <w:t>(vertraut, treu ist)</w:t>
      </w:r>
      <w:r>
        <w:rPr/>
        <w:t xml:space="preserve"> und sich taufen lässt, wird gerettet werden. Wer dagegen nicht glaubt </w:t>
      </w:r>
      <w:r>
        <w:rPr>
          <w:color w:val="808080"/>
        </w:rPr>
        <w:t>(nicht vertraut, treulos ist)</w:t>
      </w:r>
      <w:r>
        <w:rPr/>
        <w:t xml:space="preserve">, wird gerichtet werden.{{field-off:bible}} </w:t>
        <w:br/>
        <w:t>[[@BibleTOBIBLE:Mk 16:17]]</w:t>
      </w:r>
      <w:r>
        <w:rPr>
          <w:b/>
        </w:rPr>
        <w:t>17</w:t>
      </w:r>
      <w:r>
        <w:rPr/>
        <w:t xml:space="preserve"> {{field-on:bible}}Diese Wunder </w:t>
      </w:r>
      <w:r>
        <w:rPr>
          <w:color w:val="808080"/>
        </w:rPr>
        <w:t>(Zeichen)</w:t>
      </w:r>
      <w:r>
        <w:rPr/>
        <w:t xml:space="preserve"> </w:t>
      </w:r>
      <w:r>
        <w:rPr>
          <w:strike/>
          <w:color w:val="808080"/>
        </w:rPr>
        <w:t>{aber}</w:t>
      </w:r>
      <w:r>
        <w:rPr/>
        <w:t xml:space="preserve"> werden die Glaubenden begleiten: In meinem Namen werden sie Dämonen </w:t>
      </w:r>
      <w:r>
        <w:rPr>
          <w:color w:val="808080"/>
        </w:rPr>
        <w:t>(Geister, übernatürliche Wesen)</w:t>
      </w:r>
      <w:r>
        <w:rPr/>
        <w:t xml:space="preserve"> austreiben; in neuen </w:t>
      </w:r>
      <w:r>
        <w:rPr>
          <w:color w:val="808080"/>
        </w:rPr>
        <w:t>(d.h. unbekannten)</w:t>
      </w:r>
      <w:r>
        <w:rPr/>
        <w:t xml:space="preserve"> Sprachen </w:t>
      </w:r>
      <w:r>
        <w:rPr>
          <w:color w:val="808080"/>
        </w:rPr>
        <w:t>(Zungen)</w:t>
      </w:r>
      <w:r>
        <w:rPr/>
        <w:t xml:space="preserve"> werden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Schlangen aufheben</w:t>
      </w:r>
      <w:r>
        <w:rPr>
          <w:rStyle w:val="Funotenanker"/>
        </w:rPr>
        <w:footnoteReference w:customMarkFollows="1" w:id="2419"/>
        <w:t>v</w:t>
      </w:r>
      <w:r>
        <w:rPr/>
        <w:t xml:space="preserve">; und wenn sie etwas Tödliches tranken, werden sie keinesfalls sterben; bei Kranken werden sie Hände auflegen und es wird </w:t>
      </w:r>
      <w:r>
        <w:rPr>
          <w:strike/>
          <w:color w:val="808080"/>
        </w:rPr>
        <w:t>{ihnen}</w:t>
      </w:r>
      <w:r>
        <w:rPr/>
        <w:t xml:space="preserve"> </w:t>
      </w:r>
      <w:r>
        <w:rPr>
          <w:b/>
          <w:color w:val="808080"/>
        </w:rPr>
        <w:t>[</w:t>
      </w:r>
      <w:r>
        <w:rPr/>
        <w:t>diesen wieder</w:t>
      </w:r>
      <w:r>
        <w:rPr>
          <w:b/>
          <w:color w:val="808080"/>
        </w:rPr>
        <w:t>]</w:t>
      </w:r>
      <w:r>
        <w:rPr/>
        <w:t xml:space="preserve">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w:t>
      </w:r>
      <w:r>
        <w:rPr>
          <w:strike/>
          <w:color w:val="808080"/>
        </w:rPr>
        <w:t>{nun zwar}</w:t>
      </w:r>
      <w:r>
        <w:rPr/>
        <w:t xml:space="preserve"> nach diesem Reden in den Himmel aufgenommen und setzte sich zu Gottes rechter Seite,</w:t>
      </w:r>
      <w:r>
        <w:rPr>
          <w:position w:val="8"/>
          <w:sz w:val="19"/>
        </w:rPr>
        <w:t>[[ ℘ &gt;&gt; BibleTOBIBLE:Lk 24:51]]</w:t>
      </w:r>
      <w:r>
        <w:rPr/>
        <w:t xml:space="preserve"> {{field-off:bible}} </w:t>
        <w:br/>
        <w:t>[[@BibleTOBIBLE:Mk 16:20]]</w:t>
      </w:r>
      <w:r>
        <w:rPr>
          <w:b/>
        </w:rPr>
        <w:t>20</w:t>
      </w:r>
      <w:r>
        <w:rPr/>
        <w:t xml:space="preserve"> {{field-on:bible}}jene aber gingen hinaus </w:t>
      </w:r>
      <w:r>
        <w:rPr>
          <w:b/>
          <w:color w:val="808080"/>
        </w:rPr>
        <w:t>[</w:t>
      </w:r>
      <w:r>
        <w:rPr/>
        <w:t>in die Welt</w:t>
      </w:r>
      <w:r>
        <w:rPr>
          <w:b/>
          <w:color w:val="808080"/>
        </w:rPr>
        <w:t>]</w:t>
      </w:r>
      <w:r>
        <w:rPr/>
        <w:t xml:space="preserve"> und verkündeten </w:t>
      </w:r>
      <w:r>
        <w:rPr>
          <w:color w:val="808080"/>
        </w:rPr>
        <w:t>(predigten)</w:t>
      </w:r>
      <w:r>
        <w:rPr/>
        <w:t xml:space="preserve"> überall , wobei</w:t>
      </w:r>
      <w:r>
        <w:rPr>
          <w:rStyle w:val="Funotenanker"/>
        </w:rPr>
        <w:footnoteReference w:customMarkFollows="1" w:id="2420"/>
        <w:t>w</w:t>
      </w:r>
      <w:r>
        <w:rPr/>
        <w:t xml:space="preserve"> der Herr mitwirkte und </w:t>
      </w:r>
      <w:r>
        <w:rPr>
          <w:b/>
          <w:color w:val="808080"/>
        </w:rPr>
        <w:t>[</w:t>
      </w:r>
      <w:r>
        <w:rPr/>
        <w:t>ihre</w:t>
      </w:r>
      <w:r>
        <w:rPr>
          <w:b/>
          <w:color w:val="808080"/>
        </w:rPr>
        <w:t>]</w:t>
      </w:r>
      <w:r>
        <w:rPr/>
        <w:t xml:space="preserve"> Rede </w:t>
      </w:r>
      <w:r>
        <w:rPr>
          <w:color w:val="808080"/>
        </w:rPr>
        <w:t>(das Wort)</w:t>
      </w:r>
      <w:r>
        <w:rPr/>
        <w:t xml:space="preserve"> dadurch bekräftigte, dass sich Wunder einstellten </w:t>
      </w:r>
      <w:r>
        <w:rPr>
          <w:color w:val="808080"/>
        </w:rPr>
        <w:t>(durch nachfolgende Zeichen stärkte/bestätigte)</w:t>
      </w:r>
      <w:r>
        <w:rPr/>
        <w:t xml:space="preserve">.{{field-off:bible}}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2421"/>
        <w:t>Status</w:t>
      </w:r>
      <w:r>
        <w:rPr/>
        <w:t xml:space="preserve"> Und Maria</w:t>
      </w:r>
      <w:r>
        <w:rPr>
          <w:rStyle w:val="Funotenanker"/>
        </w:rPr>
        <w:footnoteReference w:customMarkFollows="1" w:id="2422"/>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2423"/>
        <w:t>b</w:t>
      </w:r>
      <w:r>
        <w:rPr/>
        <w:t xml:space="preserve"> preist </w:t>
      </w:r>
      <w:r>
        <w:rPr>
          <w:color w:val="808080"/>
        </w:rPr>
        <w:t>(macht groß</w:t>
      </w:r>
      <w:r>
        <w:rPr/>
        <w:t xml:space="preserve"> </w:t>
      </w:r>
      <w:r>
        <w:rPr>
          <w:rStyle w:val="Funotenanker"/>
        </w:rPr>
        <w:footnoteReference w:customMarkFollows="1" w:id="2424"/>
        <w:t>c</w:t>
      </w:r>
      <w:r>
        <w:rPr/>
        <w:t xml:space="preserve"> </w:t>
      </w:r>
      <w:r>
        <w:rPr>
          <w:color w:val="808080"/>
        </w:rPr>
        <w:t>, dankt)</w:t>
      </w:r>
      <w:r>
        <w:rPr/>
        <w:t xml:space="preserve"> </w:t>
      </w:r>
      <w:r>
        <w:rPr>
          <w:rStyle w:val="Funotenanker"/>
        </w:rPr>
        <w:footnoteReference w:customMarkFollows="1" w:id="2425"/>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2426"/>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2427"/>
        <w:t>f</w:t>
      </w:r>
      <w:r>
        <w:rPr/>
        <w:t xml:space="preserve"> seiner Sklavin </w:t>
      </w:r>
      <w:r>
        <w:rPr>
          <w:color w:val="808080"/>
        </w:rPr>
        <w:t>(Magd)</w:t>
      </w:r>
      <w:r>
        <w:rPr/>
        <w:t xml:space="preserve"> </w:t>
      </w:r>
      <w:r>
        <w:rPr>
          <w:rStyle w:val="Funotenanker"/>
        </w:rPr>
        <w:footnoteReference w:customMarkFollows="1" w:id="2428"/>
        <w:t>g</w:t>
      </w:r>
      <w:r>
        <w:rPr/>
        <w:t xml:space="preserve"> hat er geschaut </w:t>
      </w:r>
      <w:r>
        <w:rPr>
          <w:color w:val="808080"/>
        </w:rPr>
        <w:t>(sich angenommen)</w:t>
      </w:r>
      <w:r>
        <w:rPr/>
        <w:t xml:space="preserve"> </w:t>
      </w:r>
      <w:r>
        <w:rPr>
          <w:rStyle w:val="Funotenanker"/>
        </w:rPr>
        <w:footnoteReference w:customMarkFollows="1" w:id="2429"/>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2430"/>
        <w:t>i</w:t>
      </w:r>
      <w:r>
        <w:rPr/>
        <w:t xml:space="preserve"> von nun an halten für glücklich </w:t>
      </w:r>
      <w:r>
        <w:rPr>
          <w:color w:val="808080"/>
        </w:rPr>
        <w:t>(werden mich für glücklich halten)</w:t>
      </w:r>
      <w:r>
        <w:rPr/>
        <w:t xml:space="preserve"> </w:t>
      </w:r>
      <w:r>
        <w:rPr>
          <w:rStyle w:val="Funotenanker"/>
        </w:rPr>
        <w:footnoteReference w:customMarkFollows="1" w:id="2431"/>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2432"/>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2433"/>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2434"/>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2435"/>
        <w:t>n</w:t>
      </w:r>
      <w:r>
        <w:rPr/>
        <w:t xml:space="preserve"> seine Huld </w:t>
      </w:r>
      <w:r>
        <w:rPr>
          <w:color w:val="808080"/>
        </w:rPr>
        <w:t>(Gnade, Erbarmen, Barmherzigkeit)</w:t>
      </w:r>
      <w:r>
        <w:rPr/>
        <w:t xml:space="preserve"> </w:t>
      </w:r>
      <w:r>
        <w:rPr>
          <w:rStyle w:val="Funotenanker"/>
        </w:rPr>
        <w:footnoteReference w:customMarkFollows="1" w:id="2436"/>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2437"/>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2438"/>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2439"/>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2440"/>
        <w:t>s</w:t>
      </w:r>
      <w:r>
        <w:rPr/>
        <w:t xml:space="preserve"> mit seinem Arm </w:t>
      </w:r>
      <w:r>
        <w:rPr>
          <w:color w:val="808080"/>
        </w:rPr>
        <w:t>(Macht)</w:t>
      </w:r>
      <w:r>
        <w:rPr/>
        <w:t>:</w:t>
      </w:r>
      <w:r>
        <w:rPr>
          <w:rStyle w:val="Funotenanker"/>
        </w:rPr>
        <w:footnoteReference w:customMarkFollows="1" w:id="2441"/>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2442"/>
        <w:t>u</w:t>
      </w:r>
      <w:r>
        <w:rPr/>
        <w:t xml:space="preserve"> Hochmütige </w:t>
      </w:r>
      <w:r>
        <w:rPr>
          <w:color w:val="808080"/>
        </w:rPr>
        <w:t>(Stolze)</w:t>
      </w:r>
      <w:r>
        <w:rPr/>
        <w:t xml:space="preserve"> </w:t>
      </w:r>
      <w:r>
        <w:rPr>
          <w:rStyle w:val="Funotenanker"/>
        </w:rPr>
        <w:footnoteReference w:customMarkFollows="1" w:id="2443"/>
        <w:t>v</w:t>
      </w:r>
      <w:r>
        <w:rPr/>
        <w:t xml:space="preserve"> an der Gesinnung ihres Gemüts </w:t>
      </w:r>
      <w:r>
        <w:rPr>
          <w:color w:val="808080"/>
        </w:rPr>
        <w:t>(Hochmütige)</w:t>
      </w:r>
      <w:r>
        <w:rPr/>
        <w:t xml:space="preserve"> </w:t>
      </w:r>
      <w:r>
        <w:rPr>
          <w:rStyle w:val="Funotenanker"/>
        </w:rPr>
        <w:footnoteReference w:customMarkFollows="1" w:id="2444"/>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2445"/>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2446"/>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2447"/>
        <w:t>z</w:t>
      </w:r>
      <w:r>
        <w:rPr/>
        <w:t xml:space="preserve"> bereichert </w:t>
      </w:r>
      <w:r>
        <w:rPr>
          <w:color w:val="808080"/>
        </w:rPr>
        <w:t>(füllt, sättigt)</w:t>
      </w:r>
      <w:r>
        <w:rPr/>
        <w:t xml:space="preserve"> </w:t>
      </w:r>
      <w:r>
        <w:rPr>
          <w:rStyle w:val="Funotenanker"/>
        </w:rPr>
        <w:footnoteReference w:customMarkFollows="1" w:id="2448"/>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2449"/>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2450"/>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2451"/>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2452"/>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2453"/>
        <w:t>Status</w:t>
      </w:r>
      <w:r>
        <w:rPr/>
        <w:t xml:space="preserve"> Im fünfzehnten Herrschaftsjahr </w:t>
      </w:r>
      <w:r>
        <w:rPr>
          <w:strike/>
          <w:color w:val="808080"/>
        </w:rPr>
        <w:t>{aber}</w:t>
      </w:r>
      <w:r>
        <w:rPr/>
        <w:t xml:space="preserve"> des Kaisers Tiberius, als</w:t>
      </w:r>
      <w:r>
        <w:rPr>
          <w:rStyle w:val="Funotenanker"/>
        </w:rPr>
        <w:footnoteReference w:customMarkFollows="1" w:id="2454"/>
        <w:t>a</w:t>
      </w:r>
      <w:r>
        <w:rPr/>
        <w:t xml:space="preserve"> Pontius Pilatus über Judäa herrschte und als Herodes Vierfürst </w:t>
      </w:r>
      <w:r>
        <w:rPr>
          <w:color w:val="808080"/>
        </w:rPr>
        <w:t>(Tetrarch)</w:t>
      </w:r>
      <w:r>
        <w:rPr/>
        <w:t xml:space="preserve"> </w:t>
      </w:r>
      <w:r>
        <w:rPr>
          <w:rStyle w:val="Funotenanker"/>
        </w:rPr>
        <w:footnoteReference w:customMarkFollows="1" w:id="2455"/>
        <w:t>b</w:t>
      </w:r>
      <w:r>
        <w:rPr/>
        <w:t xml:space="preserve"> über Galiläa war, sein Bruder Philippus </w:t>
      </w:r>
      <w:r>
        <w:rPr>
          <w:strike/>
          <w:color w:val="808080"/>
        </w:rPr>
        <w:t>{aber}</w:t>
      </w:r>
      <w:r>
        <w:rPr/>
        <w:t xml:space="preserve"> Vierfürst über Ituräa und das trachonitische Gebiet sowie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2456"/>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2457"/>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2458"/>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2459"/>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2460"/>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antwortete er </w:t>
      </w:r>
      <w:r>
        <w:rPr>
          <w:b/>
          <w:color w:val="808080"/>
        </w:rPr>
        <w:t>[</w:t>
      </w:r>
      <w:r>
        <w:rPr/>
        <w:t>jeweils</w:t>
      </w:r>
      <w:r>
        <w:rPr>
          <w:b/>
          <w:color w:val="808080"/>
        </w:rPr>
        <w:t>]</w:t>
      </w:r>
      <w:r>
        <w:rPr/>
        <w:t xml:space="preserve"> </w:t>
      </w:r>
      <w:r>
        <w:rPr>
          <w:rStyle w:val="Funotenanker"/>
        </w:rPr>
        <w:footnoteReference w:customMarkFollows="1" w:id="2461"/>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w:t>
      </w:r>
      <w:r>
        <w:rPr>
          <w:strike/>
          <w:color w:val="808080"/>
        </w:rPr>
        <w:t>{aber}</w:t>
      </w:r>
      <w:r>
        <w:rPr/>
        <w:t xml:space="preserve">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{{field-on:bible}}Als </w:t>
      </w:r>
      <w:r>
        <w:rPr>
          <w:color w:val="808080"/>
        </w:rPr>
        <w:t>(weil)</w:t>
      </w:r>
      <w:r>
        <w:rPr/>
        <w:t xml:space="preserve"> wiederum </w:t>
      </w:r>
      <w:r>
        <w:rPr>
          <w:color w:val="808080"/>
        </w:rPr>
        <w:t>(aber)</w:t>
      </w:r>
      <w:r>
        <w:rPr/>
        <w:t xml:space="preserve">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w:t>
      </w:r>
      <w:r>
        <w:rPr>
          <w:color w:val="808080"/>
        </w:rPr>
        <w:t>(Messias, Gesalbte)</w:t>
      </w:r>
      <w:r>
        <w:rPr/>
        <w:t xml:space="preserve">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2462"/>
        <w:t>i</w:t>
      </w:r>
      <w:r>
        <w:rPr/>
        <w:t xml:space="preserve"> stärker ist als ich; ich bin unwürdig, diesem</w:t>
      </w:r>
      <w:r>
        <w:rPr>
          <w:rStyle w:val="Funotenanker"/>
        </w:rPr>
        <w:footnoteReference w:customMarkFollows="1" w:id="2463"/>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2464"/>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2465"/>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2466"/>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2467"/>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2468"/>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2469"/>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2470"/>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2471"/>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2472"/>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2473"/>
        <w:t>e</w:t>
      </w:r>
      <w:r>
        <w:rPr/>
        <w:t xml:space="preserve"> er ihnen zu: „Männer </w:t>
      </w:r>
      <w:r>
        <w:rPr>
          <w:color w:val="808080"/>
        </w:rPr>
        <w:t>(Kinder)</w:t>
      </w:r>
      <w:r>
        <w:rPr/>
        <w:t xml:space="preserve"> </w:t>
      </w:r>
      <w:r>
        <w:rPr>
          <w:rStyle w:val="Funotenanker"/>
        </w:rPr>
        <w:footnoteReference w:customMarkFollows="1" w:id="2474"/>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2475"/>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2476"/>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2477"/>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2478"/>
        <w:t>j</w:t>
      </w:r>
      <w:r>
        <w:rPr/>
        <w:t xml:space="preserve"> und stürzte sich ins Meer </w:t>
      </w:r>
      <w:r>
        <w:rPr>
          <w:color w:val="808080"/>
        </w:rPr>
        <w:t>(in den See)</w:t>
      </w:r>
      <w:r>
        <w:rPr/>
        <w:t xml:space="preserve"> </w:t>
      </w:r>
      <w:r>
        <w:rPr>
          <w:rStyle w:val="Funotenanker"/>
        </w:rPr>
        <w:footnoteReference w:customMarkFollows="1" w:id="2479"/>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2480"/>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2481"/>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2482"/>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2483"/>
        <w:t>o</w:t>
      </w:r>
      <w:r>
        <w:rPr/>
        <w:t>, und obwohl es so viele waren,</w:t>
      </w:r>
      <w:r>
        <w:rPr>
          <w:rStyle w:val="Funotenanker"/>
        </w:rPr>
        <w:footnoteReference w:customMarkFollows="1" w:id="2484"/>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2485"/>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2486"/>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2487"/>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2488"/>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2489"/>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2490"/>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2491"/>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2492"/>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2493"/>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2494"/>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2495"/>
        <w:t>Status</w:t>
      </w:r>
      <w:r>
        <w:rPr/>
        <w:t xml:space="preserve"> Und als sich der Tag des Wochenfests</w:t>
      </w:r>
      <w:r>
        <w:rPr>
          <w:rStyle w:val="Funotenanker"/>
        </w:rPr>
        <w:footnoteReference w:customMarkFollows="1" w:id="2496"/>
        <w:t>a</w:t>
      </w:r>
      <w:r>
        <w:rPr/>
        <w:t xml:space="preserve"> erfüllte </w:t>
      </w:r>
      <w:r>
        <w:rPr>
          <w:color w:val="808080"/>
        </w:rPr>
        <w:t>(zu Ende ging)</w:t>
      </w:r>
      <w:r>
        <w:rPr/>
        <w:t>,</w:t>
      </w:r>
      <w:r>
        <w:rPr>
          <w:rStyle w:val="Funotenanker"/>
        </w:rPr>
        <w:footnoteReference w:customMarkFollows="1" w:id="2497"/>
        <w:t>b</w:t>
      </w:r>
      <w:r>
        <w:rPr/>
        <w:t xml:space="preserve"> waren alle zusammen </w:t>
      </w:r>
      <w:r>
        <w:rPr>
          <w:b/>
          <w:color w:val="808080"/>
        </w:rPr>
        <w:t>[</w:t>
      </w:r>
      <w:r>
        <w:rPr/>
        <w:t>als</w:t>
      </w:r>
      <w:r>
        <w:rPr>
          <w:b/>
          <w:color w:val="808080"/>
        </w:rPr>
        <w:t>]</w:t>
      </w:r>
      <w:r>
        <w:rPr/>
        <w:t xml:space="preserve"> Gemeinschaft </w:t>
      </w:r>
      <w:r>
        <w:rPr>
          <w:color w:val="808080"/>
        </w:rPr>
        <w:t>(?, beisammen)</w:t>
      </w:r>
      <w:r>
        <w:rPr/>
        <w:t>.</w:t>
      </w:r>
      <w:r>
        <w:rPr>
          <w:rStyle w:val="Funotenanker"/>
        </w:rPr>
        <w:footnoteReference w:customMarkFollows="1" w:id="2498"/>
        <w:t>c</w:t>
      </w:r>
      <w:r>
        <w:rPr/>
        <w:t xml:space="preserve"> {{field-off:bible}} </w:t>
        <w:br/>
        <w:t>[[@BibleTOBIBLE:Ac 2:2]]</w:t>
      </w:r>
      <w:r>
        <w:rPr>
          <w:b/>
        </w:rPr>
        <w:t>2</w:t>
      </w:r>
      <w:r>
        <w:rPr/>
        <w:t xml:space="preserve"> {{field-on:bible}}Und plötzlich kam </w:t>
      </w:r>
      <w:r>
        <w:rPr>
          <w:color w:val="808080"/>
        </w:rPr>
        <w:t>(entstand; ereignete sich)</w:t>
      </w:r>
      <w:r>
        <w:rPr/>
        <w:t xml:space="preserve"> vom Himmel her ein Geräusch </w:t>
      </w:r>
      <w:r>
        <w:rPr>
          <w:color w:val="808080"/>
        </w:rPr>
        <w:t>(Lärm)</w:t>
      </w:r>
      <w:r>
        <w:rPr/>
        <w:t xml:space="preserve"> wie das Wehen eines heftigen Windes und füllte das ganze Haus, in dem sie </w:t>
      </w:r>
      <w:r>
        <w:rPr>
          <w:b/>
          <w:color w:val="808080"/>
        </w:rPr>
        <w:t>[</w:t>
      </w:r>
      <w:r>
        <w:rPr/>
        <w:t>gerade</w:t>
      </w:r>
      <w:r>
        <w:rPr>
          <w:b/>
          <w:color w:val="808080"/>
        </w:rPr>
        <w:t>]</w:t>
      </w:r>
      <w:r>
        <w:rPr/>
        <w:t xml:space="preserve"> saßen</w:t>
      </w:r>
      <w:r>
        <w:rPr>
          <w:rStyle w:val="Funotenanker"/>
        </w:rPr>
        <w:footnoteReference w:customMarkFollows="1" w:id="2499"/>
        <w:t>d</w:t>
      </w:r>
      <w:r>
        <w:rPr/>
        <w:t xml:space="preserve"> {{field-off:bible}} </w:t>
        <w:br/>
        <w:t>[[@BibleTOBIBLE:Ac 2:3]]</w:t>
      </w:r>
      <w:r>
        <w:rPr>
          <w:b/>
        </w:rPr>
        <w:t>3</w:t>
      </w:r>
      <w:r>
        <w:rPr/>
        <w:t xml:space="preserve"> {{field-on:bible}}und ihnen erschienen sich verteilende </w:t>
      </w:r>
      <w:r>
        <w:rPr>
          <w:color w:val="808080"/>
        </w:rPr>
        <w:t>(teilende)</w:t>
      </w:r>
      <w:r>
        <w:rPr/>
        <w:t xml:space="preserve"> Zungen wie </w:t>
      </w:r>
      <w:r>
        <w:rPr>
          <w:b/>
          <w:color w:val="808080"/>
        </w:rPr>
        <w:t>[</w:t>
      </w:r>
      <w:r>
        <w:rPr/>
        <w:t>von</w:t>
      </w:r>
      <w:r>
        <w:rPr>
          <w:b/>
          <w:color w:val="808080"/>
        </w:rPr>
        <w:t>]</w:t>
      </w:r>
      <w:r>
        <w:rPr/>
        <w:t xml:space="preserve"> Feuer und sie setzten sich auf einen jeden von ihnen{{field-off:bible}} </w:t>
        <w:br/>
        <w:t>[[@BibleTOBIBLE:Ac 2:4]]</w:t>
      </w:r>
      <w:r>
        <w:rPr>
          <w:b/>
        </w:rPr>
        <w:t>4</w:t>
      </w:r>
      <w:r>
        <w:rPr/>
        <w:t xml:space="preserve"> {{field-on:bible}}und alle wurden mit heiligen Geist</w:t>
      </w:r>
      <w:r>
        <w:rPr>
          <w:rStyle w:val="Funotenanker"/>
        </w:rPr>
        <w:footnoteReference w:customMarkFollows="1" w:id="2500"/>
        <w:t>e</w:t>
      </w:r>
      <w:r>
        <w:rPr/>
        <w:t xml:space="preserve"> erfüllt und begannen, </w:t>
      </w:r>
      <w:r>
        <w:rPr>
          <w:b/>
          <w:color w:val="808080"/>
        </w:rPr>
        <w:t>[</w:t>
      </w:r>
      <w:r>
        <w:rPr/>
        <w:t>so</w:t>
      </w:r>
      <w:r>
        <w:rPr>
          <w:b/>
          <w:color w:val="808080"/>
        </w:rPr>
        <w:t>]</w:t>
      </w:r>
      <w:r>
        <w:rPr/>
        <w:t xml:space="preserve"> </w:t>
      </w:r>
      <w:r>
        <w:rPr>
          <w:b/>
          <w:color w:val="808080"/>
        </w:rPr>
        <w:t>[</w:t>
      </w:r>
      <w:r>
        <w:rPr/>
        <w:t>in</w:t>
      </w:r>
      <w:r>
        <w:rPr>
          <w:b/>
          <w:color w:val="808080"/>
        </w:rPr>
        <w:t>]</w:t>
      </w:r>
      <w:r>
        <w:rPr/>
        <w:t xml:space="preserve"> anderen Zungen zu sprechen, wie der Geist ihnen zu prophezeien </w:t>
      </w:r>
      <w:r>
        <w:rPr>
          <w:color w:val="808080"/>
        </w:rPr>
        <w:t>(äußern)</w:t>
      </w:r>
      <w:r>
        <w:rPr/>
        <w:t xml:space="preserve"> eingab.</w:t>
      </w:r>
      <w:r>
        <w:rPr>
          <w:rStyle w:val="Funotenanker"/>
        </w:rPr>
        <w:footnoteReference w:customMarkFollows="1" w:id="2501"/>
        <w:t>f</w:t>
      </w:r>
      <w:r>
        <w:rPr/>
        <w:t xml:space="preserve"> {{field-off:bible}} </w:t>
        <w:br/>
        <w:t>[[@BibleTOBIBLE:Ac 2:5]]</w:t>
      </w:r>
      <w:r>
        <w:rPr>
          <w:b/>
        </w:rPr>
        <w:t>5</w:t>
      </w:r>
      <w:r>
        <w:rPr/>
        <w:t xml:space="preserve"> {{field-on:bible}}Es hielten sich </w:t>
      </w:r>
      <w:r>
        <w:rPr>
          <w:b/>
          <w:color w:val="808080"/>
        </w:rPr>
        <w:t>[</w:t>
      </w:r>
      <w:r>
        <w:rPr/>
        <w:t>gerade</w:t>
      </w:r>
      <w:r>
        <w:rPr>
          <w:b/>
          <w:color w:val="808080"/>
        </w:rPr>
        <w:t>]</w:t>
      </w:r>
      <w:r>
        <w:rPr/>
        <w:t xml:space="preserve"> auf </w:t>
      </w:r>
      <w:r>
        <w:rPr>
          <w:color w:val="808080"/>
        </w:rPr>
        <w:t>(wohnten)</w:t>
      </w:r>
      <w:r>
        <w:rPr/>
        <w:t xml:space="preserve"> </w:t>
      </w:r>
      <w:r>
        <w:rPr>
          <w:rStyle w:val="Funotenanker"/>
        </w:rPr>
        <w:footnoteReference w:customMarkFollows="1" w:id="2502"/>
        <w:t>g</w:t>
      </w:r>
      <w:r>
        <w:rPr/>
        <w:t xml:space="preserve"> </w:t>
      </w:r>
      <w:r>
        <w:rPr>
          <w:strike/>
          <w:color w:val="808080"/>
        </w:rPr>
        <w:t>{aber}</w:t>
      </w:r>
      <w:r>
        <w:rPr/>
        <w:t xml:space="preserve"> Juden in Jerusalem, fromme</w:t>
      </w:r>
      <w:r>
        <w:rPr>
          <w:rStyle w:val="Funotenanker"/>
        </w:rPr>
        <w:footnoteReference w:customMarkFollows="1" w:id="2503"/>
        <w:t>h</w:t>
      </w:r>
      <w:r>
        <w:rPr/>
        <w:t xml:space="preserve"> Männer aus allen Völkern unter dem Himmel,{{field-off:bible}} </w:t>
        <w:br/>
        <w:t>[[@BibleTOBIBLE:Ac 2:6]]</w:t>
      </w:r>
      <w:r>
        <w:rPr>
          <w:b/>
        </w:rPr>
        <w:t>6</w:t>
      </w:r>
      <w:r>
        <w:rPr/>
        <w:t xml:space="preserve"> {{field-on:bible}} </w:t>
      </w:r>
      <w:r>
        <w:rPr>
          <w:b/>
          <w:color w:val="808080"/>
        </w:rPr>
        <w:t>[</w:t>
      </w:r>
      <w:r>
        <w:rPr/>
        <w:t>und</w:t>
      </w:r>
      <w:r>
        <w:rPr>
          <w:b/>
          <w:color w:val="808080"/>
        </w:rPr>
        <w:t>]</w:t>
      </w:r>
      <w:r>
        <w:rPr/>
        <w:t xml:space="preserve"> als </w:t>
      </w:r>
      <w:r>
        <w:rPr>
          <w:strike/>
          <w:color w:val="808080"/>
        </w:rPr>
        <w:t>{aber}</w:t>
      </w:r>
      <w:r>
        <w:rPr/>
        <w:t xml:space="preserve"> dieses Getön</w:t>
      </w:r>
      <w:r>
        <w:rPr>
          <w:rStyle w:val="Funotenanker"/>
        </w:rPr>
        <w:footnoteReference w:customMarkFollows="1" w:id="2504"/>
        <w:t>i</w:t>
      </w:r>
      <w:r>
        <w:rPr/>
        <w:t xml:space="preserve"> entstand, kam die Menge zusammengelaufen und war bestürzt </w:t>
      </w:r>
      <w:r>
        <w:rPr>
          <w:color w:val="808080"/>
        </w:rPr>
        <w:t>(verstört, verwirrt)</w:t>
      </w:r>
      <w:r>
        <w:rPr/>
        <w:t xml:space="preserve">, denn ein jeder hörte sie in der eigenen Sprache sprechen.{{field-off:bible}} </w:t>
        <w:br/>
        <w:t>[[@BibleTOBIBLE:Ac 2:7]]</w:t>
      </w:r>
      <w:r>
        <w:rPr>
          <w:b/>
        </w:rPr>
        <w:t>7</w:t>
      </w:r>
      <w:r>
        <w:rPr/>
        <w:t xml:space="preserve"> {{field-on:bible}}Sie </w:t>
      </w:r>
      <w:r>
        <w:rPr>
          <w:color w:val="808080"/>
        </w:rPr>
        <w:t>(Alle)</w:t>
      </w:r>
      <w:r>
        <w:rPr/>
        <w:t xml:space="preserve"> </w:t>
      </w:r>
      <w:r>
        <w:rPr>
          <w:rStyle w:val="Funotenanker"/>
        </w:rPr>
        <w:footnoteReference w:customMarkFollows="1" w:id="2505"/>
        <w:t>j</w:t>
      </w:r>
      <w:r>
        <w:rPr/>
        <w:t xml:space="preserve"> waren </w:t>
      </w:r>
      <w:r>
        <w:rPr>
          <w:strike/>
          <w:color w:val="808080"/>
        </w:rPr>
        <w:t>{aber}</w:t>
      </w:r>
      <w:r>
        <w:rPr/>
        <w:t xml:space="preserve"> außer sich </w:t>
      </w:r>
      <w:r>
        <w:rPr>
          <w:color w:val="808080"/>
        </w:rPr>
        <w:t>(fassungslos, erstaunt)</w:t>
      </w:r>
      <w:r>
        <w:rPr/>
        <w:t xml:space="preserve"> und wunderten </w:t>
      </w:r>
      <w:r>
        <w:rPr>
          <w:color w:val="808080"/>
        </w:rPr>
        <w:t>(erstaunten)</w:t>
      </w:r>
      <w:r>
        <w:rPr/>
        <w:t xml:space="preserve"> sich, </w:t>
      </w:r>
      <w:r>
        <w:rPr>
          <w:b/>
          <w:color w:val="808080"/>
        </w:rPr>
        <w:t>[</w:t>
      </w:r>
      <w:r>
        <w:rPr/>
        <w:t>indem sie</w:t>
      </w:r>
      <w:r>
        <w:rPr>
          <w:b/>
          <w:color w:val="808080"/>
        </w:rPr>
        <w:t>]</w:t>
      </w:r>
      <w:r>
        <w:rPr/>
        <w:t xml:space="preserve"> sagten: „Siehe! Sind nicht alle diese Sprechenden Galiläer?{{field-off:bible}} </w:t>
        <w:br/>
        <w:t>[[@BibleTOBIBLE:Ac 2:8]]</w:t>
      </w:r>
      <w:r>
        <w:rPr>
          <w:b/>
        </w:rPr>
        <w:t>8</w:t>
      </w:r>
      <w:r>
        <w:rPr/>
        <w:t xml:space="preserve"> {{field-on:bible}}Und wie hören wir </w:t>
      </w:r>
      <w:r>
        <w:rPr>
          <w:b/>
          <w:color w:val="808080"/>
        </w:rPr>
        <w:t>[</w:t>
      </w:r>
      <w:r>
        <w:rPr/>
        <w:t>sie dann</w:t>
      </w:r>
      <w:r>
        <w:rPr>
          <w:b/>
          <w:color w:val="808080"/>
        </w:rPr>
        <w:t>]</w:t>
      </w:r>
      <w:r>
        <w:rPr/>
        <w:t xml:space="preserve"> jeder in unserer eigenen Sprache, in der wir geboren wurden?{{field-off:bible}} </w:t>
        <w:br/>
        <w:t>[[@BibleTOBIBLE:Ac 2:9]]</w:t>
      </w:r>
      <w:r>
        <w:rPr>
          <w:b/>
        </w:rPr>
        <w:t>9</w:t>
      </w:r>
      <w:r>
        <w:rPr/>
        <w:t xml:space="preserve"> {{field-on:bible}} </w:t>
      </w:r>
      <w:r>
        <w:rPr>
          <w:b/>
          <w:color w:val="808080"/>
        </w:rPr>
        <w:t>[</w:t>
      </w:r>
      <w:r>
        <w:rPr/>
        <w:t>Wir sind ja</w:t>
      </w:r>
      <w:r>
        <w:rPr>
          <w:b/>
          <w:color w:val="808080"/>
        </w:rPr>
        <w:t>]</w:t>
      </w:r>
      <w:r>
        <w:rPr/>
        <w:t xml:space="preserve"> Parther</w:t>
      </w:r>
      <w:r>
        <w:rPr>
          <w:rStyle w:val="Funotenanker"/>
        </w:rPr>
        <w:footnoteReference w:customMarkFollows="1" w:id="2506"/>
        <w:t>k</w:t>
      </w:r>
      <w:r>
        <w:rPr/>
        <w:t xml:space="preserve"> und Meder und Elamiter und die Bewohner von Mesopotamien, vom Judäischen</w:t>
      </w:r>
      <w:r>
        <w:rPr>
          <w:rStyle w:val="Funotenanker"/>
        </w:rPr>
        <w:footnoteReference w:customMarkFollows="1" w:id="2507"/>
        <w:t>l</w:t>
      </w:r>
      <w:r>
        <w:rPr/>
        <w:t xml:space="preserve"> und auch Kappadozien, von Pontus und Asien,{{field-off:bible}} </w:t>
        <w:br/>
        <w:t>[[@BibleTOBIBLE:Ac 2:10]]</w:t>
      </w:r>
      <w:r>
        <w:rPr>
          <w:b/>
        </w:rPr>
        <w:t>10</w:t>
      </w:r>
      <w:r>
        <w:rPr/>
        <w:t xml:space="preserve"> {{field-on:bible}}von Phrygien und auch Pamphylien, von Ägypten und den Gebieten Lybiens um Zyrene, und die sich </w:t>
      </w:r>
      <w:r>
        <w:rPr>
          <w:b/>
          <w:color w:val="808080"/>
        </w:rPr>
        <w:t>[</w:t>
      </w:r>
      <w:r>
        <w:rPr/>
        <w:t>hier</w:t>
      </w:r>
      <w:r>
        <w:rPr>
          <w:b/>
          <w:color w:val="808080"/>
        </w:rPr>
        <w:t>]</w:t>
      </w:r>
      <w:r>
        <w:rPr/>
        <w:t xml:space="preserve"> aufhaltenden Römer,{{field-off:bible}} </w:t>
        <w:br/>
        <w:t>[[@BibleTOBIBLE:Ac 2:11]]</w:t>
      </w:r>
      <w:r>
        <w:rPr>
          <w:b/>
        </w:rPr>
        <w:t>11</w:t>
      </w:r>
      <w:r>
        <w:rPr/>
        <w:t xml:space="preserve"> {{field-on:bible}}Juden und auch Proselyten,</w:t>
      </w:r>
      <w:r>
        <w:rPr>
          <w:rStyle w:val="Funotenanker"/>
        </w:rPr>
        <w:footnoteReference w:customMarkFollows="1" w:id="2508"/>
        <w:t>m</w:t>
      </w:r>
      <w:r>
        <w:rPr/>
        <w:t xml:space="preserve"> Kreter und Araber - wir hören sie in unseren Zungen die Großtaten Gottes rühmen!“</w:t>
      </w:r>
      <w:r>
        <w:rPr>
          <w:rStyle w:val="Funotenanker"/>
        </w:rPr>
        <w:footnoteReference w:customMarkFollows="1" w:id="2509"/>
        <w:t>n</w:t>
      </w:r>
      <w:r>
        <w:rPr/>
        <w:t xml:space="preserve"> {{field-off:bible}} </w:t>
        <w:br/>
        <w:t>[[@BibleTOBIBLE:Ac 2:12]]</w:t>
      </w:r>
      <w:r>
        <w:rPr>
          <w:b/>
        </w:rPr>
        <w:t>12</w:t>
      </w:r>
      <w:r>
        <w:rPr/>
        <w:t xml:space="preserve"> {{field-on:bible}}Alle waren </w:t>
      </w:r>
      <w:r>
        <w:rPr>
          <w:strike/>
          <w:color w:val="808080"/>
        </w:rPr>
        <w:t>{aber}</w:t>
      </w:r>
      <w:r>
        <w:rPr/>
        <w:t xml:space="preserve"> außer sich </w:t>
      </w:r>
      <w:r>
        <w:rPr>
          <w:color w:val="808080"/>
        </w:rPr>
        <w:t>(fassungslos, erstaunt)</w:t>
      </w:r>
      <w:r>
        <w:rPr/>
        <w:t xml:space="preserve"> und ratlos, </w:t>
      </w:r>
      <w:r>
        <w:rPr>
          <w:b/>
          <w:color w:val="808080"/>
        </w:rPr>
        <w:t>[</w:t>
      </w:r>
      <w:r>
        <w:rPr/>
        <w:t>indem</w:t>
      </w:r>
      <w:r>
        <w:rPr>
          <w:b/>
          <w:color w:val="808080"/>
        </w:rPr>
        <w:t>]</w:t>
      </w:r>
      <w:r>
        <w:rPr/>
        <w:t xml:space="preserve"> sie zueinander sagten: „Was mag dies sein!?“</w:t>
      </w:r>
      <w:r>
        <w:rPr>
          <w:rStyle w:val="Funotenanker"/>
        </w:rPr>
        <w:footnoteReference w:customMarkFollows="1" w:id="2510"/>
        <w:t>o</w:t>
      </w:r>
      <w:r>
        <w:rPr/>
        <w:t xml:space="preserve"> {{field-off:bible}} </w:t>
        <w:br/>
        <w:t>[[@BibleTOBIBLE:Ac 2:13]]</w:t>
      </w:r>
      <w:r>
        <w:rPr>
          <w:b/>
        </w:rPr>
        <w:t>13</w:t>
      </w:r>
      <w:r>
        <w:rPr/>
        <w:t xml:space="preserve"> {{field-on:bible}}Andere aber sagten spottend: „Mit Traubensaft </w:t>
      </w:r>
      <w:r>
        <w:rPr>
          <w:color w:val="808080"/>
        </w:rPr>
        <w:t>(Wein?)</w:t>
      </w:r>
      <w:r>
        <w:rPr/>
        <w:t xml:space="preserve"> </w:t>
      </w:r>
      <w:r>
        <w:rPr>
          <w:rStyle w:val="Funotenanker"/>
        </w:rPr>
        <w:footnoteReference w:customMarkFollows="1" w:id="2511"/>
        <w:t>p</w:t>
      </w:r>
      <w:r>
        <w:rPr/>
        <w:t xml:space="preserve"> sind sie voll </w:t>
      </w:r>
      <w:r>
        <w:rPr>
          <w:color w:val="808080"/>
        </w:rPr>
        <w:t>(angefüllt)</w:t>
      </w:r>
      <w:r>
        <w:rPr/>
        <w:t xml:space="preserve">!“{{field-off:bible}} </w:t>
        <w:br/>
        <w:t>[[@BibleTOBIBLE:Ac 2:14]]</w:t>
      </w:r>
      <w:r>
        <w:rPr>
          <w:b/>
        </w:rPr>
        <w:t>14</w:t>
      </w:r>
      <w:r>
        <w:rPr/>
        <w:t xml:space="preserve"> {{field-on:bible}}Petrus jedoch stellte sich mit den </w:t>
      </w:r>
      <w:r>
        <w:rPr>
          <w:b/>
          <w:color w:val="808080"/>
        </w:rPr>
        <w:t>[</w:t>
      </w:r>
      <w:r>
        <w:rPr/>
        <w:t>anderen</w:t>
      </w:r>
      <w:r>
        <w:rPr>
          <w:b/>
          <w:color w:val="808080"/>
        </w:rPr>
        <w:t>]</w:t>
      </w:r>
      <w:r>
        <w:rPr/>
        <w:t xml:space="preserve"> Elf hin, erhob seine Stimme</w:t>
      </w:r>
      <w:r>
        <w:rPr>
          <w:rStyle w:val="Funotenanker"/>
        </w:rPr>
        <w:footnoteReference w:customMarkFollows="1" w:id="2512"/>
        <w:t>q</w:t>
      </w:r>
      <w:r>
        <w:rPr/>
        <w:t xml:space="preserve"> und prophezeite </w:t>
      </w:r>
      <w:r>
        <w:rPr>
          <w:color w:val="808080"/>
        </w:rPr>
        <w:t>(äußerte)</w:t>
      </w:r>
      <w:r>
        <w:rPr/>
        <w:t xml:space="preserve"> ihnen: „</w:t>
      </w:r>
      <w:r>
        <w:rPr>
          <w:b/>
          <w:color w:val="808080"/>
        </w:rPr>
        <w:t>[</w:t>
      </w:r>
      <w:r>
        <w:rPr/>
        <w:t>Liebe</w:t>
      </w:r>
      <w:r>
        <w:rPr>
          <w:b/>
          <w:color w:val="808080"/>
        </w:rPr>
        <w:t>]</w:t>
      </w:r>
      <w:r>
        <w:rPr/>
        <w:t xml:space="preserve"> Judäer </w:t>
      </w:r>
      <w:r>
        <w:rPr>
          <w:color w:val="808080"/>
        </w:rPr>
        <w:t>(Juden)</w:t>
      </w:r>
      <w:r>
        <w:rPr/>
        <w:t xml:space="preserve"> </w:t>
      </w:r>
      <w:r>
        <w:rPr>
          <w:rStyle w:val="Funotenanker"/>
        </w:rPr>
        <w:footnoteReference w:customMarkFollows="1" w:id="2513"/>
        <w:t>r</w:t>
      </w:r>
      <w:r>
        <w:rPr/>
        <w:t xml:space="preserve"> und all </w:t>
      </w:r>
      <w:r>
        <w:rPr>
          <w:b/>
          <w:color w:val="808080"/>
        </w:rPr>
        <w:t>[</w:t>
      </w:r>
      <w:r>
        <w:rPr/>
        <w:t>ihr</w:t>
      </w:r>
      <w:r>
        <w:rPr>
          <w:b/>
          <w:color w:val="808080"/>
        </w:rPr>
        <w:t>]</w:t>
      </w:r>
      <w:r>
        <w:rPr/>
        <w:t xml:space="preserve"> euch in Jerusalem Aufhaltenden </w:t>
      </w:r>
      <w:r>
        <w:rPr>
          <w:color w:val="808080"/>
        </w:rPr>
        <w:t xml:space="preserve">(all </w:t>
      </w:r>
      <w:r>
        <w:rPr>
          <w:b/>
          <w:color w:val="808080"/>
        </w:rPr>
        <w:t>[</w:t>
      </w:r>
      <w:r>
        <w:rPr>
          <w:color w:val="808080"/>
        </w:rPr>
        <w:t>ihr</w:t>
      </w:r>
      <w:r>
        <w:rPr>
          <w:b/>
          <w:color w:val="808080"/>
        </w:rPr>
        <w:t>]</w:t>
      </w:r>
      <w:r>
        <w:rPr>
          <w:color w:val="808080"/>
        </w:rPr>
        <w:t xml:space="preserve"> Wohnenden)</w:t>
      </w:r>
      <w:r>
        <w:rPr/>
        <w:t>!</w:t>
      </w:r>
      <w:r>
        <w:rPr>
          <w:rStyle w:val="Funotenanker"/>
        </w:rPr>
        <w:footnoteReference w:customMarkFollows="1" w:id="2514"/>
        <w:t>s</w:t>
      </w:r>
      <w:r>
        <w:rPr/>
        <w:t xml:space="preserve"> Dies sei euch bekannt, </w:t>
      </w:r>
      <w:r>
        <w:rPr>
          <w:strike/>
          <w:color w:val="808080"/>
        </w:rPr>
        <w:t>{und}</w:t>
      </w:r>
      <w:r>
        <w:rPr/>
        <w:t xml:space="preserve"> vernehmt meine Worte!{{field-off:bible}} </w:t>
        <w:br/>
        <w:t>[[@BibleTOBIBLE:Ac 2:15]]</w:t>
      </w:r>
      <w:r>
        <w:rPr>
          <w:b/>
        </w:rPr>
        <w:t>15</w:t>
      </w:r>
      <w:r>
        <w:rPr/>
        <w:t xml:space="preserve"> {{field-on:bible}}Diese sind nämlich nicht, wie ihr annehmt, betrunken – es ist ja </w:t>
      </w:r>
      <w:r>
        <w:rPr>
          <w:color w:val="808080"/>
        </w:rPr>
        <w:t>(nämlich)</w:t>
      </w:r>
      <w:r>
        <w:rPr/>
        <w:t xml:space="preserve"> </w:t>
      </w:r>
      <w:r>
        <w:rPr>
          <w:b/>
          <w:color w:val="808080"/>
        </w:rPr>
        <w:t>[</w:t>
      </w:r>
      <w:r>
        <w:rPr/>
        <w:t>erst</w:t>
      </w:r>
      <w:r>
        <w:rPr>
          <w:b/>
          <w:color w:val="808080"/>
        </w:rPr>
        <w:t>]</w:t>
      </w:r>
      <w:r>
        <w:rPr/>
        <w:t xml:space="preserve"> die dritte Stunde des Tages</w:t>
      </w:r>
      <w:r>
        <w:rPr>
          <w:rStyle w:val="Funotenanker"/>
        </w:rPr>
        <w:footnoteReference w:customMarkFollows="1" w:id="2515"/>
        <w:t>t</w:t>
      </w:r>
      <w:r>
        <w:rPr/>
        <w:t xml:space="preserve"> –,{{field-off:bible}} </w:t>
        <w:br/>
        <w:t>[[@BibleTOBIBLE:Ac 2:16]]</w:t>
      </w:r>
      <w:r>
        <w:rPr>
          <w:b/>
        </w:rPr>
        <w:t>16</w:t>
      </w:r>
      <w:r>
        <w:rPr/>
        <w:t xml:space="preserve"> {{field-on:bible}}sondern: Dies ist</w:t>
      </w:r>
      <w:r>
        <w:rPr>
          <w:rStyle w:val="Funotenanker"/>
        </w:rPr>
        <w:footnoteReference w:customMarkFollows="1" w:id="2516"/>
        <w:t>u</w:t>
      </w:r>
      <w:r>
        <w:rPr/>
        <w:t xml:space="preserve"> das durch den Propheten Joel Vorhergesagte:</w:t>
      </w:r>
      <w:r>
        <w:rPr>
          <w:rStyle w:val="Funotenanker"/>
        </w:rPr>
        <w:footnoteReference w:customMarkFollows="1" w:id="2517"/>
        <w:t>v</w:t>
      </w:r>
      <w:r>
        <w:rPr/>
        <w:t xml:space="preserve"> </w:t>
        <w:br/>
        <w:t xml:space="preserve">{{field-off:bible}} </w:t>
        <w:br/>
        <w:t>[[@BibleTOBIBLE:Ac 2:17]]</w:t>
      </w:r>
      <w:r>
        <w:rPr>
          <w:b/>
        </w:rPr>
        <w:t>17</w:t>
      </w:r>
      <w:r>
        <w:rPr/>
        <w:t xml:space="preserve"> {{field-on:bible}} </w:t>
        <w:br/>
        <w:t>»»Und es wird sein</w:t>
      </w:r>
      <w:r>
        <w:rPr>
          <w:rStyle w:val="Funotenanker"/>
        </w:rPr>
        <w:footnoteReference w:customMarkFollows="1" w:id="2518"/>
        <w:t>w</w:t>
      </w:r>
      <w:r>
        <w:rPr/>
        <w:t xml:space="preserve"> in den Letzten Tagen:«</w:t>
      </w:r>
      <w:r>
        <w:rPr>
          <w:rStyle w:val="Funotenanker"/>
        </w:rPr>
        <w:footnoteReference w:customMarkFollows="1" w:id="2519"/>
        <w:t>x</w:t>
      </w:r>
      <w:r>
        <w:rPr/>
        <w:t xml:space="preserve"> – sagt Gott</w:t>
      </w:r>
      <w:r>
        <w:rPr>
          <w:rStyle w:val="Funotenanker"/>
        </w:rPr>
        <w:footnoteReference w:customMarkFollows="1" w:id="2520"/>
        <w:t>y</w:t>
      </w:r>
      <w:r>
        <w:rPr/>
        <w:t xml:space="preserve"> –</w:t>
        <w:br/>
        <w:t xml:space="preserve">»Ich werde ausgießen </w:t>
      </w:r>
      <w:r>
        <w:rPr>
          <w:b/>
          <w:color w:val="808080"/>
        </w:rPr>
        <w:t>[</w:t>
      </w:r>
      <w:r>
        <w:rPr/>
        <w:t>etwas</w:t>
      </w:r>
      <w:r>
        <w:rPr>
          <w:b/>
          <w:color w:val="808080"/>
        </w:rPr>
        <w:t>]</w:t>
      </w:r>
      <w:r>
        <w:rPr/>
        <w:t xml:space="preserve"> von meinem Geist auf alles Fleisch,</w:t>
      </w:r>
      <w:r>
        <w:rPr>
          <w:rStyle w:val="Funotenanker"/>
        </w:rPr>
        <w:footnoteReference w:customMarkFollows="1" w:id="2521"/>
        <w:t>z</w:t>
      </w:r>
      <w:r>
        <w:rPr/>
        <w:t>Und prophezeien werden eure Söhne und eure Töchter</w:t>
        <w:br/>
        <w:t xml:space="preserve">Und eure jungen </w:t>
      </w:r>
      <w:r>
        <w:rPr>
          <w:b/>
          <w:color w:val="808080"/>
        </w:rPr>
        <w:t>[</w:t>
      </w:r>
      <w:r>
        <w:rPr/>
        <w:t>Menschen</w:t>
      </w:r>
      <w:r>
        <w:rPr>
          <w:b/>
          <w:color w:val="808080"/>
        </w:rPr>
        <w:t>]</w:t>
      </w:r>
      <w:r>
        <w:rPr/>
        <w:t xml:space="preserve"> werden Visionen sehenUnd eure alten </w:t>
      </w:r>
      <w:r>
        <w:rPr>
          <w:b/>
          <w:color w:val="808080"/>
        </w:rPr>
        <w:t>[</w:t>
      </w:r>
      <w:r>
        <w:rPr/>
        <w:t>Menschen</w:t>
      </w:r>
      <w:r>
        <w:rPr>
          <w:b/>
          <w:color w:val="808080"/>
        </w:rPr>
        <w:t>]</w:t>
      </w:r>
      <w:r>
        <w:rPr/>
        <w:t xml:space="preserve"> werden durch Träume träumen.</w:t>
        <w:br/>
        <w:t xml:space="preserve">{{field-off:bible}} </w:t>
        <w:br/>
        <w:t>[[@BibleTOBIBLE:Ac 2:18]]</w:t>
      </w:r>
      <w:r>
        <w:rPr>
          <w:b/>
        </w:rPr>
        <w:t>18</w:t>
      </w:r>
      <w:r>
        <w:rPr/>
        <w:t xml:space="preserve"> {{field-on:bible}} </w:t>
        <w:br/>
        <w:t xml:space="preserve">Und auch </w:t>
      </w:r>
      <w:r>
        <w:rPr>
          <w:color w:val="808080"/>
        </w:rPr>
        <w:t>(selbst)</w:t>
      </w:r>
      <w:r>
        <w:rPr/>
        <w:t xml:space="preserve"> auf meine Sklaven und auf meine Sklavinnen</w:t>
      </w:r>
      <w:r>
        <w:rPr>
          <w:rStyle w:val="Funotenanker"/>
        </w:rPr>
        <w:footnoteReference w:customMarkFollows="1" w:id="2522"/>
        <w:t>aa</w:t>
      </w:r>
      <w:r>
        <w:rPr/>
        <w:t xml:space="preserve"> werde ich in jenen Tagen </w:t>
      </w:r>
      <w:r>
        <w:rPr>
          <w:b/>
          <w:color w:val="808080"/>
        </w:rPr>
        <w:t>[</w:t>
      </w:r>
      <w:r>
        <w:rPr/>
        <w:t>etwas</w:t>
      </w:r>
      <w:r>
        <w:rPr>
          <w:b/>
          <w:color w:val="808080"/>
        </w:rPr>
        <w:t>]</w:t>
      </w:r>
      <w:r>
        <w:rPr/>
        <w:t xml:space="preserve"> von meinem Geist ausgießenUnd sie werden prophezeien.</w:t>
        <w:br/>
        <w:t xml:space="preserve">{{field-off:bible}} </w:t>
        <w:br/>
        <w:t>[[@BibleTOBIBLE:Ac 2:19]]</w:t>
      </w:r>
      <w:r>
        <w:rPr>
          <w:b/>
        </w:rPr>
        <w:t>19</w:t>
      </w:r>
      <w:r>
        <w:rPr/>
        <w:t xml:space="preserve"> {{field-on:bible}} </w:t>
        <w:br/>
        <w:t>Und ich werde darbieten</w:t>
      </w:r>
      <w:r>
        <w:rPr>
          <w:rStyle w:val="Funotenanker"/>
        </w:rPr>
        <w:footnoteReference w:customMarkFollows="1" w:id="2523"/>
        <w:t>ab</w:t>
      </w:r>
      <w:r>
        <w:rPr/>
        <w:t xml:space="preserve"> Wunder im Himmel drobenUnd Zeichen auf der Erde drunten:Blut und Feuer und Rauchqualm.</w:t>
        <w:br/>
        <w:t xml:space="preserve">{{field-off:bible}} </w:t>
        <w:br/>
        <w:t>[[@BibleTOBIBLE:Ac 2:20]]</w:t>
      </w:r>
      <w:r>
        <w:rPr>
          <w:b/>
        </w:rPr>
        <w:t>20</w:t>
      </w:r>
      <w:r>
        <w:rPr/>
        <w:t xml:space="preserve"> {{field-on:bible}} </w:t>
        <w:br/>
        <w:t>Die Sonne wird verwandelt werden zu FinsternisUnd der Mond zu Blut</w:t>
      </w:r>
      <w:r>
        <w:rPr>
          <w:rStyle w:val="Funotenanker"/>
        </w:rPr>
        <w:footnoteReference w:customMarkFollows="1" w:id="2524"/>
        <w:t>ac</w:t>
      </w:r>
      <w:r>
        <w:rPr/>
        <w:t xml:space="preserve">Vor dem Kommen des Tags des Herrn, des großen und sichtbaren </w:t>
      </w:r>
      <w:r>
        <w:rPr>
          <w:color w:val="808080"/>
        </w:rPr>
        <w:t>(prachtvollen)</w:t>
      </w:r>
      <w:r>
        <w:rPr/>
        <w:t>.</w:t>
      </w:r>
      <w:r>
        <w:rPr>
          <w:rStyle w:val="Funotenanker"/>
        </w:rPr>
        <w:footnoteReference w:customMarkFollows="1" w:id="2525"/>
        <w:t>ad</w:t>
      </w:r>
      <w:r>
        <w:rPr/>
        <w:t xml:space="preserve"> </w:t>
        <w:br/>
        <w:t xml:space="preserve">{{field-off:bible}} </w:t>
        <w:br/>
        <w:t>[[@BibleTOBIBLE:Ac 2:21]]</w:t>
      </w:r>
      <w:r>
        <w:rPr>
          <w:b/>
        </w:rPr>
        <w:t>21</w:t>
      </w:r>
      <w:r>
        <w:rPr/>
        <w:t xml:space="preserve"> {{field-on:bible}} </w:t>
        <w:br/>
      </w:r>
      <w:r>
        <w:rPr>
          <w:strike/>
          <w:color w:val="808080"/>
        </w:rPr>
        <w:t>{Und es wird sein:}</w:t>
      </w:r>
      <w:r>
        <w:rPr/>
        <w:t xml:space="preserve"> </w:t>
      </w:r>
      <w:r>
        <w:rPr>
          <w:rStyle w:val="Funotenanker"/>
        </w:rPr>
        <w:footnoteReference w:customMarkFollows="1" w:id="2526"/>
        <w:t>ae</w:t>
      </w:r>
      <w:r>
        <w:rPr/>
        <w:t xml:space="preserve"> Jeder, der den Namen des Herrn anruft,</w:t>
      </w:r>
      <w:r>
        <w:rPr>
          <w:rStyle w:val="Funotenanker"/>
        </w:rPr>
        <w:footnoteReference w:customMarkFollows="1" w:id="2527"/>
        <w:t>af</w:t>
      </w:r>
      <w:r>
        <w:rPr/>
        <w:t xml:space="preserve"> wird gerettet werden.«« </w:t>
      </w:r>
      <w:r>
        <w:rPr>
          <w:position w:val="8"/>
          <w:sz w:val="19"/>
        </w:rPr>
        <w:t>[[ ℘ &gt;&gt; BibleTOBIBLE:Joe 3:1]]</w:t>
      </w:r>
      <w:r>
        <w:rPr/>
        <w:t xml:space="preserve"> </w:t>
        <w:br/>
        <w:t xml:space="preserve">{{field-off:bible}} </w:t>
        <w:br/>
        <w:t>[[@BibleTOBIBLE:Ac 2:22]]</w:t>
      </w:r>
      <w:r>
        <w:rPr>
          <w:b/>
        </w:rPr>
        <w:t>22</w:t>
      </w:r>
      <w:r>
        <w:rPr/>
        <w:t xml:space="preserve"> {{field-on:bible}} </w:t>
      </w:r>
      <w:r>
        <w:rPr>
          <w:b/>
          <w:color w:val="808080"/>
        </w:rPr>
        <w:t>[</w:t>
      </w:r>
      <w:r>
        <w:rPr/>
        <w:t>Liebe</w:t>
      </w:r>
      <w:r>
        <w:rPr>
          <w:b/>
          <w:color w:val="808080"/>
        </w:rPr>
        <w:t>]</w:t>
      </w:r>
      <w:r>
        <w:rPr/>
        <w:t xml:space="preserve"> Israeliten, hört diese Worte: Jesus, den Nazoräer,</w:t>
      </w:r>
      <w:r>
        <w:rPr>
          <w:rStyle w:val="Funotenanker"/>
        </w:rPr>
        <w:footnoteReference w:customMarkFollows="1" w:id="2528"/>
        <w:t>ag</w:t>
      </w:r>
      <w:r>
        <w:rPr/>
        <w:t xml:space="preserve"> einen von Gott für euch beglaubigten </w:t>
      </w:r>
      <w:r>
        <w:rPr>
          <w:color w:val="808080"/>
        </w:rPr>
        <w:t>(bestellten)</w:t>
      </w:r>
      <w:r>
        <w:rPr/>
        <w:t xml:space="preserve"> Mann durch </w:t>
      </w:r>
      <w:r>
        <w:rPr>
          <w:b/>
          <w:color w:val="808080"/>
        </w:rPr>
        <w:t>[</w:t>
      </w:r>
      <w:r>
        <w:rPr/>
        <w:t>die</w:t>
      </w:r>
      <w:r>
        <w:rPr>
          <w:b/>
          <w:color w:val="808080"/>
        </w:rPr>
        <w:t>]</w:t>
      </w:r>
      <w:r>
        <w:rPr/>
        <w:t xml:space="preserve"> Machttaten und Wunder und Zeichen, welche Gott durch ihn in eurer Mitte vollbracht hat – wie ihr </w:t>
      </w:r>
      <w:r>
        <w:rPr>
          <w:b/>
          <w:color w:val="808080"/>
        </w:rPr>
        <w:t>[</w:t>
      </w:r>
      <w:r>
        <w:rPr/>
        <w:t>ja selbst</w:t>
      </w:r>
      <w:r>
        <w:rPr>
          <w:b/>
          <w:color w:val="808080"/>
        </w:rPr>
        <w:t>]</w:t>
      </w:r>
      <w:r>
        <w:rPr/>
        <w:t xml:space="preserve"> wisst –{{field-off:bible}} </w:t>
        <w:br/>
        <w:t>[[@BibleTOBIBLE:Ac 2:23]]</w:t>
      </w:r>
      <w:r>
        <w:rPr>
          <w:b/>
        </w:rPr>
        <w:t>23</w:t>
      </w:r>
      <w:r>
        <w:rPr/>
        <w:t xml:space="preserve"> {{field-on:bible}}diesen </w:t>
      </w:r>
      <w:r>
        <w:rPr>
          <w:b/>
          <w:color w:val="808080"/>
        </w:rPr>
        <w:t>[</w:t>
      </w:r>
      <w:r>
        <w:rPr/>
        <w:t>euch</w:t>
      </w:r>
      <w:r>
        <w:rPr>
          <w:b/>
          <w:color w:val="808080"/>
        </w:rPr>
        <w:t>]</w:t>
      </w:r>
      <w:r>
        <w:rPr/>
        <w:t xml:space="preserve"> – wegen dem beschlossenen </w:t>
      </w:r>
      <w:r>
        <w:rPr>
          <w:color w:val="808080"/>
        </w:rPr>
        <w:t>(festgesetzten)</w:t>
      </w:r>
      <w:r>
        <w:rPr/>
        <w:t xml:space="preserve"> Plan und dem Vorauswissen Gottes!</w:t>
      </w:r>
      <w:r>
        <w:rPr>
          <w:rStyle w:val="Funotenanker"/>
        </w:rPr>
        <w:footnoteReference w:customMarkFollows="1" w:id="2529"/>
        <w:t>ah</w:t>
      </w:r>
      <w:r>
        <w:rPr/>
        <w:t xml:space="preserve"> – Ausgelieferten habt ihr getötet, indem </w:t>
      </w:r>
      <w:r>
        <w:rPr>
          <w:b/>
          <w:color w:val="808080"/>
        </w:rPr>
        <w:t>[</w:t>
      </w:r>
      <w:r>
        <w:rPr/>
        <w:t>ihr ihn</w:t>
      </w:r>
      <w:r>
        <w:rPr>
          <w:b/>
          <w:color w:val="808080"/>
        </w:rPr>
        <w:t>]</w:t>
      </w:r>
      <w:r>
        <w:rPr/>
        <w:t xml:space="preserve"> durch Hände Gesetzloser</w:t>
      </w:r>
      <w:r>
        <w:rPr>
          <w:rStyle w:val="Funotenanker"/>
        </w:rPr>
        <w:footnoteReference w:customMarkFollows="1" w:id="2530"/>
        <w:t>ai</w:t>
      </w:r>
      <w:r>
        <w:rPr/>
        <w:t xml:space="preserve"> </w:t>
      </w:r>
      <w:r>
        <w:rPr>
          <w:b/>
          <w:color w:val="808080"/>
        </w:rPr>
        <w:t>[</w:t>
      </w:r>
      <w:r>
        <w:rPr/>
        <w:t>ans Kreuz</w:t>
      </w:r>
      <w:r>
        <w:rPr>
          <w:b/>
          <w:color w:val="808080"/>
        </w:rPr>
        <w:t>]</w:t>
      </w:r>
      <w:r>
        <w:rPr/>
        <w:t xml:space="preserve"> geschlagen </w:t>
      </w:r>
      <w:r>
        <w:rPr>
          <w:b/>
          <w:color w:val="808080"/>
        </w:rPr>
        <w:t>[</w:t>
      </w:r>
      <w:r>
        <w:rPr/>
        <w:t>habt</w:t>
      </w:r>
      <w:r>
        <w:rPr>
          <w:b/>
          <w:color w:val="808080"/>
        </w:rPr>
        <w:t>]</w:t>
      </w:r>
      <w:r>
        <w:rPr/>
        <w:t xml:space="preserve">;{{field-off:bible}} </w:t>
        <w:br/>
        <w:t>[[@BibleTOBIBLE:Ac 2:24]]</w:t>
      </w:r>
      <w:r>
        <w:rPr>
          <w:b/>
        </w:rPr>
        <w:t>24</w:t>
      </w:r>
      <w:r>
        <w:rPr/>
        <w:t xml:space="preserve"> {{field-on:bible}} </w:t>
      </w:r>
      <w:r>
        <w:rPr>
          <w:b/>
          <w:color w:val="808080"/>
        </w:rPr>
        <w:t>[</w:t>
      </w:r>
      <w:r>
        <w:rPr/>
        <w:t>ihn,</w:t>
      </w:r>
      <w:r>
        <w:rPr>
          <w:b/>
          <w:color w:val="808080"/>
        </w:rPr>
        <w:t>]</w:t>
      </w:r>
      <w:r>
        <w:rPr/>
        <w:t xml:space="preserve"> den Gott auferstehen ließ, indem er die Geburtswehen </w:t>
      </w:r>
      <w:r>
        <w:rPr>
          <w:color w:val="808080"/>
        </w:rPr>
        <w:t>(Fesseln?)</w:t>
      </w:r>
      <w:r>
        <w:rPr/>
        <w:t xml:space="preserve"> </w:t>
      </w:r>
      <w:r>
        <w:rPr>
          <w:rStyle w:val="Funotenanker"/>
        </w:rPr>
        <w:footnoteReference w:customMarkFollows="1" w:id="2531"/>
        <w:t>aj</w:t>
      </w:r>
      <w:r>
        <w:rPr/>
        <w:t xml:space="preserve"> des Todes löste, weil es nicht möglich war, dass er unter ihm gehalten wurde.</w:t>
      </w:r>
      <w:r>
        <w:rPr>
          <w:rStyle w:val="Funotenanker"/>
        </w:rPr>
        <w:footnoteReference w:customMarkFollows="1" w:id="2532"/>
        <w:t>ak</w:t>
      </w:r>
      <w:r>
        <w:rPr/>
        <w:t xml:space="preserve"> {{field-off:bible}} </w:t>
        <w:br/>
        <w:t>[[@BibleTOBIBLE:Ac 2:25]]</w:t>
      </w:r>
      <w:r>
        <w:rPr>
          <w:b/>
        </w:rPr>
        <w:t>25</w:t>
      </w:r>
      <w:r>
        <w:rPr/>
        <w:t xml:space="preserve"> {{field-on:bible}}Denn</w:t>
      </w:r>
      <w:r>
        <w:rPr>
          <w:rStyle w:val="Funotenanker"/>
        </w:rPr>
        <w:footnoteReference w:customMarkFollows="1" w:id="2533"/>
        <w:t>al</w:t>
      </w:r>
      <w:r>
        <w:rPr/>
        <w:t xml:space="preserve"> David sagt über ihn: </w:t>
        <w:br/>
        <w:t>»Ich hatte den Herrn vor mir vor Augen</w:t>
      </w:r>
      <w:r>
        <w:rPr>
          <w:rStyle w:val="Funotenanker"/>
        </w:rPr>
        <w:footnoteReference w:customMarkFollows="1" w:id="2534"/>
        <w:t>am</w:t>
      </w:r>
      <w:r>
        <w:rPr/>
        <w:t xml:space="preserve"> durch alle </w:t>
      </w:r>
      <w:r>
        <w:rPr>
          <w:b/>
          <w:color w:val="808080"/>
        </w:rPr>
        <w:t>[</w:t>
      </w:r>
      <w:r>
        <w:rPr/>
        <w:t>Zeit</w:t>
      </w:r>
      <w:r>
        <w:rPr>
          <w:b/>
          <w:color w:val="808080"/>
        </w:rPr>
        <w:t>]</w:t>
      </w:r>
      <w:r>
        <w:rPr/>
        <w:t>,Weil er zu meiner Rechten ist, damit ich nicht wanken</w:t>
      </w:r>
      <w:r>
        <w:rPr>
          <w:rStyle w:val="Funotenanker"/>
        </w:rPr>
        <w:footnoteReference w:customMarkFollows="1" w:id="2535"/>
        <w:t>an</w:t>
      </w:r>
      <w:r>
        <w:rPr/>
        <w:t xml:space="preserve"> werde.</w:t>
        <w:br/>
        <w:t xml:space="preserve">{{field-off:bible}} </w:t>
        <w:br/>
        <w:t>[[@BibleTOBIBLE:Ac 2:26]]</w:t>
      </w:r>
      <w:r>
        <w:rPr>
          <w:b/>
        </w:rPr>
        <w:t>26</w:t>
      </w:r>
      <w:r>
        <w:rPr/>
        <w:t xml:space="preserve"> {{field-on:bible}} </w:t>
        <w:br/>
        <w:t>Darum freute sich mein Herz</w:t>
      </w:r>
      <w:r>
        <w:rPr>
          <w:rStyle w:val="Funotenanker"/>
        </w:rPr>
        <w:footnoteReference w:customMarkFollows="1" w:id="2536"/>
        <w:t>ao</w:t>
      </w:r>
      <w:r>
        <w:rPr/>
        <w:t xml:space="preserve">Und jubelte meine ZungeUnd noch dazu wird mein Fleisch sich niederlassen </w:t>
      </w:r>
      <w:r>
        <w:rPr>
          <w:color w:val="808080"/>
        </w:rPr>
        <w:t>(zelten)</w:t>
      </w:r>
      <w:r>
        <w:rPr/>
        <w:t xml:space="preserve"> aufgrund </w:t>
      </w:r>
      <w:r>
        <w:rPr>
          <w:b/>
          <w:color w:val="808080"/>
        </w:rPr>
        <w:t>[</w:t>
      </w:r>
      <w:r>
        <w:rPr/>
        <w:t>meiner</w:t>
      </w:r>
      <w:r>
        <w:rPr>
          <w:b/>
          <w:color w:val="808080"/>
        </w:rPr>
        <w:t>]</w:t>
      </w:r>
      <w:r>
        <w:rPr/>
        <w:t xml:space="preserve"> Zuversicht </w:t>
      </w:r>
      <w:r>
        <w:rPr>
          <w:color w:val="808080"/>
        </w:rPr>
        <w:t>(Hoffnung)</w:t>
      </w:r>
      <w:r>
        <w:rPr/>
        <w:t>,</w:t>
      </w:r>
      <w:r>
        <w:rPr>
          <w:rStyle w:val="Funotenanker"/>
        </w:rPr>
        <w:footnoteReference w:customMarkFollows="1" w:id="2537"/>
        <w:t>ap</w:t>
      </w:r>
      <w:r>
        <w:rPr/>
        <w:t xml:space="preserve"> </w:t>
        <w:br/>
        <w:t xml:space="preserve">{{field-off:bible}} </w:t>
        <w:br/>
        <w:t>[[@BibleTOBIBLE:Ac 2:27]]</w:t>
      </w:r>
      <w:r>
        <w:rPr>
          <w:b/>
        </w:rPr>
        <w:t>27</w:t>
      </w:r>
      <w:r>
        <w:rPr/>
        <w:t xml:space="preserve"> {{field-on:bible}} </w:t>
        <w:br/>
        <w:t>Weil du meine Seele nicht dem Hades</w:t>
      </w:r>
      <w:r>
        <w:rPr>
          <w:rStyle w:val="Funotenanker"/>
        </w:rPr>
        <w:footnoteReference w:customMarkFollows="1" w:id="2538"/>
        <w:t>aq</w:t>
      </w:r>
      <w:r>
        <w:rPr/>
        <w:t xml:space="preserve"> überlassen </w:t>
      </w:r>
      <w:r>
        <w:rPr>
          <w:color w:val="808080"/>
        </w:rPr>
        <w:t>(im Hades zurücklassen)</w:t>
      </w:r>
      <w:r>
        <w:rPr/>
        <w:t xml:space="preserve"> wirstUnd nicht zulassen wirst, dass dein Heiliger Verwesung erfährt.</w:t>
        <w:br/>
        <w:t xml:space="preserve">{{field-off:bible}} </w:t>
        <w:br/>
        <w:t>[[@BibleTOBIBLE:Ac 2:28]]</w:t>
      </w:r>
      <w:r>
        <w:rPr>
          <w:b/>
        </w:rPr>
        <w:t>28</w:t>
      </w:r>
      <w:r>
        <w:rPr/>
        <w:t xml:space="preserve"> {{field-on:bible}} </w:t>
        <w:br/>
        <w:t>Du hast mir die Wege des Lebens</w:t>
      </w:r>
      <w:r>
        <w:rPr>
          <w:rStyle w:val="Funotenanker"/>
        </w:rPr>
        <w:footnoteReference w:customMarkFollows="1" w:id="2539"/>
        <w:t>ar</w:t>
      </w:r>
      <w:r>
        <w:rPr/>
        <w:t xml:space="preserve"> kundgetan,Du wirst mich erfüllen mit Freude vor deinem Gesicht.«</w:t>
      </w:r>
      <w:r>
        <w:rPr>
          <w:rStyle w:val="Funotenanker"/>
        </w:rPr>
        <w:footnoteReference w:customMarkFollows="1" w:id="2540"/>
        <w:t>as</w:t>
      </w:r>
      <w:r>
        <w:rPr/>
        <w:t xml:space="preserve"> </w:t>
      </w:r>
      <w:r>
        <w:rPr>
          <w:position w:val="8"/>
          <w:sz w:val="19"/>
        </w:rPr>
        <w:t>[[ ℘ &gt;&gt; BibleTOBIBLE:Ps 16:8]]</w:t>
      </w:r>
      <w:r>
        <w:rPr/>
        <w:t xml:space="preserve"> </w:t>
        <w:br/>
        <w:t xml:space="preserve">{{field-off:bible}} </w:t>
        <w:br/>
        <w:t>[[@BibleTOBIBLE:Ac 2:29]]</w:t>
      </w:r>
      <w:r>
        <w:rPr>
          <w:b/>
        </w:rPr>
        <w:t>29</w:t>
      </w:r>
      <w:r>
        <w:rPr/>
        <w:t xml:space="preserve"> {{field-on:bible}} </w:t>
      </w:r>
      <w:r>
        <w:rPr>
          <w:b/>
          <w:color w:val="808080"/>
        </w:rPr>
        <w:t>[</w:t>
      </w:r>
      <w:r>
        <w:rPr/>
        <w:t>Liebe</w:t>
      </w:r>
      <w:r>
        <w:rPr>
          <w:b/>
          <w:color w:val="808080"/>
        </w:rPr>
        <w:t>]</w:t>
      </w:r>
      <w:r>
        <w:rPr/>
        <w:t xml:space="preserve"> Brüder, man kann mit Freimut </w:t>
      </w:r>
      <w:r>
        <w:rPr>
          <w:color w:val="808080"/>
        </w:rPr>
        <w:t>(Offenheit)</w:t>
      </w:r>
      <w:r>
        <w:rPr/>
        <w:t xml:space="preserve"> zu euch über den Patriarchen David sprechen – </w:t>
      </w:r>
      <w:r>
        <w:rPr>
          <w:b/>
          <w:color w:val="808080"/>
        </w:rPr>
        <w:t>[</w:t>
      </w:r>
      <w:r>
        <w:rPr/>
        <w:t>nämlich darüber,</w:t>
      </w:r>
      <w:r>
        <w:rPr>
          <w:b/>
          <w:color w:val="808080"/>
        </w:rPr>
        <w:t>]</w:t>
      </w:r>
      <w:r>
        <w:rPr/>
        <w:t xml:space="preserve"> dass er sowohl starb als auch begraben wurde, und </w:t>
      </w:r>
      <w:r>
        <w:rPr>
          <w:b/>
          <w:color w:val="808080"/>
        </w:rPr>
        <w:t>[</w:t>
      </w:r>
      <w:r>
        <w:rPr/>
        <w:t>dass</w:t>
      </w:r>
      <w:r>
        <w:rPr>
          <w:b/>
          <w:color w:val="808080"/>
        </w:rPr>
        <w:t>]</w:t>
      </w:r>
      <w:r>
        <w:rPr/>
        <w:t xml:space="preserve"> seine Grabstätte bis zu diesem Tage bei uns ist.</w:t>
      </w:r>
      <w:r>
        <w:rPr>
          <w:rStyle w:val="Funotenanker"/>
        </w:rPr>
        <w:footnoteReference w:customMarkFollows="1" w:id="2541"/>
        <w:t>at</w:t>
      </w:r>
      <w:r>
        <w:rPr/>
        <w:t xml:space="preserve"> {{field-off:bible}} </w:t>
        <w:br/>
        <w:t>[[@BibleTOBIBLE:Ac 2:30]]</w:t>
      </w:r>
      <w:r>
        <w:rPr>
          <w:b/>
        </w:rPr>
        <w:t>30</w:t>
      </w:r>
      <w:r>
        <w:rPr/>
        <w:t xml:space="preserve"> {{field-on:bible}}Weil er nun ein Prophet</w:t>
      </w:r>
      <w:r>
        <w:rPr>
          <w:rStyle w:val="Funotenanker"/>
        </w:rPr>
        <w:footnoteReference w:customMarkFollows="1" w:id="2542"/>
        <w:t>au</w:t>
      </w:r>
      <w:r>
        <w:rPr/>
        <w:t xml:space="preserve"> war und wusste, dass Gott ihm mit einem Eid geschworen hatte, </w:t>
      </w:r>
      <w:r>
        <w:rPr>
          <w:b/>
          <w:color w:val="808080"/>
        </w:rPr>
        <w:t>[</w:t>
      </w:r>
      <w:r>
        <w:rPr/>
        <w:t>jemanden</w:t>
      </w:r>
      <w:r>
        <w:rPr>
          <w:b/>
          <w:color w:val="808080"/>
        </w:rPr>
        <w:t>]</w:t>
      </w:r>
      <w:r>
        <w:rPr/>
        <w:t xml:space="preserve"> aus der Frucht seiner Lende auf seinen Thron zu setzen, </w:t>
      </w:r>
      <w:r>
        <w:rPr>
          <w:position w:val="8"/>
          <w:sz w:val="19"/>
        </w:rPr>
        <w:t>[[ ℘ &gt;&gt; BibleTOBIBLE:Ps 132:11]]</w:t>
      </w:r>
      <w:r>
        <w:rPr/>
        <w:t xml:space="preserve"> {{field-off:bible}} </w:t>
        <w:br/>
        <w:t>[[@BibleTOBIBLE:Ac 2:31]]</w:t>
      </w:r>
      <w:r>
        <w:rPr>
          <w:b/>
        </w:rPr>
        <w:t>31</w:t>
      </w:r>
      <w:r>
        <w:rPr/>
        <w:t xml:space="preserve"> {{field-on:bible}}sprach er im Vorhinein über die Auferstehung des Christus – </w:t>
      </w:r>
      <w:r>
        <w:rPr>
          <w:b/>
          <w:color w:val="808080"/>
        </w:rPr>
        <w:t>[</w:t>
      </w:r>
      <w:r>
        <w:rPr/>
        <w:t>nämlich,</w:t>
      </w:r>
      <w:r>
        <w:rPr>
          <w:b/>
          <w:color w:val="808080"/>
        </w:rPr>
        <w:t>]</w:t>
      </w:r>
      <w:r>
        <w:rPr/>
        <w:t xml:space="preserve"> dass er weder dem Hades überlassen werden würde </w:t>
      </w:r>
      <w:r>
        <w:rPr>
          <w:color w:val="808080"/>
        </w:rPr>
        <w:t>(im Hades zurückgelassen werden würde)</w:t>
      </w:r>
      <w:r>
        <w:rPr/>
        <w:t xml:space="preserve"> noch sein Fleisch Verwesung erfahren würde. </w:t>
      </w:r>
      <w:r>
        <w:rPr>
          <w:position w:val="8"/>
          <w:sz w:val="19"/>
        </w:rPr>
        <w:t>[[ ℘ &gt;&gt; BibleTOBIBLE:Ps 16:10]]</w:t>
      </w:r>
      <w:r>
        <w:rPr/>
        <w:t xml:space="preserve"> {{field-off:bible}} </w:t>
        <w:br/>
        <w:t>[[@BibleTOBIBLE:Ac 2:32]]</w:t>
      </w:r>
      <w:r>
        <w:rPr>
          <w:b/>
        </w:rPr>
        <w:t>32</w:t>
      </w:r>
      <w:r>
        <w:rPr/>
        <w:t xml:space="preserve"> {{field-on:bible}}Diesen Jesus hat Gott auferstehen lassen, wofür wir alle Zeugen sind.{{field-off:bible}} </w:t>
        <w:br/>
        <w:t>[[@BibleTOBIBLE:Ac 2:33]]</w:t>
      </w:r>
      <w:r>
        <w:rPr>
          <w:b/>
        </w:rPr>
        <w:t>33</w:t>
      </w:r>
      <w:r>
        <w:rPr/>
        <w:t xml:space="preserve"> {{field-on:bible}}Nachdem er nun zur Rechten </w:t>
      </w:r>
      <w:r>
        <w:rPr>
          <w:color w:val="808080"/>
        </w:rPr>
        <w:t>(durch die rechte Hand)</w:t>
      </w:r>
      <w:r>
        <w:rPr/>
        <w:t xml:space="preserve"> Gottes erhöht worden war und auch den verheißenen Heiligen Geist </w:t>
      </w:r>
      <w:r>
        <w:rPr>
          <w:color w:val="808080"/>
        </w:rPr>
        <w:t>(die Verheißung des Heiligen Geistes)</w:t>
      </w:r>
      <w:r>
        <w:rPr/>
        <w:t xml:space="preserve"> vom Vater empfangen hatte, goß er diesen aus, was </w:t>
      </w:r>
      <w:r>
        <w:rPr>
          <w:color w:val="808080"/>
        </w:rPr>
        <w:t>(den)</w:t>
      </w:r>
      <w:r>
        <w:rPr/>
        <w:t xml:space="preserve"> ihr sowohl seht als auch hört.{{field-off:bible}} </w:t>
        <w:br/>
        <w:t>[[@BibleTOBIBLE:Ac 2:34]]</w:t>
      </w:r>
      <w:r>
        <w:rPr>
          <w:b/>
        </w:rPr>
        <w:t>34</w:t>
      </w:r>
      <w:r>
        <w:rPr/>
        <w:t xml:space="preserve"> {{field-on:bible}}Denn nicht David ist in den Himmel hinaufgestiegen; stattdessen sagt er selbst: </w:t>
        <w:br/>
        <w:t xml:space="preserve">»Es sagte der Herr zu meinem Herrn: »Sitze </w:t>
      </w:r>
      <w:r>
        <w:rPr>
          <w:color w:val="808080"/>
        </w:rPr>
        <w:t>(Setze dich)</w:t>
      </w:r>
      <w:r>
        <w:rPr/>
        <w:t xml:space="preserve"> zu meiner Rechten,</w:t>
        <w:br/>
        <w:t xml:space="preserve">{{field-off:bible}} </w:t>
        <w:br/>
        <w:t>[[@BibleTOBIBLE:Ac 2:35]]</w:t>
      </w:r>
      <w:r>
        <w:rPr>
          <w:b/>
        </w:rPr>
        <w:t>35</w:t>
      </w:r>
      <w:r>
        <w:rPr/>
        <w:t xml:space="preserve"> {{field-on:bible}} </w:t>
        <w:br/>
        <w:t xml:space="preserve">bis ich deine Feinde zum Schemel für deine Füße mache!«« </w:t>
      </w:r>
      <w:r>
        <w:rPr>
          <w:position w:val="8"/>
          <w:sz w:val="19"/>
        </w:rPr>
        <w:t>[[ ℘ &gt;&gt; BibleTOBIBLE:Ps 110:1]]</w:t>
      </w:r>
      <w:r>
        <w:rPr/>
        <w:t xml:space="preserve"> </w:t>
        <w:br/>
        <w:t xml:space="preserve">{{field-off:bible}} </w:t>
        <w:br/>
        <w:t>[[@BibleTOBIBLE:Ac 2:36]]</w:t>
      </w:r>
      <w:r>
        <w:rPr>
          <w:b/>
        </w:rPr>
        <w:t>36</w:t>
      </w:r>
      <w:r>
        <w:rPr/>
        <w:t xml:space="preserve"> {{field-on:bible}}Mit Sicherheit sei nun dem ganzen Haus Israel bekannt, dass Gott ihn sowohl zum Herrn als auch zum Christus gemacht hat – diesen Jesus, den ihr gekreuzigt habt!{{field-off:bible}} </w:t>
        <w:br/>
        <w:t>[[@BibleTOBIBLE:Ac 2:37]]</w:t>
      </w:r>
      <w:r>
        <w:rPr>
          <w:b/>
        </w:rPr>
        <w:t>37</w:t>
      </w:r>
      <w:r>
        <w:rPr/>
        <w:t xml:space="preserve"> {{field-on:bible}}Als sie </w:t>
      </w:r>
      <w:r>
        <w:rPr>
          <w:strike/>
          <w:color w:val="808080"/>
        </w:rPr>
        <w:t>{aber}</w:t>
      </w:r>
      <w:r>
        <w:rPr/>
        <w:t xml:space="preserve"> </w:t>
      </w:r>
      <w:r>
        <w:rPr>
          <w:b/>
          <w:color w:val="808080"/>
        </w:rPr>
        <w:t>[</w:t>
      </w:r>
      <w:r>
        <w:rPr/>
        <w:t>dies</w:t>
      </w:r>
      <w:r>
        <w:rPr>
          <w:b/>
          <w:color w:val="808080"/>
        </w:rPr>
        <w:t>]</w:t>
      </w:r>
      <w:r>
        <w:rPr/>
        <w:t xml:space="preserve"> hörten, wurden sie im Herz durchbohrt.</w:t>
      </w:r>
      <w:r>
        <w:rPr>
          <w:rStyle w:val="Funotenanker"/>
        </w:rPr>
        <w:footnoteReference w:customMarkFollows="1" w:id="2543"/>
        <w:t>av</w:t>
      </w:r>
      <w:r>
        <w:rPr/>
        <w:t xml:space="preserve"> Sie sagten auch zu Petrus und den übrigen Aposteln: »Was sollen wir tun, </w:t>
      </w:r>
      <w:r>
        <w:rPr>
          <w:b/>
          <w:color w:val="808080"/>
        </w:rPr>
        <w:t>[</w:t>
      </w:r>
      <w:r>
        <w:rPr/>
        <w:t>liebe</w:t>
      </w:r>
      <w:r>
        <w:rPr>
          <w:b/>
          <w:color w:val="808080"/>
        </w:rPr>
        <w:t>]</w:t>
      </w:r>
      <w:r>
        <w:rPr/>
        <w:t xml:space="preserve"> Brüder?«{{field-off:bible}} </w:t>
        <w:br/>
        <w:t>[[@BibleTOBIBLE:Ac 2:38]]</w:t>
      </w:r>
      <w:r>
        <w:rPr>
          <w:b/>
        </w:rPr>
        <w:t>38</w:t>
      </w:r>
      <w:r>
        <w:rPr/>
        <w:t xml:space="preserve"> {{field-on:bible}}Petrus </w:t>
      </w:r>
      <w:r>
        <w:rPr>
          <w:strike/>
          <w:color w:val="808080"/>
        </w:rPr>
        <w:t>{aber}</w:t>
      </w:r>
      <w:r>
        <w:rPr/>
        <w:t xml:space="preserve"> </w:t>
      </w:r>
      <w:r>
        <w:rPr>
          <w:b/>
          <w:color w:val="808080"/>
        </w:rPr>
        <w:t>[</w:t>
      </w:r>
      <w:r>
        <w:rPr/>
        <w:t>antwortete</w:t>
      </w:r>
      <w:r>
        <w:rPr>
          <w:b/>
          <w:color w:val="808080"/>
        </w:rPr>
        <w:t>]</w:t>
      </w:r>
      <w:r>
        <w:rPr/>
        <w:t xml:space="preserve"> ihnen: »Denkt um!«,</w:t>
      </w:r>
      <w:r>
        <w:rPr>
          <w:rStyle w:val="Funotenanker"/>
        </w:rPr>
        <w:footnoteReference w:customMarkFollows="1" w:id="2544"/>
        <w:t>aw</w:t>
      </w:r>
      <w:r>
        <w:rPr/>
        <w:t xml:space="preserve"> </w:t>
      </w:r>
      <w:r>
        <w:rPr>
          <w:strike/>
          <w:color w:val="808080"/>
        </w:rPr>
        <w:t>{sagt[e] er,}</w:t>
      </w:r>
      <w:r>
        <w:rPr/>
        <w:t xml:space="preserve"> </w:t>
      </w:r>
      <w:r>
        <w:rPr>
          <w:rStyle w:val="Funotenanker"/>
        </w:rPr>
        <w:footnoteReference w:customMarkFollows="1" w:id="2545"/>
        <w:t>ax</w:t>
      </w:r>
      <w:r>
        <w:rPr/>
        <w:t xml:space="preserve"> »und es lasse sich taufen ein jeder von euch auf</w:t>
      </w:r>
      <w:r>
        <w:rPr>
          <w:rStyle w:val="Funotenanker"/>
        </w:rPr>
        <w:footnoteReference w:customMarkFollows="1" w:id="2546"/>
        <w:t>ay</w:t>
      </w:r>
      <w:r>
        <w:rPr/>
        <w:t xml:space="preserve"> den Namen Jesu Christi</w:t>
      </w:r>
      <w:r>
        <w:rPr>
          <w:rStyle w:val="Funotenanker"/>
        </w:rPr>
        <w:footnoteReference w:customMarkFollows="1" w:id="2547"/>
        <w:t>az</w:t>
      </w:r>
      <w:r>
        <w:rPr/>
        <w:t xml:space="preserve"> zur Vergebung der Sünden von euch! Und ihr werdet empfangen das Geschenk, </w:t>
      </w:r>
      <w:r>
        <w:rPr>
          <w:b/>
          <w:color w:val="808080"/>
        </w:rPr>
        <w:t>[</w:t>
      </w:r>
      <w:r>
        <w:rPr/>
        <w:t>das</w:t>
      </w:r>
      <w:r>
        <w:rPr>
          <w:b/>
          <w:color w:val="808080"/>
        </w:rPr>
        <w:t>]</w:t>
      </w:r>
      <w:r>
        <w:rPr/>
        <w:t xml:space="preserve"> der Heilige Geist </w:t>
      </w:r>
      <w:r>
        <w:rPr>
          <w:b/>
          <w:color w:val="808080"/>
        </w:rPr>
        <w:t>[</w:t>
      </w:r>
      <w:r>
        <w:rPr/>
        <w:t>ist</w:t>
      </w:r>
      <w:r>
        <w:rPr>
          <w:b/>
          <w:color w:val="808080"/>
        </w:rPr>
        <w:t>]</w:t>
      </w:r>
      <w:r>
        <w:rPr/>
        <w:t xml:space="preserve">.{{field-off:bible}} </w:t>
        <w:br/>
        <w:t>[[@BibleTOBIBLE:Ac 2:39]]</w:t>
      </w:r>
      <w:r>
        <w:rPr>
          <w:b/>
        </w:rPr>
        <w:t>39</w:t>
      </w:r>
      <w:r>
        <w:rPr/>
        <w:t xml:space="preserve"> {{field-on:bible}}''Euch'' nämlich gilt die Verheißung</w:t>
      </w:r>
      <w:r>
        <w:rPr>
          <w:rStyle w:val="Funotenanker"/>
        </w:rPr>
        <w:footnoteReference w:customMarkFollows="1" w:id="2548"/>
        <w:t>ba</w:t>
      </w:r>
      <w:r>
        <w:rPr/>
        <w:t xml:space="preserve"> und euren Kindern, und allen, die fern</w:t>
      </w:r>
      <w:r>
        <w:rPr>
          <w:rStyle w:val="Funotenanker"/>
        </w:rPr>
        <w:footnoteReference w:customMarkFollows="1" w:id="2549"/>
        <w:t>bb</w:t>
      </w:r>
      <w:r>
        <w:rPr/>
        <w:t xml:space="preserve"> </w:t>
      </w:r>
      <w:r>
        <w:rPr>
          <w:b/>
          <w:color w:val="808080"/>
        </w:rPr>
        <w:t>[</w:t>
      </w:r>
      <w:r>
        <w:rPr/>
        <w:t>sind</w:t>
      </w:r>
      <w:r>
        <w:rPr>
          <w:b/>
          <w:color w:val="808080"/>
        </w:rPr>
        <w:t>]</w:t>
      </w:r>
      <w:r>
        <w:rPr/>
        <w:t>, wie viele auch hinzurufen</w:t>
      </w:r>
      <w:r>
        <w:rPr>
          <w:rStyle w:val="Funotenanker"/>
        </w:rPr>
        <w:footnoteReference w:customMarkFollows="1" w:id="2550"/>
        <w:t>bc</w:t>
      </w:r>
      <w:r>
        <w:rPr/>
        <w:t xml:space="preserve"> mag der Herr, unser Gott.«{{field-off:bible}} </w:t>
        <w:br/>
        <w:t>[[@BibleTOBIBLE:Ac 2:40]]</w:t>
      </w:r>
      <w:r>
        <w:rPr>
          <w:b/>
        </w:rPr>
        <w:t>40</w:t>
      </w:r>
      <w:r>
        <w:rPr/>
        <w:t xml:space="preserve"> {{field-on:bible}}Auch mit anderen weiteren</w:t>
      </w:r>
      <w:r>
        <w:rPr>
          <w:rStyle w:val="Funotenanker"/>
        </w:rPr>
        <w:footnoteReference w:customMarkFollows="1" w:id="2551"/>
        <w:t>bd</w:t>
      </w:r>
      <w:r>
        <w:rPr/>
        <w:t xml:space="preserve"> Worten legte er Zeugnis ab und mahnte sie </w:t>
      </w:r>
      <w:r>
        <w:rPr>
          <w:strike/>
          <w:color w:val="808080"/>
        </w:rPr>
        <w:t>{indem er sagte}</w:t>
      </w:r>
      <w:r>
        <w:rPr/>
        <w:t>: »Lasst euch retten aus diesem verkehrten Geschlecht!«</w:t>
      </w:r>
      <w:r>
        <w:rPr>
          <w:rStyle w:val="Funotenanker"/>
        </w:rPr>
        <w:footnoteReference w:customMarkFollows="1" w:id="2552"/>
        <w:t>be</w:t>
      </w:r>
      <w:r>
        <w:rPr/>
        <w:t xml:space="preserve"> {{field-off:bible}} </w:t>
        <w:br/>
        <w:t>[[@BibleTOBIBLE:Ac 2:41]]</w:t>
      </w:r>
      <w:r>
        <w:rPr>
          <w:b/>
        </w:rPr>
        <w:t>41</w:t>
      </w:r>
      <w:r>
        <w:rPr/>
        <w:t xml:space="preserve"> {{field-on:bible}}Diejenigen nun, die seine Rede annahmen, ließen sich taufen und so wurden an jenem Tag etwa 3000 Seelen</w:t>
      </w:r>
      <w:r>
        <w:rPr>
          <w:rStyle w:val="Funotenanker"/>
        </w:rPr>
        <w:footnoteReference w:customMarkFollows="1" w:id="2553"/>
        <w:t>bf</w:t>
      </w:r>
      <w:r>
        <w:rPr/>
        <w:t xml:space="preserve"> hinzugefügt.{{field-off:bible}} </w:t>
        <w:br/>
        <w:t>[[@BibleTOBIBLE:Ac 2:42]]</w:t>
      </w:r>
      <w:r>
        <w:rPr>
          <w:b/>
        </w:rPr>
        <w:t>42</w:t>
      </w:r>
      <w:r>
        <w:rPr/>
        <w:t xml:space="preserve"> {{field-on:bible}}Sie hielten </w:t>
      </w:r>
      <w:r>
        <w:rPr>
          <w:strike/>
          <w:color w:val="808080"/>
        </w:rPr>
        <w:t>{aber}</w:t>
      </w:r>
      <w:r>
        <w:rPr/>
        <w:t xml:space="preserve"> </w:t>
      </w:r>
      <w:r>
        <w:rPr>
          <w:b/>
          <w:color w:val="808080"/>
        </w:rPr>
        <w:t>[</w:t>
      </w:r>
      <w:r>
        <w:rPr/>
        <w:t>beständig sehr</w:t>
      </w:r>
      <w:r>
        <w:rPr>
          <w:b/>
          <w:color w:val="808080"/>
        </w:rPr>
        <w:t>]</w:t>
      </w:r>
      <w:r>
        <w:rPr/>
        <w:t xml:space="preserve"> fest</w:t>
      </w:r>
      <w:r>
        <w:rPr>
          <w:rStyle w:val="Funotenanker"/>
        </w:rPr>
        <w:footnoteReference w:customMarkFollows="1" w:id="2554"/>
        <w:t>bg</w:t>
      </w:r>
      <w:r>
        <w:rPr/>
        <w:t xml:space="preserve"> an der Lehre</w:t>
      </w:r>
      <w:r>
        <w:rPr>
          <w:rStyle w:val="Funotenanker"/>
        </w:rPr>
        <w:footnoteReference w:customMarkFollows="1" w:id="2555"/>
        <w:t>bh</w:t>
      </w:r>
      <w:r>
        <w:rPr/>
        <w:t xml:space="preserve"> der Apostel und an der Gemeinschaft,</w:t>
      </w:r>
      <w:r>
        <w:rPr>
          <w:rStyle w:val="Funotenanker"/>
        </w:rPr>
        <w:footnoteReference w:customMarkFollows="1" w:id="2556"/>
        <w:t>bi</w:t>
      </w:r>
      <w:r>
        <w:rPr/>
        <w:t xml:space="preserve"> </w:t>
      </w:r>
      <w:r>
        <w:rPr>
          <w:color w:val="808080"/>
        </w:rPr>
        <w:t>(dem gemeinschaftlichen Brotbrechen)</w:t>
      </w:r>
      <w:r>
        <w:rPr/>
        <w:t xml:space="preserve"> </w:t>
      </w:r>
      <w:r>
        <w:rPr>
          <w:rStyle w:val="Funotenanker"/>
        </w:rPr>
        <w:footnoteReference w:customMarkFollows="1" w:id="2557"/>
        <w:t>bj</w:t>
      </w:r>
      <w:r>
        <w:rPr/>
        <w:t xml:space="preserve"> dem Brotbrechen</w:t>
      </w:r>
      <w:r>
        <w:rPr>
          <w:rStyle w:val="Funotenanker"/>
        </w:rPr>
        <w:footnoteReference w:customMarkFollows="1" w:id="2558"/>
        <w:t>bk</w:t>
      </w:r>
      <w:r>
        <w:rPr/>
        <w:t xml:space="preserve"> und den Gebeten.{{field-off:bible}} </w:t>
        <w:br/>
        <w:t>[[@BibleTOBIBLE:Ac 2:43]]</w:t>
      </w:r>
      <w:r>
        <w:rPr>
          <w:b/>
        </w:rPr>
        <w:t>43</w:t>
      </w:r>
      <w:r>
        <w:rPr/>
        <w:t xml:space="preserve"> {{field-on:bible}} </w:t>
      </w:r>
      <w:r>
        <w:rPr>
          <w:b/>
          <w:color w:val="808080"/>
        </w:rPr>
        <w:t>[</w:t>
      </w:r>
      <w:r>
        <w:rPr/>
        <w:t>Und</w:t>
      </w:r>
      <w:r>
        <w:rPr>
          <w:b/>
          <w:color w:val="808080"/>
        </w:rPr>
        <w:t>]</w:t>
      </w:r>
      <w:r>
        <w:rPr/>
        <w:t xml:space="preserve"> es war </w:t>
      </w:r>
      <w:r>
        <w:rPr>
          <w:color w:val="808080"/>
        </w:rPr>
        <w:t>(da entstand)</w:t>
      </w:r>
      <w:r>
        <w:rPr/>
        <w:t xml:space="preserve"> </w:t>
      </w:r>
      <w:r>
        <w:rPr>
          <w:strike/>
          <w:color w:val="808080"/>
        </w:rPr>
        <w:t>{aber}</w:t>
      </w:r>
      <w:r>
        <w:rPr/>
        <w:t xml:space="preserve"> Ehrfurcht </w:t>
      </w:r>
      <w:r>
        <w:rPr>
          <w:color w:val="808080"/>
        </w:rPr>
        <w:t>(Furcht)</w:t>
      </w:r>
      <w:r>
        <w:rPr/>
        <w:t xml:space="preserve"> </w:t>
      </w:r>
      <w:r>
        <w:rPr>
          <w:rStyle w:val="Funotenanker"/>
        </w:rPr>
        <w:footnoteReference w:customMarkFollows="1" w:id="2559"/>
        <w:t>bl</w:t>
      </w:r>
      <w:r>
        <w:rPr/>
        <w:t xml:space="preserve"> in allen Seelen; es geschahen sowohl viele Wunder als auch Zeichen durch die Apostel.{{field-off:bible}} </w:t>
        <w:br/>
        <w:t>[[@BibleTOBIBLE:Ac 2:44]]</w:t>
      </w:r>
      <w:r>
        <w:rPr>
          <w:b/>
        </w:rPr>
        <w:t>44</w:t>
      </w:r>
      <w:r>
        <w:rPr/>
        <w:t xml:space="preserve"> {{field-on:bible}} </w:t>
      </w:r>
      <w:r>
        <w:rPr>
          <w:strike/>
          <w:color w:val="808080"/>
        </w:rPr>
        <w:t>{Aber}</w:t>
      </w:r>
      <w:r>
        <w:rPr/>
        <w:t xml:space="preserve"> alle Glaubenden </w:t>
      </w:r>
      <w:r>
        <w:rPr>
          <w:strike/>
          <w:color w:val="808080"/>
        </w:rPr>
        <w:t>{waren}</w:t>
      </w:r>
      <w:r>
        <w:rPr/>
        <w:t xml:space="preserve"> </w:t>
      </w:r>
      <w:r>
        <w:rPr>
          <w:b/>
          <w:color w:val="808080"/>
        </w:rPr>
        <w:t>[</w:t>
      </w:r>
      <w:r>
        <w:rPr/>
        <w:t>als</w:t>
      </w:r>
      <w:r>
        <w:rPr>
          <w:b/>
          <w:color w:val="808080"/>
        </w:rPr>
        <w:t>]</w:t>
      </w:r>
      <w:r>
        <w:rPr/>
        <w:t xml:space="preserve"> Gemeinschaft </w:t>
      </w:r>
      <w:r>
        <w:rPr>
          <w:color w:val="808080"/>
        </w:rPr>
        <w:t>(?, zusammen)</w:t>
      </w:r>
      <w:r>
        <w:rPr/>
        <w:t xml:space="preserve"> </w:t>
      </w:r>
      <w:r>
        <w:rPr>
          <w:rStyle w:val="Funotenanker"/>
        </w:rPr>
        <w:footnoteReference w:customMarkFollows="1" w:id="2560"/>
        <w:t>bm</w:t>
      </w:r>
      <w:r>
        <w:rPr/>
        <w:t xml:space="preserve"> </w:t>
      </w:r>
      <w:r>
        <w:rPr>
          <w:strike/>
          <w:color w:val="808080"/>
        </w:rPr>
        <w:t>{und}</w:t>
      </w:r>
      <w:r>
        <w:rPr/>
        <w:t xml:space="preserve"> </w:t>
      </w:r>
      <w:r>
        <w:rPr>
          <w:rStyle w:val="Funotenanker"/>
        </w:rPr>
        <w:footnoteReference w:customMarkFollows="1" w:id="2561"/>
        <w:t>bn</w:t>
      </w:r>
      <w:r>
        <w:rPr/>
        <w:t xml:space="preserve"> sie hatten alles gemeinsam:</w:t>
      </w:r>
      <w:r>
        <w:rPr>
          <w:rStyle w:val="Funotenanker"/>
        </w:rPr>
        <w:footnoteReference w:customMarkFollows="1" w:id="2562"/>
        <w:t>bo</w:t>
      </w:r>
      <w:r>
        <w:rPr/>
        <w:t xml:space="preserve"> {{field-off:bible}} </w:t>
        <w:br/>
        <w:t>[[@BibleTOBIBLE:Ac 2:45]]</w:t>
      </w:r>
      <w:r>
        <w:rPr>
          <w:b/>
        </w:rPr>
        <w:t>45</w:t>
      </w:r>
      <w:r>
        <w:rPr/>
        <w:t xml:space="preserve"> {{field-on:bible}} </w:t>
      </w:r>
      <w:r>
        <w:rPr>
          <w:strike/>
          <w:color w:val="808080"/>
        </w:rPr>
        <w:t>{Und}</w:t>
      </w:r>
      <w:r>
        <w:rPr/>
        <w:t xml:space="preserve"> </w:t>
      </w:r>
      <w:r>
        <w:rPr>
          <w:b/>
          <w:color w:val="808080"/>
        </w:rPr>
        <w:t>[</w:t>
      </w:r>
      <w:r>
        <w:rPr/>
        <w:t>immer wieder</w:t>
      </w:r>
      <w:r>
        <w:rPr>
          <w:b/>
          <w:color w:val="808080"/>
        </w:rPr>
        <w:t>]</w:t>
      </w:r>
      <w:r>
        <w:rPr/>
        <w:t xml:space="preserve"> </w:t>
      </w:r>
      <w:r>
        <w:rPr>
          <w:rStyle w:val="Funotenanker"/>
        </w:rPr>
        <w:footnoteReference w:customMarkFollows="1" w:id="2563"/>
        <w:t>bp</w:t>
      </w:r>
      <w:r>
        <w:rPr/>
        <w:t xml:space="preserve"> verkauften sie die Habe und die Besitztümer und verteilten sie an alle, wie jemand Bedarf hatte.{{field-off:bible}} </w:t>
        <w:br/>
        <w:t>[[@BibleTOBIBLE:Ac 2:46]]</w:t>
      </w:r>
      <w:r>
        <w:rPr>
          <w:b/>
        </w:rPr>
        <w:t>46</w:t>
      </w:r>
      <w:r>
        <w:rPr/>
        <w:t xml:space="preserve"> {{field-on:bible}}Indem sie sich täglich einmütig </w:t>
      </w:r>
      <w:r>
        <w:rPr>
          <w:color w:val="808080"/>
        </w:rPr>
        <w:t>(einträchtig)</w:t>
      </w:r>
      <w:r>
        <w:rPr/>
        <w:t xml:space="preserve"> im Tempel aufhielten und im Haus</w:t>
      </w:r>
      <w:r>
        <w:rPr>
          <w:rStyle w:val="Funotenanker"/>
        </w:rPr>
        <w:footnoteReference w:customMarkFollows="1" w:id="2564"/>
        <w:t>bq</w:t>
      </w:r>
      <w:r>
        <w:rPr/>
        <w:t xml:space="preserve"> Brot brachen, nahmen sie Speise in Jubel und Schlichtheit des Herzens </w:t>
      </w:r>
      <w:r>
        <w:rPr>
          <w:color w:val="808080"/>
        </w:rPr>
        <w:t>(jubelnd und mit lauterem Herzen)</w:t>
      </w:r>
      <w:r>
        <w:rPr/>
        <w:t xml:space="preserve"> zu sich;{{field-off:bible}} </w:t>
        <w:br/>
        <w:t>[[@BibleTOBIBLE:Ac 2:47]]</w:t>
      </w:r>
      <w:r>
        <w:rPr>
          <w:b/>
        </w:rPr>
        <w:t>47</w:t>
      </w:r>
      <w:r>
        <w:rPr/>
        <w:t xml:space="preserve"> {{field-on:bible}}sie lobten Gott und hatten Ansehen beim </w:t>
      </w:r>
      <w:r>
        <w:rPr>
          <w:color w:val="808080"/>
        </w:rPr>
        <w:t>(waren gefällig dem)</w:t>
      </w:r>
      <w:r>
        <w:rPr/>
        <w:t xml:space="preserve"> ganzen Volk. </w:t>
      </w:r>
      <w:r>
        <w:rPr>
          <w:b/>
          <w:color w:val="808080"/>
        </w:rPr>
        <w:t>[</w:t>
      </w:r>
      <w:r>
        <w:rPr/>
        <w:t>Und</w:t>
      </w:r>
      <w:r>
        <w:rPr>
          <w:b/>
          <w:color w:val="808080"/>
        </w:rPr>
        <w:t>]</w:t>
      </w:r>
      <w:r>
        <w:rPr/>
        <w:t xml:space="preserve"> der Herr </w:t>
      </w:r>
      <w:r>
        <w:rPr>
          <w:strike/>
          <w:color w:val="808080"/>
        </w:rPr>
        <w:t>{aber}</w:t>
      </w:r>
      <w:r>
        <w:rPr/>
        <w:t xml:space="preserve"> fügte täglich Gerettete</w:t>
      </w:r>
      <w:r>
        <w:rPr>
          <w:rStyle w:val="Funotenanker"/>
        </w:rPr>
        <w:footnoteReference w:customMarkFollows="1" w:id="2565"/>
        <w:t>br</w:t>
      </w:r>
      <w:r>
        <w:rPr/>
        <w:t xml:space="preserve"> hinzu zur Gemeinschaft </w:t>
      </w:r>
      <w:r>
        <w:rPr>
          <w:color w:val="808080"/>
        </w:rPr>
        <w:t>(?, zusammen?)</w:t>
      </w:r>
      <w:r>
        <w:rPr/>
        <w:t xml:space="preserve">. “{{field-off:bible}}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2566"/>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2567"/>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2568"/>
        <w:t>b</w:t>
      </w:r>
      <w:r>
        <w:rPr/>
        <w:t xml:space="preserve"> bekannt macht</w:t>
      </w:r>
      <w:r>
        <w:rPr>
          <w:rStyle w:val="Funotenanker"/>
        </w:rPr>
        <w:footnoteReference w:customMarkFollows="1" w:id="2569"/>
        <w:t>c</w:t>
      </w:r>
      <w:r>
        <w:rPr/>
        <w:t xml:space="preserve"> </w:t>
      </w:r>
      <w:r>
        <w:rPr>
          <w:color w:val="808080"/>
        </w:rPr>
        <w:t>(sichtbar macht; sehen lässt; zeigt)</w:t>
      </w:r>
      <w:r>
        <w:rPr/>
        <w:t xml:space="preserve"> </w:t>
      </w:r>
      <w:r>
        <w:rPr>
          <w:rStyle w:val="Funotenanker"/>
        </w:rPr>
        <w:footnoteReference w:customMarkFollows="1" w:id="2570"/>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2571"/>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2572"/>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2573"/>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2574"/>
        <w:t>h</w:t>
      </w:r>
      <w:r>
        <w:rPr/>
        <w:t xml:space="preserve"> vor Gott</w:t>
      </w:r>
      <w:r>
        <w:rPr>
          <w:rStyle w:val="Funotenanker"/>
        </w:rPr>
        <w:footnoteReference w:customMarkFollows="1" w:id="2575"/>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2576"/>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2577"/>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2578"/>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2579"/>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2580"/>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2581"/>
        <w:t>d</w:t>
      </w:r>
      <w:r>
        <w:rPr/>
        <w:t xml:space="preserve"> in Christus </w:t>
      </w:r>
      <w:r>
        <w:rPr>
          <w:color w:val="808080"/>
        </w:rPr>
        <w:t>(an Christus Glaubenden)</w:t>
      </w:r>
      <w:r>
        <w:rPr/>
        <w:t xml:space="preserve"> </w:t>
      </w:r>
      <w:r>
        <w:rPr>
          <w:rStyle w:val="Funotenanker"/>
        </w:rPr>
        <w:footnoteReference w:customMarkFollows="1" w:id="2582"/>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2583"/>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2584"/>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2585"/>
        <w:t>h</w:t>
      </w:r>
      <w:r>
        <w:rPr/>
        <w:t xml:space="preserve"> gehört haben</w:t>
      </w:r>
      <w:r>
        <w:rPr>
          <w:rStyle w:val="Funotenanker"/>
        </w:rPr>
        <w:footnoteReference w:customMarkFollows="1" w:id="2586"/>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2587"/>
        <w:t>j</w:t>
      </w:r>
      <w:r>
        <w:rPr/>
        <w:t xml:space="preserve"> der </w:t>
      </w:r>
      <w:r>
        <w:rPr>
          <w:color w:val="808080"/>
        </w:rPr>
        <w:t>(durch die)</w:t>
      </w:r>
      <w:r>
        <w:rPr/>
        <w:t xml:space="preserve"> Hoffnung, die im Himmel</w:t>
      </w:r>
      <w:r>
        <w:rPr>
          <w:rStyle w:val="Funotenanker"/>
        </w:rPr>
        <w:footnoteReference w:customMarkFollows="1" w:id="2588"/>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2589"/>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2590"/>
        <w:t>m</w:t>
      </w:r>
      <w:r>
        <w:rPr/>
        <w:t xml:space="preserve"> gehört habt,{{field-off:bible}} </w:t>
        <w:br/>
        <w:t>[[@BibleTOBIBLE:Col 1:6]]</w:t>
      </w:r>
      <w:r>
        <w:rPr>
          <w:b/>
        </w:rPr>
        <w:t>6</w:t>
      </w:r>
      <w:r>
        <w:rPr/>
        <w:t xml:space="preserve"> {{field-on:bible}}das zu euch gekommen ist,</w:t>
      </w:r>
      <w:r>
        <w:rPr>
          <w:rStyle w:val="Funotenanker"/>
        </w:rPr>
        <w:footnoteReference w:customMarkFollows="1" w:id="2591"/>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2592"/>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2593"/>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2594"/>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2595"/>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2596"/>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2597"/>
        <w:t>t</w:t>
      </w:r>
      <w:r>
        <w:rPr/>
        <w:t xml:space="preserve"> gelernt habt, der ein treuer Diener Christi an unserer Stelle </w:t>
      </w:r>
      <w:r>
        <w:rPr>
          <w:color w:val="808080"/>
        </w:rPr>
        <w:t>(für euch)</w:t>
      </w:r>
      <w:r>
        <w:rPr/>
        <w:t xml:space="preserve"> </w:t>
      </w:r>
      <w:r>
        <w:rPr>
          <w:rStyle w:val="Funotenanker"/>
        </w:rPr>
        <w:footnoteReference w:customMarkFollows="1" w:id="2598"/>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2599"/>
        <w:t>v</w:t>
      </w:r>
      <w:r>
        <w:rPr/>
        <w:t xml:space="preserve"> deutlich gemacht </w:t>
      </w:r>
      <w:r>
        <w:rPr>
          <w:color w:val="808080"/>
        </w:rPr>
        <w:t>(aufgezeigt, offenbart)</w:t>
      </w:r>
      <w:r>
        <w:rPr/>
        <w:t xml:space="preserve"> hat.</w:t>
      </w:r>
      <w:r>
        <w:rPr>
          <w:rStyle w:val="Funotenanker"/>
        </w:rPr>
        <w:footnoteReference w:customMarkFollows="1" w:id="2600"/>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2601"/>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2602"/>
        <w:t>y</w:t>
      </w:r>
      <w:r>
        <w:rPr/>
        <w:t xml:space="preserve"> und innerlich </w:t>
      </w:r>
      <w:r>
        <w:rPr>
          <w:color w:val="808080"/>
        </w:rPr>
        <w:t>(in eurer Gesinnung, Denkweise, Geisteshaltung)</w:t>
      </w:r>
      <w:r>
        <w:rPr/>
        <w:t xml:space="preserve"> </w:t>
      </w:r>
      <w:r>
        <w:rPr>
          <w:rStyle w:val="Funotenanker"/>
        </w:rPr>
        <w:footnoteReference w:customMarkFollows="1" w:id="2603"/>
        <w:t>z</w:t>
      </w:r>
      <w:r>
        <w:rPr/>
        <w:t xml:space="preserve"> Feinde aufgrund </w:t>
      </w:r>
      <w:r>
        <w:rPr>
          <w:color w:val="808080"/>
        </w:rPr>
        <w:t>(in)</w:t>
      </w:r>
      <w:r>
        <w:rPr/>
        <w:t xml:space="preserve"> </w:t>
      </w:r>
      <w:r>
        <w:rPr>
          <w:rStyle w:val="Funotenanker"/>
        </w:rPr>
        <w:footnoteReference w:customMarkFollows="1" w:id="2604"/>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2605"/>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2606"/>
        <w:t>ac</w:t>
      </w:r>
      <w:r>
        <w:rPr/>
        <w:t xml:space="preserve"> seines fleischlichen Körpers</w:t>
      </w:r>
      <w:r>
        <w:rPr>
          <w:rStyle w:val="Funotenanker"/>
        </w:rPr>
        <w:footnoteReference w:customMarkFollows="1" w:id="2607"/>
        <w:t>ad</w:t>
      </w:r>
      <w:r>
        <w:rPr/>
        <w:t xml:space="preserve"> durch den Tod versöhnt</w:t>
      </w:r>
      <w:r>
        <w:rPr>
          <w:rStyle w:val="Funotenanker"/>
        </w:rPr>
        <w:footnoteReference w:customMarkFollows="1" w:id="2608"/>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2609"/>
        <w:t>af</w:t>
      </w:r>
      <w:r>
        <w:rPr/>
        <w:t xml:space="preserve"> zu präsentieren </w:t>
      </w:r>
      <w:r>
        <w:rPr>
          <w:color w:val="808080"/>
        </w:rPr>
        <w:t>(zu machen, vor sich hinzustellen)</w:t>
      </w:r>
      <w:r>
        <w:rPr/>
        <w:t xml:space="preserve"> </w:t>
      </w:r>
      <w:r>
        <w:rPr>
          <w:rStyle w:val="Funotenanker"/>
        </w:rPr>
        <w:footnoteReference w:customMarkFollows="1" w:id="2610"/>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2611"/>
        <w:t>ah</w:t>
      </w:r>
      <w:r>
        <w:rPr/>
        <w:t xml:space="preserve"> und sicher, und nicht von der Hoffnung des Evangeliums abgebracht werdet,</w:t>
      </w:r>
      <w:r>
        <w:rPr>
          <w:rStyle w:val="Funotenanker"/>
        </w:rPr>
        <w:footnoteReference w:customMarkFollows="1" w:id="2612"/>
        <w:t>ai</w:t>
      </w:r>
      <w:r>
        <w:rPr/>
        <w:t xml:space="preserve"> das ihr gehört habt, </w:t>
      </w:r>
      <w:r>
        <w:rPr>
          <w:b/>
          <w:color w:val="808080"/>
        </w:rPr>
        <w:t>[</w:t>
      </w:r>
      <w:r>
        <w:rPr/>
        <w:t>des Evangeliums</w:t>
      </w:r>
      <w:r>
        <w:rPr>
          <w:b/>
          <w:color w:val="808080"/>
        </w:rPr>
        <w:t>]</w:t>
      </w:r>
      <w:r>
        <w:rPr/>
        <w:t>,</w:t>
      </w:r>
      <w:r>
        <w:rPr>
          <w:rStyle w:val="Funotenanker"/>
        </w:rPr>
        <w:footnoteReference w:customMarkFollows="1" w:id="2613"/>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2614"/>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2615"/>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2616"/>
        <w:t>a</w:t>
      </w:r>
      <w:r>
        <w:rPr/>
        <w:t xml:space="preserve"> Grüße! </w:t>
      </w:r>
      <w:r>
        <w:rPr>
          <w:rStyle w:val="Funotenanker"/>
        </w:rPr>
        <w:footnoteReference w:customMarkFollows="1" w:id="2617"/>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2618"/>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2619"/>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2620"/>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2621"/>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2622"/>
        <w:t>g</w:t>
      </w:r>
      <w:r>
        <w:rPr/>
        <w:t xml:space="preserve"> soll ein vollkommenes Werk </w:t>
      </w:r>
      <w:r>
        <w:rPr>
          <w:color w:val="808080"/>
        </w:rPr>
        <w:t>(vollkommenes Handeln)</w:t>
      </w:r>
      <w:r>
        <w:rPr/>
        <w:t xml:space="preserve"> </w:t>
      </w:r>
      <w:r>
        <w:rPr>
          <w:rStyle w:val="Funotenanker"/>
        </w:rPr>
        <w:footnoteReference w:customMarkFollows="1" w:id="2623"/>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2624"/>
        <w:t>i</w:t>
      </w:r>
      <w:r>
        <w:rPr/>
        <w:t xml:space="preserve"> , damit </w:t>
      </w:r>
      <w:r>
        <w:rPr>
          <w:color w:val="808080"/>
        </w:rPr>
        <w:t>(:)</w:t>
      </w:r>
      <w:r>
        <w:rPr/>
        <w:t xml:space="preserve"> </w:t>
      </w:r>
      <w:r>
        <w:rPr>
          <w:rStyle w:val="Funotenanker"/>
        </w:rPr>
        <w:footnoteReference w:customMarkFollows="1" w:id="2625"/>
        <w:t>j</w:t>
      </w:r>
      <w:r>
        <w:rPr/>
        <w:t xml:space="preserve"> ihr vollkommen und vollständig und </w:t>
      </w:r>
      <w:r>
        <w:rPr>
          <w:color w:val="808080"/>
        </w:rPr>
        <w:t>(indem, wenn, weil ihr)</w:t>
      </w:r>
      <w:r>
        <w:rPr/>
        <w:t xml:space="preserve"> </w:t>
      </w:r>
      <w:r>
        <w:rPr>
          <w:rStyle w:val="Funotenanker"/>
        </w:rPr>
        <w:footnoteReference w:customMarkFollows="1" w:id="2626"/>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2627"/>
        <w:t>l</w:t>
      </w:r>
      <w:r>
        <w:rPr/>
        <w:t xml:space="preserve"> einem </w:t>
      </w:r>
      <w:r>
        <w:rPr>
          <w:color w:val="808080"/>
        </w:rPr>
        <w:t>(jemandem)</w:t>
      </w:r>
      <w:r>
        <w:rPr/>
        <w:t xml:space="preserve"> </w:t>
      </w:r>
      <w:r>
        <w:rPr>
          <w:rStyle w:val="Funotenanker"/>
        </w:rPr>
        <w:footnoteReference w:customMarkFollows="1" w:id="2628"/>
        <w:t>m</w:t>
      </w:r>
      <w:r>
        <w:rPr/>
        <w:t xml:space="preserve"> von euch an Weisheit </w:t>
      </w:r>
      <w:r>
        <w:rPr>
          <w:rStyle w:val="Funotenanker"/>
        </w:rPr>
        <w:footnoteReference w:customMarkFollows="1" w:id="2629"/>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2630"/>
        <w:t>o</w:t>
      </w:r>
      <w:r>
        <w:rPr/>
        <w:t xml:space="preserve"> und ohne Vorwürfe </w:t>
      </w:r>
      <w:r>
        <w:rPr>
          <w:rStyle w:val="Funotenanker"/>
        </w:rPr>
        <w:footnoteReference w:customMarkFollows="1" w:id="2631"/>
        <w:t>p</w:t>
      </w:r>
      <w:r>
        <w:rPr/>
        <w:t xml:space="preserve"> gibt, </w:t>
      </w:r>
      <w:r>
        <w:rPr>
          <w:rStyle w:val="Funotenanker"/>
        </w:rPr>
        <w:footnoteReference w:customMarkFollows="1" w:id="2632"/>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2633"/>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2634"/>
        <w:t>s</w:t>
      </w:r>
      <w:r>
        <w:rPr/>
        <w:t xml:space="preserve"> </w:t>
      </w:r>
      <w:r>
        <w:rPr>
          <w:color w:val="808080"/>
        </w:rPr>
        <w:t>(keinerlei Bedenken haben)</w:t>
      </w:r>
      <w:r>
        <w:rPr/>
        <w:t xml:space="preserve">: Denn wer zweifelt </w:t>
      </w:r>
      <w:r>
        <w:rPr>
          <w:rStyle w:val="Funotenanker"/>
        </w:rPr>
        <w:footnoteReference w:customMarkFollows="1" w:id="2635"/>
        <w:t>t</w:t>
      </w:r>
      <w:r>
        <w:rPr/>
        <w:t xml:space="preserve"> , gleicht einer Meereswoge, die vom Wind bewegt und hin- und hergetrieben wird. </w:t>
      </w:r>
      <w:r>
        <w:rPr>
          <w:rStyle w:val="Funotenanker"/>
        </w:rPr>
        <w:footnoteReference w:customMarkFollows="1" w:id="2636"/>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2637"/>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2638"/>
        <w:t>w</w:t>
      </w:r>
      <w:r>
        <w:rPr/>
        <w:t>,</w:t>
      </w:r>
      <w:r>
        <w:rPr>
          <w:position w:val="8"/>
          <w:sz w:val="19"/>
        </w:rPr>
        <w:t>[[ ℘ &gt;&gt; BibleTOBIBLE:Jas 4:8]]</w:t>
      </w:r>
      <w:r>
        <w:rPr/>
        <w:t xml:space="preserve"> wankelmütig auf allen seinen Wegen </w:t>
      </w:r>
      <w:r>
        <w:rPr>
          <w:rStyle w:val="Funotenanker"/>
        </w:rPr>
        <w:footnoteReference w:customMarkFollows="1" w:id="2639"/>
        <w:t>x</w:t>
      </w:r>
      <w:r>
        <w:rPr/>
        <w:t xml:space="preserve"> {{field-off:bible}} </w:t>
        <w:br/>
        <w:t>[[@BibleTOBIBLE:Jas 1:9]]</w:t>
      </w:r>
      <w:r>
        <w:rPr>
          <w:b/>
        </w:rPr>
        <w:t>9</w:t>
      </w:r>
      <w:r>
        <w:rPr/>
        <w:t xml:space="preserve"> {{field-on:bible}}Stattdessen</w:t>
      </w:r>
      <w:r>
        <w:rPr>
          <w:rStyle w:val="Funotenanker"/>
        </w:rPr>
        <w:footnoteReference w:customMarkFollows="1" w:id="2640"/>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2641"/>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2642"/>
        <w:t>aa</w:t>
      </w:r>
      <w:r>
        <w:rPr/>
        <w:t xml:space="preserve"> aber seiner Erniedrigung, denn er wird wie eine Grasblüte</w:t>
      </w:r>
      <w:r>
        <w:rPr>
          <w:rStyle w:val="Funotenanker"/>
        </w:rPr>
        <w:footnoteReference w:customMarkFollows="1" w:id="2643"/>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2644"/>
        <w:t>ac</w:t>
      </w:r>
      <w:r>
        <w:rPr/>
        <w:t xml:space="preserve"> mit dem heißen Wind </w:t>
      </w:r>
      <w:r>
        <w:rPr>
          <w:rStyle w:val="Funotenanker"/>
        </w:rPr>
        <w:footnoteReference w:customMarkFollows="1" w:id="2645"/>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2646"/>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647"/>
        <w:t>af</w:t>
      </w:r>
      <w:r>
        <w:rPr/>
        <w:t xml:space="preserve">, der eine Bewährungsprobe </w:t>
      </w:r>
      <w:r>
        <w:rPr>
          <w:color w:val="808080"/>
        </w:rPr>
        <w:t>(Prüfung, Versuchung)</w:t>
      </w:r>
      <w:r>
        <w:rPr/>
        <w:t xml:space="preserve"> </w:t>
      </w:r>
      <w:r>
        <w:rPr>
          <w:rStyle w:val="Funotenanker"/>
        </w:rPr>
        <w:footnoteReference w:customMarkFollows="1" w:id="2648"/>
        <w:t>ag</w:t>
      </w:r>
      <w:r>
        <w:rPr/>
        <w:t xml:space="preserve"> </w:t>
      </w:r>
      <w:r>
        <w:rPr>
          <w:b/>
          <w:color w:val="808080"/>
        </w:rPr>
        <w:t>[</w:t>
      </w:r>
      <w:r>
        <w:rPr/>
        <w:t>standhaft</w:t>
      </w:r>
      <w:r>
        <w:rPr>
          <w:b/>
          <w:color w:val="808080"/>
        </w:rPr>
        <w:t>]</w:t>
      </w:r>
      <w:r>
        <w:rPr/>
        <w:t xml:space="preserve"> </w:t>
      </w:r>
      <w:r>
        <w:rPr>
          <w:rStyle w:val="Funotenanker"/>
        </w:rPr>
        <w:footnoteReference w:customMarkFollows="1" w:id="2649"/>
        <w:t>ah</w:t>
      </w:r>
      <w:r>
        <w:rPr/>
        <w:t xml:space="preserve"> erträgt, denn wenn </w:t>
      </w:r>
      <w:r>
        <w:rPr>
          <w:color w:val="808080"/>
        </w:rPr>
        <w:t>(weil, indem)</w:t>
      </w:r>
      <w:r>
        <w:rPr/>
        <w:t xml:space="preserve"> </w:t>
      </w:r>
      <w:r>
        <w:rPr>
          <w:rStyle w:val="Funotenanker"/>
        </w:rPr>
        <w:footnoteReference w:customMarkFollows="1" w:id="2650"/>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2651"/>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2652"/>
        <w:t>ak</w:t>
      </w:r>
      <w:r>
        <w:rPr/>
        <w:t xml:space="preserve"> denen verheißen hat, die ihn lieben</w:t>
      </w:r>
      <w:r>
        <w:rPr>
          <w:rStyle w:val="Funotenanker"/>
        </w:rPr>
        <w:footnoteReference w:customMarkFollows="1" w:id="2653"/>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2654"/>
        <w:t>am</w:t>
      </w:r>
      <w:r>
        <w:rPr/>
        <w:t xml:space="preserve"> sagen</w:t>
      </w:r>
      <w:r>
        <w:rPr>
          <w:rStyle w:val="Funotenanker"/>
        </w:rPr>
        <w:footnoteReference w:customMarkFollows="1" w:id="2655"/>
        <w:t>an</w:t>
      </w:r>
      <w:r>
        <w:rPr/>
        <w:t xml:space="preserve">, </w:t>
      </w:r>
      <w:r>
        <w:rPr>
          <w:strike/>
          <w:color w:val="808080"/>
        </w:rPr>
        <w:t>{dass}</w:t>
      </w:r>
      <w:r>
        <w:rPr/>
        <w:t xml:space="preserve"> </w:t>
      </w:r>
      <w:r>
        <w:rPr>
          <w:rStyle w:val="Funotenanker"/>
        </w:rPr>
        <w:footnoteReference w:customMarkFollows="1" w:id="2656"/>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2657"/>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2658"/>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2659"/>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2660"/>
        <w:t>as</w:t>
      </w:r>
      <w:r>
        <w:rPr/>
        <w:t xml:space="preserve">, gebiert sie Sünde; und die Sünde, wenn sie ans Ziel gelangt </w:t>
      </w:r>
      <w:r>
        <w:rPr>
          <w:color w:val="808080"/>
        </w:rPr>
        <w:t>(erwachsen geworden)</w:t>
      </w:r>
      <w:r>
        <w:rPr/>
        <w:t xml:space="preserve"> ist</w:t>
      </w:r>
      <w:r>
        <w:rPr>
          <w:rStyle w:val="Funotenanker"/>
        </w:rPr>
        <w:footnoteReference w:customMarkFollows="1" w:id="2661"/>
        <w:t>at</w:t>
      </w:r>
      <w:r>
        <w:rPr/>
        <w:t xml:space="preserve">, gebiert Tod.{{field-off:bible}} </w:t>
        <w:br/>
        <w:t>[[@BibleTOBIBLE:Jas 1:16]]</w:t>
      </w:r>
      <w:r>
        <w:rPr>
          <w:b/>
        </w:rPr>
        <w:t>16</w:t>
      </w:r>
      <w:r>
        <w:rPr/>
        <w:t xml:space="preserve"> {{field-on:bible}}Lasst euch nicht täuschen</w:t>
      </w:r>
      <w:r>
        <w:rPr>
          <w:rStyle w:val="Funotenanker"/>
        </w:rPr>
        <w:footnoteReference w:customMarkFollows="1" w:id="2662"/>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2663"/>
        <w:t>av</w:t>
      </w:r>
      <w:r>
        <w:rPr/>
        <w:t xml:space="preserve"> vom Vater der Lichter</w:t>
      </w:r>
      <w:r>
        <w:rPr>
          <w:rStyle w:val="Funotenanker"/>
        </w:rPr>
        <w:footnoteReference w:customMarkFollows="1" w:id="2664"/>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2665"/>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2666"/>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2667"/>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2668"/>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2669"/>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2670"/>
        <w:t>bc</w:t>
      </w:r>
      <w:r>
        <w:rPr/>
        <w:t>.</w:t>
      </w:r>
      <w:r>
        <w:rPr>
          <w:rStyle w:val="Funotenanker"/>
        </w:rPr>
        <w:footnoteReference w:customMarkFollows="1" w:id="2671"/>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2672"/>
        <w:t>be</w:t>
      </w:r>
      <w:r>
        <w:rPr/>
        <w:t xml:space="preserve"> ab </w:t>
      </w:r>
      <w:r>
        <w:rPr>
          <w:b/>
          <w:color w:val="808080"/>
        </w:rPr>
        <w:t>[</w:t>
      </w:r>
      <w:r>
        <w:rPr/>
        <w:t>und</w:t>
      </w:r>
      <w:r>
        <w:rPr>
          <w:b/>
          <w:color w:val="808080"/>
        </w:rPr>
        <w:t>]</w:t>
      </w:r>
      <w:r>
        <w:rPr/>
        <w:t xml:space="preserve"> </w:t>
      </w:r>
      <w:r>
        <w:rPr>
          <w:rStyle w:val="Funotenanker"/>
        </w:rPr>
        <w:footnoteReference w:customMarkFollows="1" w:id="2673"/>
        <w:t>bf</w:t>
      </w:r>
      <w:r>
        <w:rPr/>
        <w:t xml:space="preserve"> nehmt das eingepflanzte Wort, das eure Seelen zu retten vermag, in Bescheidenheit</w:t>
      </w:r>
      <w:r>
        <w:rPr>
          <w:rStyle w:val="Funotenanker"/>
        </w:rPr>
        <w:footnoteReference w:customMarkFollows="1" w:id="2674"/>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2675"/>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2676"/>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2677"/>
        <w:t>bj</w:t>
      </w:r>
      <w:r>
        <w:rPr/>
        <w:t xml:space="preserve"> in einem Spiegel betrachtet</w:t>
      </w:r>
      <w:r>
        <w:rPr>
          <w:rStyle w:val="Funotenanker"/>
        </w:rPr>
        <w:footnoteReference w:customMarkFollows="1" w:id="2678"/>
        <w:t>bk</w:t>
      </w:r>
      <w:r>
        <w:rPr/>
        <w:t xml:space="preserve"> –</w:t>
      </w:r>
      <w:r>
        <w:rPr>
          <w:rStyle w:val="Funotenanker"/>
        </w:rPr>
        <w:footnoteReference w:customMarkFollows="1" w:id="2679"/>
        <w:t>bl</w:t>
      </w:r>
      <w:r>
        <w:rPr/>
        <w:t xml:space="preserve"> {{field-off:bible}} </w:t>
        <w:br/>
        <w:t>[[@BibleTOBIBLE:Jas 1:24]]</w:t>
      </w:r>
      <w:r>
        <w:rPr>
          <w:b/>
        </w:rPr>
        <w:t>24</w:t>
      </w:r>
      <w:r>
        <w:rPr/>
        <w:t xml:space="preserve"> {{field-on:bible}}denn er betrachtet sich</w:t>
      </w:r>
      <w:r>
        <w:rPr>
          <w:rStyle w:val="Funotenanker"/>
        </w:rPr>
        <w:footnoteReference w:customMarkFollows="1" w:id="2680"/>
        <w:t>bm</w:t>
      </w:r>
      <w:r>
        <w:rPr/>
        <w:t xml:space="preserve"> und geht weg und vergisst sofort, wie er aussah</w:t>
      </w:r>
      <w:r>
        <w:rPr>
          <w:rStyle w:val="Funotenanker"/>
        </w:rPr>
        <w:footnoteReference w:customMarkFollows="1" w:id="2681"/>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2682"/>
        <w:t>bo</w:t>
      </w:r>
      <w:r>
        <w:rPr/>
        <w:t xml:space="preserve"> und dabei bleibt</w:t>
      </w:r>
      <w:r>
        <w:rPr>
          <w:rStyle w:val="Funotenanker"/>
        </w:rPr>
        <w:footnoteReference w:customMarkFollows="1" w:id="2683"/>
        <w:t>bp</w:t>
      </w:r>
      <w:r>
        <w:rPr/>
        <w:t>, indem er kein vergesslicher Hörer</w:t>
      </w:r>
      <w:r>
        <w:rPr>
          <w:rStyle w:val="Funotenanker"/>
        </w:rPr>
        <w:footnoteReference w:customMarkFollows="1" w:id="2684"/>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2685"/>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2686"/>
        <w:t>bs</w:t>
      </w:r>
      <w:r>
        <w:rPr/>
        <w:t xml:space="preserve"> seine Zunge nicht im Zaum hält, sondern sein Herz betrügt</w:t>
      </w:r>
      <w:r>
        <w:rPr>
          <w:rStyle w:val="Funotenanker"/>
        </w:rPr>
        <w:footnoteReference w:customMarkFollows="1" w:id="2687"/>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688"/>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689"/>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690"/>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691"/>
        <w:t>a</w:t>
      </w:r>
      <w:r>
        <w:rPr/>
        <w:t xml:space="preserve"> der Herrlichkeit</w:t>
      </w:r>
      <w:r>
        <w:rPr>
          <w:rStyle w:val="Funotenanker"/>
        </w:rPr>
        <w:footnoteReference w:customMarkFollows="1" w:id="2692"/>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693"/>
        <w:t>c</w:t>
      </w:r>
      <w:r>
        <w:rPr/>
        <w:t xml:space="preserve"> ein Mann mit goldenen Ringen an den Fingern</w:t>
      </w:r>
      <w:r>
        <w:rPr>
          <w:rStyle w:val="Funotenanker"/>
        </w:rPr>
        <w:footnoteReference w:customMarkFollows="1" w:id="2694"/>
        <w:t>d</w:t>
      </w:r>
      <w:r>
        <w:rPr/>
        <w:t xml:space="preserve"> in prächtiger</w:t>
      </w:r>
      <w:r>
        <w:rPr>
          <w:rStyle w:val="Funotenanker"/>
        </w:rPr>
        <w:footnoteReference w:customMarkFollows="1" w:id="2695"/>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696"/>
        <w:t>f</w:t>
      </w:r>
      <w:r>
        <w:rPr/>
        <w:t>, und sagt: Setze du dich hier auf den guten Platz</w:t>
      </w:r>
      <w:r>
        <w:rPr>
          <w:rStyle w:val="Funotenanker"/>
        </w:rPr>
        <w:footnoteReference w:customMarkFollows="1" w:id="2697"/>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698"/>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699"/>
        <w:t>i</w:t>
      </w:r>
      <w:r>
        <w:rPr/>
        <w:t xml:space="preserve"> unterschieden</w:t>
      </w:r>
      <w:r>
        <w:rPr>
          <w:rStyle w:val="Funotenanker"/>
        </w:rPr>
        <w:footnoteReference w:customMarkFollows="1" w:id="2700"/>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701"/>
        <w:t>k</w:t>
      </w:r>
      <w:r>
        <w:rPr/>
        <w:t xml:space="preserve"> geworden?</w:t>
      </w:r>
      <w:r>
        <w:rPr>
          <w:rStyle w:val="Funotenanker"/>
        </w:rPr>
        <w:footnoteReference w:customMarkFollows="1" w:id="2702"/>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703"/>
        <w:t>m</w:t>
      </w:r>
      <w:r>
        <w:rPr/>
        <w:t xml:space="preserve"> Armen </w:t>
      </w:r>
      <w:r>
        <w:rPr>
          <w:b/>
          <w:color w:val="808080"/>
        </w:rPr>
        <w:t>[</w:t>
      </w:r>
      <w:r>
        <w:rPr/>
        <w:t>dazu</w:t>
      </w:r>
      <w:r>
        <w:rPr>
          <w:b/>
          <w:color w:val="808080"/>
        </w:rPr>
        <w:t>]</w:t>
      </w:r>
      <w:r>
        <w:rPr/>
        <w:t xml:space="preserve"> erwählt</w:t>
      </w:r>
      <w:r>
        <w:rPr>
          <w:rStyle w:val="Funotenanker"/>
        </w:rPr>
        <w:footnoteReference w:customMarkFollows="1" w:id="2704"/>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705"/>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706"/>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707"/>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708"/>
        <w:t>r</w:t>
      </w:r>
      <w:r>
        <w:rPr/>
        <w:t>.</w:t>
      </w:r>
      <w:r>
        <w:rPr>
          <w:rStyle w:val="Funotenanker"/>
        </w:rPr>
        <w:footnoteReference w:customMarkFollows="1" w:id="2709"/>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710"/>
        <w:t>t</w:t>
      </w:r>
      <w:r>
        <w:rPr/>
        <w:t xml:space="preserve"> </w:t>
      </w:r>
      <w:r>
        <w:rPr>
          <w:color w:val="808080"/>
        </w:rPr>
        <w:t>)</w:t>
      </w:r>
      <w:r>
        <w:rPr/>
        <w:t>, begeht ihr Sünde, indem ihr vom Gesetz als Übertreter</w:t>
      </w:r>
      <w:r>
        <w:rPr>
          <w:rStyle w:val="Funotenanker"/>
        </w:rPr>
        <w:footnoteReference w:customMarkFollows="1" w:id="2711"/>
        <w:t>u</w:t>
      </w:r>
      <w:r>
        <w:rPr/>
        <w:t xml:space="preserve"> überführt werdet</w:t>
      </w:r>
      <w:r>
        <w:rPr>
          <w:rStyle w:val="Funotenanker"/>
        </w:rPr>
        <w:footnoteReference w:customMarkFollows="1" w:id="2712"/>
        <w:t>v</w:t>
      </w:r>
      <w:r>
        <w:rPr/>
        <w:t>.</w:t>
      </w:r>
      <w:r>
        <w:rPr>
          <w:rStyle w:val="Funotenanker"/>
        </w:rPr>
        <w:footnoteReference w:customMarkFollows="1" w:id="2713"/>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714"/>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715"/>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716"/>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717"/>
        <w:t>aa</w:t>
      </w:r>
      <w:r>
        <w:rPr/>
        <w:t>.</w:t>
      </w:r>
      <w:r>
        <w:rPr>
          <w:rStyle w:val="Funotenanker"/>
        </w:rPr>
        <w:footnoteReference w:customMarkFollows="1" w:id="2718"/>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719"/>
        <w:t>ac</w:t>
      </w:r>
      <w:r>
        <w:rPr/>
        <w:t xml:space="preserve"> dem Gesetz der Freiheit gerichtet </w:t>
      </w:r>
      <w:r>
        <w:rPr>
          <w:color w:val="808080"/>
        </w:rPr>
        <w:t>(werden wollen)</w:t>
      </w:r>
      <w:r>
        <w:rPr/>
        <w:t xml:space="preserve"> </w:t>
      </w:r>
      <w:r>
        <w:rPr>
          <w:rStyle w:val="Funotenanker"/>
        </w:rPr>
        <w:footnoteReference w:customMarkFollows="1" w:id="2720"/>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721"/>
        <w:t>ae</w:t>
      </w:r>
      <w:r>
        <w:rPr/>
        <w:t xml:space="preserve"> meine Geschwister, wenn jemand Glauben zu haben behauptet, aber keine Werke hat?</w:t>
      </w:r>
      <w:r>
        <w:rPr>
          <w:rStyle w:val="Funotenanker"/>
        </w:rPr>
        <w:footnoteReference w:customMarkFollows="1" w:id="2722"/>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723"/>
        <w:t>ag</w:t>
      </w:r>
      <w:r>
        <w:rPr/>
        <w:t>, wärmt euch und esst euch satt!“, aber ihr gebt ihnen nicht, was für den Leib erforderlich ist</w:t>
      </w:r>
      <w:r>
        <w:rPr>
          <w:rStyle w:val="Funotenanker"/>
        </w:rPr>
        <w:footnoteReference w:customMarkFollows="1" w:id="2724"/>
        <w:t>ah</w:t>
      </w:r>
      <w:r>
        <w:rPr/>
        <w:t>, was nützt das</w:t>
      </w:r>
      <w:r>
        <w:rPr>
          <w:rStyle w:val="Funotenanker"/>
        </w:rPr>
        <w:footnoteReference w:customMarkFollows="1" w:id="2725"/>
        <w:t>ai</w:t>
      </w:r>
      <w:r>
        <w:rPr/>
        <w:t>?</w:t>
      </w:r>
      <w:r>
        <w:rPr>
          <w:rStyle w:val="Funotenanker"/>
        </w:rPr>
        <w:footnoteReference w:customMarkFollows="1" w:id="2726"/>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727"/>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728"/>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729"/>
        <w:t>am</w:t>
      </w:r>
      <w:r>
        <w:rPr/>
        <w:t xml:space="preserve"> – Du hast recht!</w:t>
      </w:r>
      <w:r>
        <w:rPr>
          <w:rStyle w:val="Funotenanker"/>
        </w:rPr>
        <w:footnoteReference w:customMarkFollows="1" w:id="2730"/>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731"/>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732"/>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733"/>
        <w:t>aq</w:t>
      </w:r>
      <w:r>
        <w:rPr/>
        <w:t xml:space="preserve">?{{field-off:bible}} </w:t>
        <w:br/>
        <w:t>[[@BibleTOBIBLE:Jas 2:22]]</w:t>
      </w:r>
      <w:r>
        <w:rPr>
          <w:b/>
        </w:rPr>
        <w:t>22</w:t>
      </w:r>
      <w:r>
        <w:rPr/>
        <w:t xml:space="preserve"> {{field-on:bible}}Du siehst, dass der Glaube mit seinen</w:t>
      </w:r>
      <w:r>
        <w:rPr>
          <w:rStyle w:val="Funotenanker"/>
        </w:rPr>
        <w:footnoteReference w:customMarkFollows="1" w:id="2734"/>
        <w:t>ar</w:t>
      </w:r>
      <w:r>
        <w:rPr/>
        <w:t xml:space="preserve"> Werken zusammenwirkte</w:t>
      </w:r>
      <w:r>
        <w:rPr>
          <w:rStyle w:val="Funotenanker"/>
        </w:rPr>
        <w:footnoteReference w:customMarkFollows="1" w:id="2735"/>
        <w:t>as</w:t>
      </w:r>
      <w:r>
        <w:rPr/>
        <w:t xml:space="preserve"> und durch die</w:t>
      </w:r>
      <w:r>
        <w:rPr>
          <w:rStyle w:val="Funotenanker"/>
        </w:rPr>
        <w:footnoteReference w:customMarkFollows="1" w:id="2736"/>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737"/>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738"/>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739"/>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740"/>
        <w:t>ax</w:t>
      </w:r>
      <w:r>
        <w:rPr/>
        <w:t xml:space="preserve"> hinausführte?</w:t>
      </w:r>
      <w:r>
        <w:rPr>
          <w:rStyle w:val="Funotenanker"/>
        </w:rPr>
        <w:footnoteReference w:customMarkFollows="1" w:id="2741"/>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742"/>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743"/>
        <w:t>a</w:t>
      </w:r>
      <w:r>
        <w:rPr/>
        <w:t xml:space="preserve"> meine Geschwister, denn ihr wisst,</w:t>
      </w:r>
      <w:r>
        <w:rPr>
          <w:rStyle w:val="Funotenanker"/>
        </w:rPr>
        <w:footnoteReference w:customMarkFollows="1" w:id="2744"/>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745"/>
        <w:t>c</w:t>
      </w:r>
      <w:r>
        <w:rPr/>
        <w:t xml:space="preserve"> vielfach </w:t>
      </w:r>
      <w:r>
        <w:rPr>
          <w:color w:val="808080"/>
        </w:rPr>
        <w:t>(in vieler Hinsicht)</w:t>
      </w:r>
      <w:r>
        <w:rPr/>
        <w:t>. Wenn jemand beim Reden</w:t>
      </w:r>
      <w:r>
        <w:rPr>
          <w:rStyle w:val="Funotenanker"/>
        </w:rPr>
        <w:footnoteReference w:customMarkFollows="1" w:id="2746"/>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747"/>
        <w:t>e</w:t>
      </w:r>
      <w:r>
        <w:rPr/>
        <w:t xml:space="preserve">, fähig, auch den ganzen Körper zu zügeln </w:t>
      </w:r>
      <w:r>
        <w:rPr>
          <w:color w:val="808080"/>
        </w:rPr>
        <w:t>(in Zaum zu halten)</w:t>
      </w:r>
      <w:r>
        <w:rPr/>
        <w:t>.</w:t>
      </w:r>
      <w:r>
        <w:rPr>
          <w:rStyle w:val="Funotenanker"/>
        </w:rPr>
        <w:footnoteReference w:customMarkFollows="1" w:id="2748"/>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749"/>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750"/>
        <w:t>h</w:t>
      </w:r>
      <w:r>
        <w:rPr/>
        <w:t xml:space="preserve"> legen, damit sie uns gehorchen,</w:t>
      </w:r>
      <w:r>
        <w:rPr>
          <w:rStyle w:val="Funotenanker"/>
        </w:rPr>
        <w:footnoteReference w:customMarkFollows="1" w:id="2751"/>
        <w:t>i</w:t>
      </w:r>
      <w:r>
        <w:rPr/>
        <w:t xml:space="preserve"> dann</w:t>
      </w:r>
      <w:r>
        <w:rPr>
          <w:rStyle w:val="Funotenanker"/>
        </w:rPr>
        <w:footnoteReference w:customMarkFollows="1" w:id="2752"/>
        <w:t>j</w:t>
      </w:r>
      <w:r>
        <w:rPr/>
        <w:t xml:space="preserve"> lenken wir ihren ganzen Körper.</w:t>
      </w:r>
      <w:r>
        <w:rPr>
          <w:rStyle w:val="Funotenanker"/>
        </w:rPr>
        <w:footnoteReference w:customMarkFollows="1" w:id="2753"/>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754"/>
        <w:t>l</w:t>
      </w:r>
      <w:r>
        <w:rPr/>
        <w:t xml:space="preserve"> werden sie von einem winzigen</w:t>
      </w:r>
      <w:r>
        <w:rPr>
          <w:rStyle w:val="Funotenanker"/>
        </w:rPr>
        <w:footnoteReference w:customMarkFollows="1" w:id="2755"/>
        <w:t>m</w:t>
      </w:r>
      <w:r>
        <w:rPr/>
        <w:t xml:space="preserve"> Steuerruder gelenkt, wohin die Absicht </w:t>
      </w:r>
      <w:r>
        <w:rPr>
          <w:color w:val="808080"/>
        </w:rPr>
        <w:t>(Drang, Eifer, Trachten)</w:t>
      </w:r>
      <w:r>
        <w:rPr/>
        <w:t xml:space="preserve"> </w:t>
      </w:r>
      <w:r>
        <w:rPr>
          <w:rStyle w:val="Funotenanker"/>
        </w:rPr>
        <w:footnoteReference w:customMarkFollows="1" w:id="2756"/>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757"/>
        <w:t>o</w:t>
      </w:r>
      <w:r>
        <w:rPr/>
        <w:t xml:space="preserve"> steht</w:t>
      </w:r>
      <w:r>
        <w:rPr>
          <w:rStyle w:val="Funotenanker"/>
        </w:rPr>
        <w:footnoteReference w:customMarkFollows="1" w:id="2758"/>
        <w:t>p</w:t>
      </w:r>
      <w:r>
        <w:rPr/>
        <w:t xml:space="preserve"> die Zunge unter unseren Gliedern da;</w:t>
      </w:r>
      <w:r>
        <w:rPr>
          <w:rStyle w:val="Funotenanker"/>
        </w:rPr>
        <w:footnoteReference w:customMarkFollows="1" w:id="2759"/>
        <w:t>q</w:t>
      </w:r>
      <w:r>
        <w:rPr/>
        <w:t xml:space="preserve"> sie, die den ganzen Körper beschmutzt und das Rad</w:t>
      </w:r>
      <w:r>
        <w:rPr>
          <w:rStyle w:val="Funotenanker"/>
        </w:rPr>
        <w:footnoteReference w:customMarkFollows="1" w:id="2760"/>
        <w:t>r</w:t>
      </w:r>
      <w:r>
        <w:rPr/>
        <w:t xml:space="preserve"> des Werdens</w:t>
      </w:r>
      <w:r>
        <w:rPr>
          <w:rStyle w:val="Funotenanker"/>
        </w:rPr>
        <w:footnoteReference w:customMarkFollows="1" w:id="2761"/>
        <w:t>s</w:t>
      </w:r>
      <w:r>
        <w:rPr/>
        <w:t xml:space="preserve"> in Brand setzt,</w:t>
      </w:r>
      <w:r>
        <w:rPr>
          <w:rStyle w:val="Funotenanker"/>
        </w:rPr>
        <w:footnoteReference w:customMarkFollows="1" w:id="2762"/>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763"/>
        <w:t>u</w:t>
      </w:r>
      <w:r>
        <w:rPr/>
        <w:t xml:space="preserve"> in Brand gesetzt.</w:t>
      </w:r>
      <w:r>
        <w:rPr>
          <w:rStyle w:val="Funotenanker"/>
        </w:rPr>
        <w:footnoteReference w:customMarkFollows="1" w:id="2764"/>
        <w:t>v</w:t>
      </w:r>
      <w:r>
        <w:rPr/>
        <w:t xml:space="preserve"> {{field-off:bible}} </w:t>
        <w:br/>
        <w:t>[[@BibleTOBIBLE:Jas 3:7]]</w:t>
      </w:r>
      <w:r>
        <w:rPr>
          <w:b/>
        </w:rPr>
        <w:t>7</w:t>
      </w:r>
      <w:r>
        <w:rPr/>
        <w:t xml:space="preserve"> {{field-on:bible}}Jede</w:t>
      </w:r>
      <w:r>
        <w:rPr>
          <w:rStyle w:val="Funotenanker"/>
        </w:rPr>
        <w:footnoteReference w:customMarkFollows="1" w:id="2765"/>
        <w:t>w</w:t>
      </w:r>
      <w:r>
        <w:rPr/>
        <w:t xml:space="preserve"> Art </w:t>
      </w:r>
      <w:r>
        <w:rPr>
          <w:b/>
          <w:color w:val="808080"/>
        </w:rPr>
        <w:t>[</w:t>
      </w:r>
      <w:r>
        <w:rPr/>
        <w:t>der</w:t>
      </w:r>
      <w:r>
        <w:rPr>
          <w:b/>
          <w:color w:val="808080"/>
        </w:rPr>
        <w:t>]</w:t>
      </w:r>
      <w:r>
        <w:rPr/>
        <w:t xml:space="preserve"> Säugetiere</w:t>
      </w:r>
      <w:r>
        <w:rPr>
          <w:rStyle w:val="Funotenanker"/>
        </w:rPr>
        <w:footnoteReference w:customMarkFollows="1" w:id="2766"/>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767"/>
        <w:t>y</w:t>
      </w:r>
      <w:r>
        <w:rPr/>
        <w:t xml:space="preserve"> gezähmt worden</w:t>
      </w:r>
      <w:r>
        <w:rPr>
          <w:rStyle w:val="Funotenanker"/>
        </w:rPr>
        <w:footnoteReference w:customMarkFollows="1" w:id="2768"/>
        <w:t>z</w:t>
      </w:r>
      <w:r>
        <w:rPr/>
        <w:t xml:space="preserve">,{{field-off:bible}} </w:t>
        <w:br/>
        <w:t>[[@BibleTOBIBLE:Jas 3:8]]</w:t>
      </w:r>
      <w:r>
        <w:rPr>
          <w:b/>
        </w:rPr>
        <w:t>8</w:t>
      </w:r>
      <w:r>
        <w:rPr/>
        <w:t xml:space="preserve"> {{field-on:bible}}aber die Zunge vermag kein Mensch</w:t>
      </w:r>
      <w:r>
        <w:rPr>
          <w:rStyle w:val="Funotenanker"/>
        </w:rPr>
        <w:footnoteReference w:customMarkFollows="1" w:id="2769"/>
        <w:t>aa</w:t>
      </w:r>
      <w:r>
        <w:rPr/>
        <w:t xml:space="preserve"> zu bändigen, </w:t>
      </w:r>
      <w:r>
        <w:rPr>
          <w:b/>
          <w:color w:val="808080"/>
        </w:rPr>
        <w:t>[</w:t>
      </w:r>
      <w:r>
        <w:rPr/>
        <w:t>das</w:t>
      </w:r>
      <w:r>
        <w:rPr>
          <w:b/>
          <w:color w:val="808080"/>
        </w:rPr>
        <w:t>]</w:t>
      </w:r>
      <w:r>
        <w:rPr/>
        <w:t xml:space="preserve"> </w:t>
      </w:r>
      <w:r>
        <w:rPr>
          <w:rStyle w:val="Funotenanker"/>
        </w:rPr>
        <w:footnoteReference w:customMarkFollows="1" w:id="2770"/>
        <w:t>ab</w:t>
      </w:r>
      <w:r>
        <w:rPr/>
        <w:t xml:space="preserve"> ruhelose </w:t>
      </w:r>
      <w:r>
        <w:rPr>
          <w:color w:val="808080"/>
        </w:rPr>
        <w:t>(unruhige</w:t>
      </w:r>
      <w:r>
        <w:rPr/>
        <w:t xml:space="preserve"> </w:t>
      </w:r>
      <w:r>
        <w:rPr>
          <w:rStyle w:val="Funotenanker"/>
        </w:rPr>
        <w:footnoteReference w:customMarkFollows="1" w:id="2771"/>
        <w:t>ac</w:t>
      </w:r>
      <w:r>
        <w:rPr/>
        <w:t xml:space="preserve"> </w:t>
      </w:r>
      <w:r>
        <w:rPr>
          <w:color w:val="808080"/>
        </w:rPr>
        <w:t>, unkontrollierte</w:t>
      </w:r>
      <w:r>
        <w:rPr/>
        <w:t xml:space="preserve"> </w:t>
      </w:r>
      <w:r>
        <w:rPr>
          <w:rStyle w:val="Funotenanker"/>
        </w:rPr>
        <w:footnoteReference w:customMarkFollows="1" w:id="2772"/>
        <w:t>ad</w:t>
      </w:r>
      <w:r>
        <w:rPr/>
        <w:t xml:space="preserve"> </w:t>
      </w:r>
      <w:r>
        <w:rPr>
          <w:color w:val="808080"/>
        </w:rPr>
        <w:t>, wankelmütige</w:t>
      </w:r>
      <w:r>
        <w:rPr/>
        <w:t xml:space="preserve"> </w:t>
      </w:r>
      <w:r>
        <w:rPr>
          <w:rStyle w:val="Funotenanker"/>
        </w:rPr>
        <w:footnoteReference w:customMarkFollows="1" w:id="2773"/>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774"/>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775"/>
        <w:t>ag</w:t>
      </w:r>
      <w:r>
        <w:rPr/>
        <w:t>:</w:t>
      </w:r>
      <w:r>
        <w:rPr>
          <w:rStyle w:val="Funotenanker"/>
        </w:rPr>
        <w:footnoteReference w:customMarkFollows="1" w:id="2776"/>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777"/>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778"/>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779"/>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780"/>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781"/>
        <w:t>am</w:t>
      </w:r>
      <w:r>
        <w:rPr/>
        <w:t xml:space="preserve"> unter euch? Er soll durch</w:t>
      </w:r>
      <w:r>
        <w:rPr>
          <w:rStyle w:val="Funotenanker"/>
        </w:rPr>
        <w:footnoteReference w:customMarkFollows="1" w:id="2782"/>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783"/>
        <w:t>ao</w:t>
      </w:r>
      <w:r>
        <w:rPr/>
        <w:t xml:space="preserve"> </w:t>
      </w:r>
      <w:r>
        <w:rPr>
          <w:b/>
          <w:color w:val="808080"/>
        </w:rPr>
        <w:t>[</w:t>
      </w:r>
      <w:r>
        <w:rPr/>
        <w:t>aus</w:t>
      </w:r>
      <w:r>
        <w:rPr>
          <w:b/>
          <w:color w:val="808080"/>
        </w:rPr>
        <w:t>]</w:t>
      </w:r>
      <w:r>
        <w:rPr/>
        <w:t xml:space="preserve"> Weisheit</w:t>
      </w:r>
      <w:r>
        <w:rPr>
          <w:rStyle w:val="Funotenanker"/>
        </w:rPr>
        <w:footnoteReference w:customMarkFollows="1" w:id="2784"/>
        <w:t>ap</w:t>
      </w:r>
      <w:r>
        <w:rPr/>
        <w:t xml:space="preserve"> erweisen </w:t>
      </w:r>
      <w:r>
        <w:rPr>
          <w:color w:val="808080"/>
        </w:rPr>
        <w:t>(muss erweisen</w:t>
      </w:r>
      <w:r>
        <w:rPr/>
        <w:t xml:space="preserve"> </w:t>
      </w:r>
      <w:r>
        <w:rPr>
          <w:rStyle w:val="Funotenanker"/>
        </w:rPr>
        <w:footnoteReference w:customMarkFollows="1" w:id="2785"/>
        <w:t>aq</w:t>
      </w:r>
      <w:r>
        <w:rPr/>
        <w:t xml:space="preserve"> </w:t>
      </w:r>
      <w:r>
        <w:rPr>
          <w:color w:val="808080"/>
        </w:rPr>
        <w:t>)</w:t>
      </w:r>
      <w:r>
        <w:rPr/>
        <w:t xml:space="preserve"> </w:t>
      </w:r>
      <w:r>
        <w:rPr>
          <w:rStyle w:val="Funotenanker"/>
        </w:rPr>
        <w:footnoteReference w:customMarkFollows="1" w:id="2786"/>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787"/>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788"/>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789"/>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790"/>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791"/>
        <w:t>aw</w:t>
      </w:r>
      <w:r>
        <w:rPr/>
        <w:t xml:space="preserve"> gemeinem </w:t>
      </w:r>
      <w:r>
        <w:rPr>
          <w:color w:val="808080"/>
        </w:rPr>
        <w:t>(niederem, schlimmem)</w:t>
      </w:r>
      <w:r>
        <w:rPr/>
        <w:t xml:space="preserve"> </w:t>
      </w:r>
      <w:r>
        <w:rPr>
          <w:rStyle w:val="Funotenanker"/>
        </w:rPr>
        <w:footnoteReference w:customMarkFollows="1" w:id="2792"/>
        <w:t>ax</w:t>
      </w:r>
      <w:r>
        <w:rPr/>
        <w:t xml:space="preserve"> Tun </w:t>
      </w:r>
      <w:r>
        <w:rPr>
          <w:color w:val="808080"/>
        </w:rPr>
        <w:t>(Sache, Tat; Rechtsstreit</w:t>
      </w:r>
      <w:r>
        <w:rPr/>
        <w:t xml:space="preserve"> </w:t>
      </w:r>
      <w:r>
        <w:rPr>
          <w:rStyle w:val="Funotenanker"/>
        </w:rPr>
        <w:footnoteReference w:customMarkFollows="1" w:id="2793"/>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794"/>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795"/>
        <w:t>ba</w:t>
      </w:r>
      <w:r>
        <w:rPr/>
        <w:t xml:space="preserve"> </w:t>
      </w:r>
      <w:r>
        <w:rPr>
          <w:b/>
          <w:color w:val="808080"/>
        </w:rPr>
        <w:t>[</w:t>
      </w:r>
      <w:r>
        <w:rPr/>
        <w:t>die</w:t>
      </w:r>
      <w:r>
        <w:rPr>
          <w:b/>
          <w:color w:val="808080"/>
        </w:rPr>
        <w:t>]</w:t>
      </w:r>
      <w:r>
        <w:rPr/>
        <w:t xml:space="preserve"> Ernte</w:t>
      </w:r>
      <w:r>
        <w:rPr>
          <w:rStyle w:val="Funotenanker"/>
        </w:rPr>
        <w:footnoteReference w:customMarkFollows="1" w:id="2796"/>
        <w:t>bb</w:t>
      </w:r>
      <w:r>
        <w:rPr/>
        <w:t xml:space="preserve"> </w:t>
      </w:r>
      <w:r>
        <w:rPr>
          <w:b/>
          <w:color w:val="808080"/>
        </w:rPr>
        <w:t>[</w:t>
      </w:r>
      <w:r>
        <w:rPr/>
        <w:t>der</w:t>
      </w:r>
      <w:r>
        <w:rPr>
          <w:b/>
          <w:color w:val="808080"/>
        </w:rPr>
        <w:t>]</w:t>
      </w:r>
      <w:r>
        <w:rPr/>
        <w:t xml:space="preserve"> Gerechtigkeit</w:t>
      </w:r>
      <w:r>
        <w:rPr>
          <w:rStyle w:val="Funotenanker"/>
        </w:rPr>
        <w:footnoteReference w:customMarkFollows="1" w:id="2797"/>
        <w:t>bc</w:t>
      </w:r>
      <w:r>
        <w:rPr/>
        <w:t xml:space="preserve"> wird in Frieden gesät für</w:t>
      </w:r>
      <w:r>
        <w:rPr>
          <w:rStyle w:val="Funotenanker"/>
        </w:rPr>
        <w:footnoteReference w:customMarkFollows="1" w:id="2798"/>
        <w:t>bd</w:t>
      </w:r>
      <w:r>
        <w:rPr/>
        <w:t xml:space="preserve"> jene, die Frieden stiften</w:t>
      </w:r>
      <w:r>
        <w:rPr>
          <w:rStyle w:val="Funotenanker"/>
        </w:rPr>
        <w:footnoteReference w:customMarkFollows="1" w:id="2799"/>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800"/>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801"/>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802"/>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803"/>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804"/>
        <w:t>d</w:t>
      </w:r>
      <w:r>
        <w:rPr/>
        <w:t xml:space="preserve"> nicht, ihr mordet </w:t>
      </w:r>
      <w:r>
        <w:rPr>
          <w:color w:val="808080"/>
        </w:rPr>
        <w:t>(tötet; beneidet)</w:t>
      </w:r>
      <w:r>
        <w:rPr/>
        <w:t xml:space="preserve"> </w:t>
      </w:r>
      <w:r>
        <w:rPr>
          <w:rStyle w:val="Funotenanker"/>
        </w:rPr>
        <w:footnoteReference w:customMarkFollows="1" w:id="2805"/>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806"/>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807"/>
        <w:t>g</w:t>
      </w:r>
      <w:r>
        <w:rPr/>
        <w:t>;</w:t>
      </w:r>
      <w:r>
        <w:rPr>
          <w:rStyle w:val="Funotenanker"/>
        </w:rPr>
        <w:footnoteReference w:customMarkFollows="1" w:id="2808"/>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809"/>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810"/>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811"/>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812"/>
        <w:t>l</w:t>
      </w:r>
      <w:r>
        <w:rPr/>
        <w:t xml:space="preserve"> jeder, der</w:t>
      </w:r>
      <w:r>
        <w:rPr>
          <w:rStyle w:val="Funotenanker"/>
        </w:rPr>
        <w:footnoteReference w:customMarkFollows="1" w:id="2813"/>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814"/>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815"/>
        <w:t>o</w:t>
      </w:r>
      <w:r>
        <w:rPr/>
        <w:t xml:space="preserve"> den er in uns wohnen ließ,</w:t>
      </w:r>
      <w:r>
        <w:rPr>
          <w:rStyle w:val="Funotenanker"/>
        </w:rPr>
        <w:footnoteReference w:customMarkFollows="1" w:id="2816"/>
        <w:t>p</w:t>
      </w:r>
      <w:r>
        <w:rPr/>
        <w:t xml:space="preserve"> {{field-off:bible}} </w:t>
        <w:br/>
        <w:t>[[@BibleTOBIBLE:Jas 4:6]]</w:t>
      </w:r>
      <w:r>
        <w:rPr>
          <w:b/>
        </w:rPr>
        <w:t>6</w:t>
      </w:r>
      <w:r>
        <w:rPr/>
        <w:t xml:space="preserve"> {{field-on:bible}}aber er gibt umso größere Gnade?</w:t>
      </w:r>
      <w:r>
        <w:rPr>
          <w:rStyle w:val="Funotenanker"/>
        </w:rPr>
        <w:footnoteReference w:customMarkFollows="1" w:id="2817"/>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818"/>
        <w:t>r</w:t>
      </w:r>
      <w:r>
        <w:rPr/>
        <w:t xml:space="preserve"> </w:t>
      </w:r>
      <w:r>
        <w:rPr>
          <w:color w:val="808080"/>
        </w:rPr>
        <w:t>)</w:t>
      </w:r>
      <w:r>
        <w:rPr/>
        <w:t xml:space="preserve"> aber gibt er Gnade.“</w:t>
      </w:r>
      <w:r>
        <w:rPr>
          <w:rStyle w:val="Funotenanker"/>
        </w:rPr>
        <w:footnoteReference w:customMarkFollows="1" w:id="2819"/>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820"/>
        <w:t>t</w:t>
      </w:r>
      <w:r>
        <w:rPr/>
        <w:t xml:space="preserve">;{{field-off:bible}} </w:t>
        <w:br/>
        <w:t>[[@BibleTOBIBLE:Jas 4:8]]</w:t>
      </w:r>
      <w:r>
        <w:rPr>
          <w:b/>
        </w:rPr>
        <w:t>8</w:t>
      </w:r>
      <w:r>
        <w:rPr/>
        <w:t xml:space="preserve"> {{field-on:bible}}nähert euch</w:t>
      </w:r>
      <w:r>
        <w:rPr>
          <w:rStyle w:val="Funotenanker"/>
        </w:rPr>
        <w:footnoteReference w:customMarkFollows="1" w:id="2821"/>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822"/>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823"/>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824"/>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825"/>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826"/>
        <w:t>z</w:t>
      </w:r>
      <w:r>
        <w:rPr/>
        <w:t xml:space="preserve"> verleumdet oder seinen Bruder verurteilt</w:t>
      </w:r>
      <w:r>
        <w:rPr>
          <w:rStyle w:val="Funotenanker"/>
        </w:rPr>
        <w:footnoteReference w:customMarkFollows="1" w:id="2827"/>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828"/>
        <w:t>ab</w:t>
      </w:r>
      <w:r>
        <w:rPr/>
        <w:t xml:space="preserve"> {{field-off:bible}} </w:t>
        <w:br/>
        <w:t>[[@BibleTOBIBLE:Jas 4:12]]</w:t>
      </w:r>
      <w:r>
        <w:rPr>
          <w:b/>
        </w:rPr>
        <w:t>12</w:t>
      </w:r>
      <w:r>
        <w:rPr/>
        <w:t xml:space="preserve"> {{field-on:bible}}Einer ist</w:t>
      </w:r>
      <w:r>
        <w:rPr>
          <w:rStyle w:val="Funotenanker"/>
        </w:rPr>
        <w:footnoteReference w:customMarkFollows="1" w:id="2829"/>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830"/>
        <w:t>ad</w:t>
      </w:r>
      <w:r>
        <w:rPr/>
        <w:t xml:space="preserve">?{{field-off:bible}} </w:t>
        <w:br/>
        <w:t>[[@BibleTOBIBLE:Jas 4:13]]</w:t>
      </w:r>
      <w:r>
        <w:rPr>
          <w:b/>
        </w:rPr>
        <w:t>13</w:t>
      </w:r>
      <w:r>
        <w:rPr/>
        <w:t xml:space="preserve"> {{field-on:bible}}Jetzt zu euch</w:t>
      </w:r>
      <w:r>
        <w:rPr>
          <w:rStyle w:val="Funotenanker"/>
        </w:rPr>
        <w:footnoteReference w:customMarkFollows="1" w:id="2831"/>
        <w:t>ae</w:t>
      </w:r>
      <w:r>
        <w:rPr/>
        <w:t>, die ihr sagt</w:t>
      </w:r>
      <w:r>
        <w:rPr>
          <w:rStyle w:val="Funotenanker"/>
        </w:rPr>
        <w:footnoteReference w:customMarkFollows="1" w:id="2832"/>
        <w:t>af</w:t>
      </w:r>
      <w:r>
        <w:rPr/>
        <w:t>: „Heute oder morgen wollen</w:t>
      </w:r>
      <w:r>
        <w:rPr>
          <w:rStyle w:val="Funotenanker"/>
        </w:rPr>
        <w:footnoteReference w:customMarkFollows="1" w:id="2833"/>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834"/>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835"/>
        <w:t>ai</w:t>
      </w:r>
      <w:r>
        <w:rPr/>
        <w:t xml:space="preserve"> — ihr seid nämlich</w:t>
      </w:r>
      <w:r>
        <w:rPr>
          <w:rStyle w:val="Funotenanker"/>
        </w:rPr>
        <w:footnoteReference w:customMarkFollows="1" w:id="2836"/>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837"/>
        <w:t>ak</w:t>
      </w:r>
      <w:r>
        <w:rPr/>
        <w:t xml:space="preserve"> </w:t>
      </w:r>
      <w:r>
        <w:rPr>
          <w:color w:val="808080"/>
        </w:rPr>
        <w:t>)</w:t>
      </w:r>
      <w:r>
        <w:rPr/>
        <w:t xml:space="preserve"> </w:t>
      </w:r>
      <w:r>
        <w:rPr>
          <w:rStyle w:val="Funotenanker"/>
        </w:rPr>
        <w:footnoteReference w:customMarkFollows="1" w:id="2838"/>
        <w:t>al</w:t>
      </w:r>
      <w:r>
        <w:rPr/>
        <w:t xml:space="preserve"> und dann </w:t>
      </w:r>
      <w:r>
        <w:rPr>
          <w:color w:val="808080"/>
        </w:rPr>
        <w:t>(danach)</w:t>
      </w:r>
      <w:r>
        <w:rPr/>
        <w:t xml:space="preserve"> verschwindet</w:t>
      </w:r>
      <w:r>
        <w:rPr>
          <w:rStyle w:val="Funotenanker"/>
        </w:rPr>
        <w:footnoteReference w:customMarkFollows="1" w:id="2839"/>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840"/>
        <w:t>an</w:t>
      </w:r>
      <w:r>
        <w:rPr/>
        <w:t xml:space="preserve"> ihr sagen: „Wenn der Herr will, dann werden wir leben und dieses oder jenes tun.“</w:t>
      </w:r>
      <w:r>
        <w:rPr>
          <w:rStyle w:val="Funotenanker"/>
        </w:rPr>
        <w:footnoteReference w:customMarkFollows="1" w:id="2841"/>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842"/>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843"/>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844"/>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845"/>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846"/>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847"/>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848"/>
        <w:t>b</w:t>
      </w:r>
      <w:r>
        <w:rPr/>
        <w:t xml:space="preserve">.{{field-off:bible}} </w:t>
        <w:br/>
        <w:t>[[@BibleTOBIBLE:Jas 5:2]]</w:t>
      </w:r>
      <w:r>
        <w:rPr>
          <w:b/>
        </w:rPr>
        <w:t>2</w:t>
      </w:r>
      <w:r>
        <w:rPr/>
        <w:t xml:space="preserve"> {{field-on:bible}}Euer Reichtum ist vermodert</w:t>
      </w:r>
      <w:r>
        <w:rPr>
          <w:rStyle w:val="Funotenanker"/>
        </w:rPr>
        <w:footnoteReference w:customMarkFollows="1" w:id="2849"/>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850"/>
        <w:t>d</w:t>
      </w:r>
      <w:r>
        <w:rPr/>
        <w:t xml:space="preserve">.{{field-off:bible}} </w:t>
        <w:br/>
        <w:t>[[@BibleTOBIBLE:Jas 5:3]]</w:t>
      </w:r>
      <w:r>
        <w:rPr>
          <w:b/>
        </w:rPr>
        <w:t>3</w:t>
      </w:r>
      <w:r>
        <w:rPr/>
        <w:t xml:space="preserve"> {{field-on:bible}}Euer Gold und Silber sind verrostet</w:t>
      </w:r>
      <w:r>
        <w:rPr>
          <w:rStyle w:val="Funotenanker"/>
        </w:rPr>
        <w:footnoteReference w:customMarkFollows="1" w:id="2851"/>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852"/>
        <w:t>f</w:t>
      </w:r>
      <w:r>
        <w:rPr/>
        <w:t xml:space="preserve"> und euer Fleisch</w:t>
      </w:r>
      <w:r>
        <w:rPr>
          <w:rStyle w:val="Funotenanker"/>
        </w:rPr>
        <w:footnoteReference w:customMarkFollows="1" w:id="2853"/>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854"/>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855"/>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856"/>
        <w:t>j</w:t>
      </w:r>
      <w:r>
        <w:rPr/>
        <w:t>, schreit,</w:t>
      </w:r>
      <w:r>
        <w:rPr>
          <w:rStyle w:val="Funotenanker"/>
        </w:rPr>
        <w:footnoteReference w:customMarkFollows="1" w:id="2857"/>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858"/>
        <w:t>l</w:t>
      </w:r>
      <w:r>
        <w:rPr/>
        <w:t xml:space="preserve"> hingekommen.{{field-off:bible}} </w:t>
        <w:br/>
        <w:t>[[@BibleTOBIBLE:Jas 5:5]]</w:t>
      </w:r>
      <w:r>
        <w:rPr>
          <w:b/>
        </w:rPr>
        <w:t>5</w:t>
      </w:r>
      <w:r>
        <w:rPr/>
        <w:t xml:space="preserve"> {{field-on:bible}}Ihr habt geschwelgt</w:t>
      </w:r>
      <w:r>
        <w:rPr>
          <w:rStyle w:val="Funotenanker"/>
        </w:rPr>
        <w:footnoteReference w:customMarkFollows="1" w:id="2859"/>
        <w:t>m</w:t>
      </w:r>
      <w:r>
        <w:rPr/>
        <w:t xml:space="preserve"> auf der Erde und üppig gelebt</w:t>
      </w:r>
      <w:r>
        <w:rPr>
          <w:rStyle w:val="Funotenanker"/>
        </w:rPr>
        <w:footnoteReference w:customMarkFollows="1" w:id="2860"/>
        <w:t>n</w:t>
      </w:r>
      <w:r>
        <w:rPr/>
        <w:t>, ihr habt eure Herzen am</w:t>
      </w:r>
      <w:r>
        <w:rPr>
          <w:rStyle w:val="Funotenanker"/>
        </w:rPr>
        <w:footnoteReference w:customMarkFollows="1" w:id="2861"/>
        <w:t>o</w:t>
      </w:r>
      <w:r>
        <w:rPr/>
        <w:t xml:space="preserve"> Schlachttag</w:t>
      </w:r>
      <w:r>
        <w:rPr>
          <w:rStyle w:val="Funotenanker"/>
        </w:rPr>
        <w:footnoteReference w:customMarkFollows="1" w:id="2862"/>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863"/>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864"/>
        <w:t>r</w:t>
      </w:r>
      <w:r>
        <w:rPr/>
        <w:t xml:space="preserve"> er leistet euch keinen Widerstand.</w:t>
      </w:r>
      <w:r>
        <w:rPr>
          <w:rStyle w:val="Funotenanker"/>
        </w:rPr>
        <w:footnoteReference w:customMarkFollows="1" w:id="2865"/>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866"/>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867"/>
        <w:t>u</w:t>
      </w:r>
      <w:r>
        <w:rPr/>
        <w:t xml:space="preserve"> bis sie den Früh- und den Spätregen empfangen hat.</w:t>
      </w:r>
      <w:r>
        <w:rPr>
          <w:rStyle w:val="Funotenanker"/>
        </w:rPr>
        <w:footnoteReference w:customMarkFollows="1" w:id="2868"/>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869"/>
        <w:t>w</w:t>
      </w:r>
      <w:r>
        <w:rPr/>
        <w:t xml:space="preserve">!{{field-off:bible}} </w:t>
        <w:br/>
        <w:t>[[@BibleTOBIBLE:Jas 5:9]]</w:t>
      </w:r>
      <w:r>
        <w:rPr>
          <w:b/>
        </w:rPr>
        <w:t>9</w:t>
      </w:r>
      <w:r>
        <w:rPr/>
        <w:t xml:space="preserve"> {{field-on:bible}}Murrt nicht gegen einander,</w:t>
      </w:r>
      <w:r>
        <w:rPr>
          <w:rStyle w:val="Funotenanker"/>
        </w:rPr>
        <w:footnoteReference w:customMarkFollows="1" w:id="2870"/>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871"/>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872"/>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873"/>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874"/>
        <w:t>ab</w:t>
      </w:r>
      <w:r>
        <w:rPr/>
        <w:t xml:space="preserve"> weder beim Himmel, noch bei der Erde, oder bei irgendeinem anderen Eid. Vielmehr soll euer Ja ein Ja und euer Nein ein Nein sein</w:t>
      </w:r>
      <w:r>
        <w:rPr>
          <w:rStyle w:val="Funotenanker"/>
        </w:rPr>
        <w:footnoteReference w:customMarkFollows="1" w:id="2875"/>
        <w:t>ac</w:t>
      </w:r>
      <w:r>
        <w:rPr/>
        <w:t>, damit ihr nicht dem Gericht verfallt</w:t>
      </w:r>
      <w:r>
        <w:rPr>
          <w:rStyle w:val="Funotenanker"/>
        </w:rPr>
        <w:footnoteReference w:customMarkFollows="1" w:id="2876"/>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877"/>
        <w:t>ae</w:t>
      </w:r>
      <w:r>
        <w:rPr/>
        <w:t>; ist einer guten Mutes, soll er Loblieder singen</w:t>
      </w:r>
      <w:r>
        <w:rPr>
          <w:rStyle w:val="Funotenanker"/>
        </w:rPr>
        <w:footnoteReference w:customMarkFollows="1" w:id="2878"/>
        <w:t>af</w:t>
      </w:r>
      <w:r>
        <w:rPr/>
        <w:t>;</w:t>
      </w:r>
      <w:r>
        <w:rPr>
          <w:rStyle w:val="Funotenanker"/>
        </w:rPr>
        <w:footnoteReference w:customMarkFollows="1" w:id="2879"/>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880"/>
        <w:t>ah</w:t>
      </w:r>
      <w:r>
        <w:rPr/>
        <w:t>, soll er die Ältesten der Gemeinde herbeirufen</w:t>
      </w:r>
      <w:r>
        <w:rPr>
          <w:rStyle w:val="Funotenanker"/>
        </w:rPr>
        <w:footnoteReference w:customMarkFollows="1" w:id="2881"/>
        <w:t>ai</w:t>
      </w:r>
      <w:r>
        <w:rPr/>
        <w:t xml:space="preserve"> und sie sollen über ihn </w:t>
      </w:r>
      <w:r>
        <w:rPr>
          <w:color w:val="808080"/>
        </w:rPr>
        <w:t>(für ihn)</w:t>
      </w:r>
      <w:r>
        <w:rPr/>
        <w:t xml:space="preserve"> beten</w:t>
      </w:r>
      <w:r>
        <w:rPr>
          <w:rStyle w:val="Funotenanker"/>
        </w:rPr>
        <w:footnoteReference w:customMarkFollows="1" w:id="2882"/>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883"/>
        <w:t>ak</w:t>
      </w:r>
      <w:r>
        <w:rPr/>
        <w:t xml:space="preserve"> im Namen des Herrn salben</w:t>
      </w:r>
      <w:r>
        <w:rPr>
          <w:rStyle w:val="Funotenanker"/>
        </w:rPr>
        <w:footnoteReference w:customMarkFollows="1" w:id="2884"/>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885"/>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886"/>
        <w:t>an</w:t>
      </w:r>
      <w:r>
        <w:rPr/>
        <w:t>, wird ihm vergeben werden.</w:t>
      </w:r>
      <w:r>
        <w:rPr>
          <w:rStyle w:val="Funotenanker"/>
        </w:rPr>
        <w:footnoteReference w:customMarkFollows="1" w:id="2887"/>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888"/>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889"/>
        <w:t>aq</w:t>
      </w:r>
      <w:r>
        <w:rPr/>
        <w:t>, dass es nicht regnen würde</w:t>
      </w:r>
      <w:r>
        <w:rPr>
          <w:rStyle w:val="Funotenanker"/>
        </w:rPr>
        <w:footnoteReference w:customMarkFollows="1" w:id="2890"/>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891"/>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892"/>
        <w:t>at</w:t>
      </w:r>
      <w:r>
        <w:rPr/>
        <w:t>, dass derjenige, der einen Sünder von seinem Irrweg</w:t>
      </w:r>
      <w:r>
        <w:rPr>
          <w:rStyle w:val="Funotenanker"/>
        </w:rPr>
        <w:footnoteReference w:customMarkFollows="1" w:id="2893"/>
        <w:t>au</w:t>
      </w:r>
      <w:r>
        <w:rPr/>
        <w:t xml:space="preserve"> auf den rechten Weg zurückgeführt hat,</w:t>
      </w:r>
      <w:r>
        <w:rPr>
          <w:rStyle w:val="Funotenanker"/>
        </w:rPr>
        <w:footnoteReference w:customMarkFollows="1" w:id="2894"/>
        <w:t>av</w:t>
      </w:r>
      <w:r>
        <w:rPr/>
        <w:t xml:space="preserve"> seine Seele </w:t>
      </w:r>
      <w:r>
        <w:rPr>
          <w:color w:val="808080"/>
        </w:rPr>
        <w:t>(Leben)</w:t>
      </w:r>
      <w:r>
        <w:rPr/>
        <w:t xml:space="preserve"> vom Tod erretten und eine Menge Sünden zudecken wird.</w:t>
      </w:r>
      <w:r>
        <w:rPr>
          <w:rStyle w:val="Funotenanker"/>
        </w:rPr>
        <w:footnoteReference w:customMarkFollows="1" w:id="2895"/>
        <w:t>aw</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rStyle w:val="Funotenzeichen"/>
        </w:rPr>
        <w:footnoteRef/>
      </w:r>
      <w:r>
        <w:rPr/>
        <w:tab/>
        <w:t>[Status: Zuverlässig]</w:t>
      </w:r>
    </w:p>
  </w:footnote>
  <w:footnote w:id="3">
    <w:p>
      <w:pPr>
        <w:pStyle w:val="Funote"/>
        <w:rPr/>
      </w:pPr>
      <w:r>
        <w:rPr>
          <w:rStyle w:val="Funotenzeichen"/>
        </w:rPr>
        <w:footnoteRef/>
      </w:r>
      <w:r>
        <w:rPr/>
        <w:tab/>
        <w:t>Dieses Waw muss im Kontext von Ex 2,25 gesehen werden.</w:t>
      </w:r>
    </w:p>
  </w:footnote>
  <w:footnote w:id="4">
    <w:p>
      <w:pPr>
        <w:pStyle w:val="Funote"/>
        <w:rPr/>
      </w:pPr>
      <w:r>
        <w:rPr>
          <w:rStyle w:val="Funotenzeichen"/>
        </w:rPr>
        <w:footnoteRef/>
      </w:r>
      <w:r>
        <w:rPr/>
        <w:tab/>
        <w:t>Kleinvieh entspricht Schafen und Ziegen (vgl. DBL Hebrew, 7366).</w:t>
      </w:r>
    </w:p>
  </w:footnote>
  <w:footnote w:id="5">
    <w:p>
      <w:pPr>
        <w:pStyle w:val="Funote"/>
        <w:rPr/>
      </w:pPr>
      <w:r>
        <w:rPr>
          <w:rStyle w:val="Funotenzeichen"/>
        </w:rPr>
        <w:footnoteRef/>
      </w:r>
      <w:r>
        <w:rPr/>
        <w:tab/>
        <w:t>Wörtlich: „war hütend/Hirte das Kleinvieh (Akk.)“. Die gewählte Übersetzung entspricht dem Konsens anderer Übersetzungen.</w:t>
      </w:r>
    </w:p>
  </w:footnote>
  <w:footnote w:id="6">
    <w:p>
      <w:pPr>
        <w:pStyle w:val="Funote"/>
        <w:rPr/>
      </w:pPr>
      <w:r>
        <w:rPr>
          <w:rStyle w:val="Funotenzeichen"/>
        </w:rPr>
        <w:footnoteRef/>
      </w:r>
      <w:r>
        <w:rPr/>
        <w:tab/>
        <w:t>Wörtlich „Flamme des Feuers“.</w:t>
      </w:r>
    </w:p>
  </w:footnote>
  <w:footnote w:id="7">
    <w:p>
      <w:pPr>
        <w:pStyle w:val="Funote"/>
        <w:rPr/>
      </w:pPr>
      <w:r>
        <w:rPr>
          <w:rStyle w:val="Funotenzeichen"/>
        </w:rPr>
        <w:footnoteRef/>
      </w:r>
      <w:r>
        <w:rPr/>
        <w:tab/>
        <w:t xml:space="preserve">Das Wort bezeichnet vermutlich einen Dornbusch, möglicherweise eine Brombeere (vgl. BDB, </w:t>
      </w:r>
      <w:r>
        <w:rPr>
          <w:rtl w:val="true"/>
          <w:lang w:bidi="he-IL"/>
        </w:rPr>
        <w:t>סְנֶה</w:t>
      </w:r>
      <w:r>
        <w:rPr/>
        <w:t>).</w:t>
      </w:r>
    </w:p>
  </w:footnote>
  <w:footnote w:id="8">
    <w:p>
      <w:pPr>
        <w:pStyle w:val="Funote"/>
        <w:rPr/>
      </w:pPr>
      <w:r>
        <w:rPr>
          <w:rStyle w:val="Funotenzeichen"/>
        </w:rPr>
        <w:footnoteRef/>
      </w:r>
      <w:r>
        <w:rPr/>
        <w:tab/>
        <w:t>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w:t>
      </w:r>
    </w:p>
  </w:footnote>
  <w:footnote w:id="9">
    <w:p>
      <w:pPr>
        <w:pStyle w:val="Funote"/>
        <w:rPr/>
      </w:pPr>
      <w:r>
        <w:rPr>
          <w:rStyle w:val="Funotenzeichen"/>
        </w:rPr>
        <w:footnoteRef/>
      </w:r>
      <w:r>
        <w:rPr/>
        <w:tab/>
        <w:t>D.h. „lichterloh“. Im Deutschen wird die zusätzliche Information, dass Feuer in dem Busch brannte, als überflüssig empfunden.</w:t>
      </w:r>
    </w:p>
  </w:footnote>
  <w:footnote w:id="10">
    <w:p>
      <w:pPr>
        <w:pStyle w:val="Funote"/>
        <w:rPr/>
      </w:pPr>
      <w:r>
        <w:rPr>
          <w:rStyle w:val="Funotenzeichen"/>
        </w:rPr>
        <w:footnoteRef/>
      </w:r>
      <w:r>
        <w:rPr/>
        <w:tab/>
        <w:t>Ein Ptz. akt., das eine fortwährende Handlung ausdrückt.</w:t>
      </w:r>
    </w:p>
  </w:footnote>
  <w:footnote w:id="11">
    <w:p>
      <w:pPr>
        <w:pStyle w:val="Funote"/>
        <w:rPr/>
      </w:pPr>
      <w:r>
        <w:rPr>
          <w:rStyle w:val="Funotenzeichen"/>
        </w:rPr>
        <w:footnoteRef/>
      </w:r>
      <w:r>
        <w:rPr/>
        <w:tab/>
        <w:t>Der Kohortativ ist eine Selbstaufforderung.</w:t>
      </w:r>
    </w:p>
  </w:footnote>
  <w:footnote w:id="12">
    <w:p>
      <w:pPr>
        <w:pStyle w:val="Funote"/>
        <w:rPr/>
      </w:pPr>
      <w:r>
        <w:rPr>
          <w:rStyle w:val="Funotenzeichen"/>
        </w:rPr>
        <w:footnoteRef/>
      </w:r>
      <w:r>
        <w:rPr/>
        <w:tab/>
        <w:t>Zwei verbundene Kohortative, von denen der zweite den Zweck angibt.</w:t>
      </w:r>
    </w:p>
  </w:footnote>
  <w:footnote w:id="13">
    <w:p>
      <w:pPr>
        <w:pStyle w:val="Funote"/>
        <w:rPr/>
      </w:pPr>
      <w:r>
        <w:rPr>
          <w:rStyle w:val="Funotenzeichen"/>
        </w:rPr>
        <w:footnoteRef/>
      </w:r>
      <w:r>
        <w:rPr/>
        <w:tab/>
        <w:t>Duratives Ipf., das (wie das Ptz. in V. 2) ein fortwährendes Geschehen andeutet.</w:t>
      </w:r>
    </w:p>
  </w:footnote>
  <w:footnote w:id="14">
    <w:p>
      <w:pPr>
        <w:pStyle w:val="Funote"/>
        <w:rPr/>
      </w:pPr>
      <w:r>
        <w:rPr>
          <w:rStyle w:val="Funotenzeichen"/>
        </w:rPr>
        <w:footnoteRef/>
      </w:r>
      <w:r>
        <w:rPr/>
        <w:tab/>
        <w:t>Oder: »,[und herausfinden], warum der Busch nicht verbrennt!« Die gewählte Lösung ist wohl eine genauere Übersetzung des Wortbestands, weil kein Verb ergänzt werden muss.</w:t>
      </w:r>
    </w:p>
  </w:footnote>
  <w:footnote w:id="15">
    <w:p>
      <w:pPr>
        <w:pStyle w:val="Funote"/>
        <w:rPr/>
      </w:pPr>
      <w:r>
        <w:rPr>
          <w:rStyle w:val="Funotenzeichen"/>
        </w:rPr>
        <w:footnoteRef/>
      </w:r>
      <w:r>
        <w:rPr/>
        <w:tab/>
        <w:t>Also sinngemäß: »Ich höre!«</w:t>
      </w:r>
    </w:p>
  </w:footnote>
  <w:footnote w:id="16">
    <w:p>
      <w:pPr>
        <w:pStyle w:val="Funote"/>
        <w:rPr/>
      </w:pPr>
      <w:r>
        <w:rPr>
          <w:rStyle w:val="Funotenzeichen"/>
        </w:rPr>
        <w:footnoteRef/>
      </w:r>
      <w:r>
        <w:rPr/>
        <w:tab/>
        <w:t>Wörtlich »Erdboden-Heiliges/Heiligtum«.</w:t>
      </w:r>
    </w:p>
  </w:footnote>
  <w:footnote w:id="17">
    <w:p>
      <w:pPr>
        <w:pStyle w:val="Funote"/>
        <w:rPr/>
      </w:pPr>
      <w:r>
        <w:rPr>
          <w:rStyle w:val="Funotenzeichen"/>
        </w:rPr>
        <w:footnoteRef/>
      </w:r>
      <w:r>
        <w:rPr/>
        <w:tab/>
        <w:t>»Sei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w:t>
      </w:r>
    </w:p>
  </w:footnote>
  <w:footnote w:id="18">
    <w:p>
      <w:pPr>
        <w:pStyle w:val="Funote"/>
        <w:rPr/>
      </w:pPr>
      <w:r>
        <w:rPr>
          <w:rStyle w:val="Funotenzeichen"/>
        </w:rPr>
        <w:footnoteRef/>
      </w:r>
      <w:r>
        <w:rPr/>
        <w:tab/>
        <w:t>Hier heißt es im Hebräischen »ihrer« mit Bezug auf die Menschen, die das Volk bilden (Constructio ad sensum). Im Deutschen muss entsprechend aber »seiner« verwendet werden.</w:t>
      </w:r>
    </w:p>
  </w:footnote>
  <w:footnote w:id="19">
    <w:p>
      <w:pPr>
        <w:pStyle w:val="Funote"/>
        <w:rPr/>
      </w:pPr>
      <w:r>
        <w:rPr>
          <w:rStyle w:val="Funotenzeichen"/>
        </w:rPr>
        <w:footnoteRef/>
      </w:r>
      <w:r>
        <w:rPr/>
        <w:tab/>
        <w:t>Perfekt, das mit einem »Verb der Beziehung« (»wissen«) präsentisch gebraucht wird.</w:t>
      </w:r>
    </w:p>
  </w:footnote>
  <w:footnote w:id="20">
    <w:p>
      <w:pPr>
        <w:pStyle w:val="Funote"/>
        <w:rPr/>
      </w:pPr>
      <w:r>
        <w:rPr>
          <w:rStyle w:val="Funotenzeichen"/>
        </w:rPr>
        <w:footnoteRef/>
      </w:r>
      <w:r>
        <w:rPr/>
        <w:tab/>
        <w:t>Oder, etwas freier: »in dem Milch und Honig fließen.«</w:t>
      </w:r>
    </w:p>
  </w:footnote>
  <w:footnote w:id="21">
    <w:p>
      <w:pPr>
        <w:pStyle w:val="Funote"/>
        <w:rPr/>
      </w:pPr>
      <w:r>
        <w:rPr>
          <w:rStyle w:val="Funotenzeichen"/>
        </w:rPr>
        <w:footnoteRef/>
      </w:r>
      <w:r>
        <w:rPr/>
        <w:tab/>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rStyle w:val="Funotenzeichen"/>
        </w:rPr>
        <w:footnoteRef/>
      </w:r>
      <w:r>
        <w:rPr/>
        <w:tab/>
        <w:t>Die nur sinngemäß übersetzbare Partikel »siehe« wirkt als Verstärkung der gemachten Aussage. Hier wurde sie in den Kontext eingearbeitet, indem der Kontrast am Satzanfang besonders stark ausgedrückt wurde.</w:t>
      </w:r>
    </w:p>
  </w:footnote>
  <w:footnote w:id="23">
    <w:p>
      <w:pPr>
        <w:pStyle w:val="Funote"/>
        <w:rPr/>
      </w:pPr>
      <w:r>
        <w:rPr>
          <w:rStyle w:val="Funotenzeichen"/>
        </w:rPr>
        <w:footnoteRef/>
      </w:r>
      <w:r>
        <w:rPr/>
        <w:tab/>
        <w:t>Constructio ad sensum: Das hier verwendete Partizip steht im Plural, weil es sich auf Ägypten als Metapher für die Ägypter bezieht.</w:t>
      </w:r>
    </w:p>
  </w:footnote>
  <w:footnote w:id="24">
    <w:p>
      <w:pPr>
        <w:pStyle w:val="Funote"/>
        <w:rPr/>
      </w:pPr>
      <w:r>
        <w:rPr>
          <w:rStyle w:val="Funotenzeichen"/>
        </w:rPr>
        <w:footnoteRef/>
      </w:r>
      <w:r>
        <w:rPr/>
        <w:tab/>
        <w:t>Das hier verwendete Stilmittel ist typisch Hebräisch: mit Unterdrückung wird unterdrückt. Freier: »auf welche Weise Ägypten/die Ägypter...«, »wie grausam (GNB)/schwer (LBBH) Ägypten/die Ägypter«</w:t>
      </w:r>
    </w:p>
  </w:footnote>
  <w:footnote w:id="25">
    <w:p>
      <w:pPr>
        <w:pStyle w:val="Funote"/>
        <w:rPr/>
      </w:pPr>
      <w:r>
        <w:rPr>
          <w:rStyle w:val="Funotenzeichen"/>
        </w:rPr>
        <w:footnoteRef/>
      </w:r>
      <w:r>
        <w:rPr/>
        <w:tab/>
        <w:t>Emphatischer Imperativ (LBBH).</w:t>
      </w:r>
    </w:p>
  </w:footnote>
  <w:footnote w:id="26">
    <w:p>
      <w:pPr>
        <w:pStyle w:val="Funote"/>
        <w:rPr/>
      </w:pPr>
      <w:r>
        <w:rPr>
          <w:rStyle w:val="Funotenzeichen"/>
        </w:rPr>
        <w:footnoteRef/>
      </w:r>
      <w:r>
        <w:rPr/>
        <w:tab/>
        <w:t>Oder: »und führe hinaus« (Ipv.). Bei der Konstellation Ipv. + Waw + Ipv. gibt der letzte Ipv. in der Regel Ziel oder Zweck an.</w:t>
      </w:r>
    </w:p>
  </w:footnote>
  <w:footnote w:id="27">
    <w:p>
      <w:pPr>
        <w:pStyle w:val="Funote"/>
        <w:rPr/>
      </w:pPr>
      <w:r>
        <w:rPr>
          <w:rStyle w:val="Funotenzeichen"/>
        </w:rPr>
        <w:footnoteRef/>
      </w:r>
      <w:r>
        <w:rPr/>
        <w:tab/>
        <w:t>Beide Ipf.</w:t>
      </w:r>
    </w:p>
  </w:footnote>
  <w:footnote w:id="28">
    <w:p>
      <w:pPr>
        <w:pStyle w:val="Funote"/>
        <w:rPr/>
      </w:pPr>
      <w:r>
        <w:rPr>
          <w:rStyle w:val="Funotenzeichen"/>
        </w:rPr>
        <w:footnoteRef/>
      </w:r>
      <w:r>
        <w:rPr/>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rStyle w:val="Funotenzeichen"/>
        </w:rPr>
        <w:footnoteRef/>
      </w:r>
      <w:r>
        <w:rPr/>
        <w:tab/>
        <w:t>Sowohl eine gegenwärtige als auch eine zukünftige Deutung sind möglich, weil das Verb statisch ist.</w:t>
      </w:r>
    </w:p>
  </w:footnote>
  <w:footnote w:id="30">
    <w:p>
      <w:pPr>
        <w:pStyle w:val="Funote"/>
        <w:rPr/>
      </w:pPr>
      <w:r>
        <w:rPr>
          <w:rStyle w:val="Funotenzeichen"/>
        </w:rPr>
        <w:footnoteRef/>
      </w:r>
      <w:r>
        <w:rPr/>
        <w:tab/>
        <w:t>Wörtlich » für dich das«.</w:t>
      </w:r>
    </w:p>
  </w:footnote>
  <w:footnote w:id="31">
    <w:p>
      <w:pPr>
        <w:pStyle w:val="Funote"/>
        <w:rPr/>
      </w:pPr>
      <w:r>
        <w:rPr>
          <w:rStyle w:val="Funotenzeichen"/>
        </w:rPr>
        <w:footnoteRef/>
      </w:r>
      <w:r>
        <w:rPr/>
        <w:tab/>
        <w:t xml:space="preserve">Inf. cs. mit </w:t>
      </w:r>
      <w:r>
        <w:rPr>
          <w:rtl w:val="true"/>
          <w:lang w:bidi="he-IL"/>
        </w:rPr>
        <w:t>בְּ</w:t>
      </w:r>
      <w:r>
        <w:rPr/>
        <w:t>.</w:t>
      </w:r>
    </w:p>
  </w:footnote>
  <w:footnote w:id="32">
    <w:p>
      <w:pPr>
        <w:pStyle w:val="Funote"/>
        <w:rPr/>
      </w:pPr>
      <w:r>
        <w:rPr>
          <w:rStyle w:val="Funotenzeichen"/>
        </w:rPr>
        <w:footnoteRef/>
      </w:r>
      <w:r>
        <w:rPr/>
        <w:tab/>
        <w:t>Wörtlich: »Siehe, ich komme... und...«</w:t>
      </w:r>
    </w:p>
  </w:footnote>
  <w:footnote w:id="33">
    <w:p>
      <w:pPr>
        <w:pStyle w:val="Funote"/>
        <w:rPr/>
      </w:pPr>
      <w:r>
        <w:rPr>
          <w:rStyle w:val="Funotenzeichen"/>
        </w:rPr>
        <w:footnoteRef/>
      </w:r>
      <w:r>
        <w:rPr/>
        <w:tab/>
        <w:t>Ipf.</w:t>
      </w:r>
    </w:p>
  </w:footnote>
  <w:footnote w:id="34">
    <w:p>
      <w:pPr>
        <w:pStyle w:val="Funote"/>
        <w:rPr/>
      </w:pPr>
      <w:r>
        <w:rPr>
          <w:rStyle w:val="Funotenzeichen"/>
        </w:rPr>
        <w:footnoteRef/>
      </w:r>
      <w:r>
        <w:rPr/>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rStyle w:val="Funotenzeichen"/>
        </w:rPr>
        <w:footnoteRef/>
      </w:r>
      <w:r>
        <w:rPr/>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rStyle w:val="Funotenzeichen"/>
        </w:rPr>
        <w:footnoteRef/>
      </w:r>
      <w:r>
        <w:rPr/>
        <w:tab/>
        <w:t>Hier steht eine AKwaw-From. In der direkten Rede macht sie Aussagen über die sichere Zukunft. Nach einem Imperativ ist sie als bindender Direktiv zu verstehen. Dasselbe gilt beim nächsten Verb.</w:t>
      </w:r>
    </w:p>
  </w:footnote>
  <w:footnote w:id="37">
    <w:p>
      <w:pPr>
        <w:pStyle w:val="Funote"/>
        <w:rPr/>
      </w:pPr>
      <w:r>
        <w:rPr>
          <w:rStyle w:val="Funotenzeichen"/>
        </w:rPr>
        <w:footnoteRef/>
      </w:r>
      <w:r>
        <w:rPr/>
        <w:tab/>
        <w:t xml:space="preserve">Das Nifal von </w:t>
      </w:r>
      <w:r>
        <w:rPr>
          <w:rtl w:val="true"/>
          <w:lang w:bidi="he-IL"/>
        </w:rPr>
        <w:t>ראה</w:t>
      </w:r>
      <w:r>
        <w:rPr/>
        <w:t xml:space="preserve"> </w:t>
      </w:r>
      <w:r>
        <w:rPr/>
        <w:t>kann als Passiv übersetzt werden.</w:t>
      </w:r>
    </w:p>
  </w:footnote>
  <w:footnote w:id="38">
    <w:p>
      <w:pPr>
        <w:pStyle w:val="Funote"/>
        <w:rPr/>
      </w:pPr>
      <w:r>
        <w:rPr>
          <w:rStyle w:val="Funotenzeichen"/>
        </w:rPr>
        <w:footnoteRef/>
      </w:r>
      <w:r>
        <w:rPr/>
        <w:tab/>
        <w:t>Die LXX bezeugt »der Gott Abrahams, der Gott Isaaks und der Gott Abrahams«.</w:t>
      </w:r>
    </w:p>
  </w:footnote>
  <w:footnote w:id="39">
    <w:p>
      <w:pPr>
        <w:pStyle w:val="Funote"/>
        <w:rPr/>
      </w:pPr>
      <w:r>
        <w:rPr>
          <w:rStyle w:val="Funotenzeichen"/>
        </w:rPr>
        <w:footnoteRef/>
      </w:r>
      <w:r>
        <w:rPr/>
        <w:tab/>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rStyle w:val="Funotenzeichen"/>
        </w:rPr>
        <w:footnoteRef/>
      </w:r>
      <w:r>
        <w:rPr/>
        <w:tab/>
        <w:t xml:space="preserve">Das Wort </w:t>
      </w:r>
      <w:r>
        <w:rPr>
          <w:rtl w:val="true"/>
          <w:lang w:bidi="he-IL"/>
        </w:rPr>
        <w:t>פקד</w:t>
      </w:r>
      <w:r>
        <w:rPr/>
        <w:t xml:space="preserve"> </w:t>
      </w:r>
      <w:r>
        <w:rPr/>
        <w:t>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w:t>
      </w:r>
    </w:p>
  </w:footnote>
  <w:footnote w:id="41">
    <w:p>
      <w:pPr>
        <w:pStyle w:val="Funote"/>
        <w:rPr/>
      </w:pPr>
      <w:r>
        <w:rPr>
          <w:rStyle w:val="Funotenzeichen"/>
        </w:rPr>
        <w:footnoteRef/>
      </w:r>
      <w:r>
        <w:rPr/>
        <w:tab/>
        <w:t>Der textus graecus originalis bezeugt hier die 3.Sg: »Da dachte/sagte er«.</w:t>
      </w:r>
    </w:p>
  </w:footnote>
  <w:footnote w:id="42">
    <w:p>
      <w:pPr>
        <w:pStyle w:val="Funote"/>
        <w:rPr/>
      </w:pPr>
      <w:r>
        <w:rPr>
          <w:rStyle w:val="Funotenzeichen"/>
        </w:rPr>
        <w:footnoteRef/>
      </w:r>
      <w:r>
        <w:rPr/>
        <w:tab/>
        <w:t>Siehe Fußnoten V. 8.</w:t>
      </w:r>
    </w:p>
  </w:footnote>
  <w:footnote w:id="43">
    <w:p>
      <w:pPr>
        <w:pStyle w:val="Funote"/>
        <w:rPr/>
      </w:pPr>
      <w:r>
        <w:rPr>
          <w:rStyle w:val="Funotenzeichen"/>
        </w:rPr>
        <w:footnoteRef/>
      </w:r>
      <w:r>
        <w:rPr/>
        <w:tab/>
        <w:t>Die LXX bezeugt hier die 2.Sg. mas.</w:t>
      </w:r>
    </w:p>
  </w:footnote>
  <w:footnote w:id="44">
    <w:p>
      <w:pPr>
        <w:pStyle w:val="Funote"/>
        <w:rPr/>
      </w:pPr>
      <w:r>
        <w:rPr>
          <w:rStyle w:val="Funotenzeichen"/>
        </w:rPr>
        <w:footnoteRef/>
      </w:r>
      <w:r>
        <w:rPr/>
        <w:tab/>
        <w:t>Der Kohortativ lässt beide Möglichkeiten zu.</w:t>
      </w:r>
    </w:p>
  </w:footnote>
  <w:footnote w:id="45">
    <w:p>
      <w:pPr>
        <w:pStyle w:val="Funote"/>
        <w:rPr/>
      </w:pPr>
      <w:r>
        <w:rPr>
          <w:rStyle w:val="Funotenzeichen"/>
        </w:rPr>
        <w:footnoteRef/>
      </w:r>
      <w:r>
        <w:rPr/>
        <w:tab/>
        <w:t>Wörtlich: »eine Reise/Weg [von] drei Tagen«</w:t>
      </w:r>
    </w:p>
  </w:footnote>
  <w:footnote w:id="46">
    <w:p>
      <w:pPr>
        <w:pStyle w:val="Funote"/>
        <w:rPr/>
      </w:pPr>
      <w:r>
        <w:rPr>
          <w:rStyle w:val="Funotenzeichen"/>
        </w:rPr>
        <w:footnoteRef/>
      </w:r>
      <w:r>
        <w:rPr/>
        <w:tab/>
        <w:t>D.h. »wenn er nicht gezwungen wird« oder »auch nicht, wenn er gezwungen wird«. LXX: »außer«. Eine genauere Behandlung in NET Ex 3:19 Fußnote 65.</w:t>
      </w:r>
    </w:p>
  </w:footnote>
  <w:footnote w:id="47">
    <w:p>
      <w:pPr>
        <w:pStyle w:val="Funote"/>
        <w:rPr/>
      </w:pPr>
      <w:r>
        <w:rPr>
          <w:rStyle w:val="Funotenzeichen"/>
        </w:rPr>
        <w:footnoteRef/>
      </w:r>
      <w:r>
        <w:rPr/>
        <w:tab/>
        <w:t>D.h. »ich werde dafür sorgen, dass die Ägypter euch gesonnen sind«.</w:t>
      </w:r>
    </w:p>
  </w:footnote>
  <w:footnote w:id="48">
    <w:p>
      <w:pPr>
        <w:pStyle w:val="Funote"/>
        <w:rPr/>
      </w:pPr>
      <w:r>
        <w:rPr>
          <w:rStyle w:val="Funotenzeichen"/>
        </w:rPr>
        <w:footnoteRef/>
      </w:r>
      <w:r>
        <w:rPr/>
        <w:tab/>
        <w:t>Wörtlich »leer«.</w:t>
      </w:r>
    </w:p>
  </w:footnote>
  <w:footnote w:id="49">
    <w:p>
      <w:pPr>
        <w:pStyle w:val="Funote"/>
        <w:rPr/>
      </w:pPr>
      <w:r>
        <w:rPr>
          <w:rStyle w:val="Funotenzeichen"/>
        </w:rPr>
        <w:footnoteRef/>
      </w:r>
      <w:r>
        <w:rPr/>
        <w:tab/>
        <w:t>Ipf.</w:t>
      </w:r>
    </w:p>
  </w:footnote>
  <w:footnote w:id="50">
    <w:p>
      <w:pPr>
        <w:pStyle w:val="Funote"/>
        <w:rPr/>
      </w:pPr>
      <w:r>
        <w:rPr>
          <w:rStyle w:val="Funotenzeichen"/>
        </w:rPr>
        <w:footnoteRef/>
      </w:r>
      <w:r>
        <w:rPr/>
        <w:tab/>
        <w:t>[Status: Zuverlässig]</w:t>
      </w:r>
    </w:p>
  </w:footnote>
  <w:footnote w:id="51">
    <w:p>
      <w:pPr>
        <w:pStyle w:val="Funote"/>
        <w:rPr/>
      </w:pPr>
      <w:r>
        <w:rPr>
          <w:rStyle w:val="Funotenzeichen"/>
        </w:rPr>
        <w:footnoteRef/>
      </w:r>
      <w:r>
        <w:rPr/>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rStyle w:val="Funotenzeichen"/>
        </w:rPr>
        <w:footnoteRef/>
      </w:r>
      <w:r>
        <w:rPr/>
        <w:tab/>
        <w:t>Ägypten und Kanaan stehen hier metonym als toto pro pars; die gesamte Einheit (das ganze Land) wird also stellvertretend für einen Teil (die Bewohner) genannt. „[die Bewohner]“ wurde deshalb ergänzt.</w:t>
      </w:r>
    </w:p>
  </w:footnote>
  <w:footnote w:id="53">
    <w:p>
      <w:pPr>
        <w:pStyle w:val="Funote"/>
        <w:rPr/>
      </w:pPr>
      <w:r>
        <w:rPr>
          <w:rStyle w:val="Funotenzeichen"/>
        </w:rPr>
        <w:footnoteRef/>
      </w:r>
      <w:r>
        <w:rPr/>
        <w:tab/>
        <w:t>Partizip. Oder: „in das ich euch führen werde“, dann als Gegensatz zum vormaligen Leben in Ägypten gedeutet (vgl. NET).</w:t>
      </w:r>
    </w:p>
  </w:footnote>
  <w:footnote w:id="54">
    <w:p>
      <w:pPr>
        <w:pStyle w:val="Funote"/>
        <w:rPr/>
      </w:pPr>
      <w:r>
        <w:rPr>
          <w:rStyle w:val="Funotenzeichen"/>
        </w:rPr>
        <w:footnoteRef/>
      </w:r>
      <w:r>
        <w:rPr/>
        <w:tab/>
        <w:t>Wörtlich „gehen in“, sinngemäß jedoch eher „leben gemäß“; bezeichnet die Lebensführung (Sprinkle 2008, 24).</w:t>
      </w:r>
    </w:p>
  </w:footnote>
  <w:footnote w:id="55">
    <w:p>
      <w:pPr>
        <w:pStyle w:val="Funote"/>
        <w:rPr/>
      </w:pPr>
      <w:r>
        <w:rPr>
          <w:rStyle w:val="Funotenzeichen"/>
        </w:rPr>
        <w:footnoteRef/>
      </w:r>
      <w:r>
        <w:rPr/>
        <w:tab/>
        <w:t>Meine Verordnungen Die Hervorhebung ergibt sich aus der Wortstellung. Hier bildet nicht wie sonst das Prädikat den Satzanfang, sondern das Objekt (Milgrom 2000, 1521).</w:t>
      </w:r>
    </w:p>
  </w:footnote>
  <w:footnote w:id="56">
    <w:p>
      <w:pPr>
        <w:pStyle w:val="Funote"/>
        <w:rPr/>
      </w:pPr>
      <w:r>
        <w:rPr>
          <w:rStyle w:val="Funotenzeichen"/>
        </w:rPr>
        <w:footnoteRef/>
      </w:r>
      <w:r>
        <w:rPr/>
        <w:tab/>
        <w:t>tun (handeln) Es handelt sich um dasselbe Wort, das in V. 3 mit „handeln“ übersetzt wurde.</w:t>
      </w:r>
    </w:p>
  </w:footnote>
  <w:footnote w:id="57">
    <w:p>
      <w:pPr>
        <w:pStyle w:val="Funote"/>
        <w:rPr/>
      </w:pPr>
      <w:r>
        <w:rPr>
          <w:rStyle w:val="Funotenzeichen"/>
        </w:rPr>
        <w:footnoteRef/>
      </w:r>
      <w:r>
        <w:rPr/>
        <w:tab/>
        <w:t>Es handelt sich um dasselbe Wort wie in V. 3 „Bräuche“, nur dass hier (im Paar mit „Gesetzen“) eine andere Konnotation vorhanden ist; es geht um Vorschriften und nicht nur Gepflogenheiten.</w:t>
      </w:r>
    </w:p>
  </w:footnote>
  <w:footnote w:id="58">
    <w:p>
      <w:pPr>
        <w:pStyle w:val="Funote"/>
        <w:rPr/>
      </w:pPr>
      <w:r>
        <w:rPr>
          <w:rStyle w:val="Funotenzeichen"/>
        </w:rPr>
        <w:footnoteRef/>
      </w:r>
      <w:r>
        <w:rPr/>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59">
    <w:p>
      <w:pPr>
        <w:pStyle w:val="Funote"/>
        <w:rPr/>
      </w:pPr>
      <w:r>
        <w:rPr>
          <w:rStyle w:val="Funotenzeichen"/>
        </w:rPr>
        <w:footnoteRef/>
      </w:r>
      <w:r>
        <w:rPr/>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denn“/„von denen gilt“ ist entweder Relativpronomen oder kausale Konjunktion, syntaktisch ist beides möglich. „und“ ist hier konsekutiv oder final; die Auflösung der Satzreihe zu Qualifikation→Folge entspricht also ebenfalls dem ursprünglichen Sinn. Der Wechsel in die dritte Person hat wohl den Grund, dass dieses Prinzip nicht nur für das angesprochene Israel gilt, sondern auch für im Land lebende Fremde, die sich ebenfalls an die im Folgenden gelisteten Gebote halten müssen (vgl. V. 26; Milgrom 2000, 1522).</w:t>
      </w:r>
    </w:p>
  </w:footnote>
  <w:footnote w:id="60">
    <w:p>
      <w:pPr>
        <w:pStyle w:val="Funote"/>
        <w:rPr/>
      </w:pPr>
      <w:r>
        <w:rPr>
          <w:rStyle w:val="Funotenzeichen"/>
        </w:rPr>
        <w:footnoteRef/>
      </w:r>
      <w:r>
        <w:rPr/>
        <w:tab/>
        <w:t xml:space="preserve">wird durch sie (nach/in ihnen) leben Dieser Satz hat eine weit reichende Wirkungsgeschichte im AT, in der jüdischen Auslegung und im NT entfaltet. Was bedeutet „leben“? Geht es um diesseitiges oder jenseitiges Leben oder nur um die Lebensqualität? Und geht es um Leben durch Einhaltung der Gebote, oder in ihrem Schutz o.ä.? Unter dem Einfluss des Exils wurde er neu aufgegriffen (Ez 20,11, Neh 9,29) und als Beleg für Israels Versagen gegenüber ihrem Bundesversprechen. Viele Rabbinen benutzten den Vers als Beleg für die grundsätzlich lebensschützende Funktion der Tora, andere hingegen als Hinweis auf ewiges Leben. Besonders kompliziert ist Paulus' Verwendung von Lev 18,5 (Röm 10,8, Gal 3,12). Ab dem späten 20. Jh. spielte er in der Diskussion um die neue Paulusperspektive eine nicht unwichtige Rolle. 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lokal; für sie geht es um ein gesegnetes Leben innerhalb des Bundes. Die Mehrheit der Ausleger versteht die Stelle als gehorsamsbedingte Verheißung eines Lebens unter dem Bundessegen im verheißenen Land (Wenham, Sprinkle, Gathercole u.a.).</w:t>
      </w:r>
    </w:p>
  </w:footnote>
  <w:footnote w:id="61">
    <w:p>
      <w:pPr>
        <w:pStyle w:val="Funote"/>
        <w:rPr/>
      </w:pPr>
      <w:r>
        <w:rPr>
          <w:rStyle w:val="Funotenzeichen"/>
        </w:rPr>
        <w:footnoteRef/>
      </w:r>
      <w:r>
        <w:rPr/>
        <w:tab/>
        <w:t>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w:t>
      </w:r>
    </w:p>
  </w:footnote>
  <w:footnote w:id="62">
    <w:p>
      <w:pPr>
        <w:pStyle w:val="Funote"/>
        <w:rPr/>
      </w:pPr>
      <w:r>
        <w:rPr>
          <w:rStyle w:val="Funotenzeichen"/>
        </w:rPr>
        <w:footnoteRef/>
      </w:r>
      <w:r>
        <w:rPr/>
        <w:tab/>
        <w:t>Prädikatives Partizip.</w:t>
      </w:r>
    </w:p>
  </w:footnote>
  <w:footnote w:id="63">
    <w:p>
      <w:pPr>
        <w:pStyle w:val="Funote"/>
        <w:rPr/>
      </w:pPr>
      <w:r>
        <w:rPr>
          <w:rStyle w:val="Funotenzeichen"/>
        </w:rPr>
        <w:footnoteRef/>
      </w:r>
      <w:r>
        <w:rPr/>
        <w:tab/>
        <w:t>Mit einer konsekutiven Satzverknüpfung zeigt V. 25 an, dass die Unreinheit der Bewohner zur Unreinheit des Landes und zu Gottes Bestrafung führte.</w:t>
      </w:r>
    </w:p>
  </w:footnote>
  <w:footnote w:id="64">
    <w:p>
      <w:pPr>
        <w:pStyle w:val="Funote"/>
        <w:rPr/>
      </w:pPr>
      <w:r>
        <w:rPr>
          <w:rStyle w:val="Funotenzeichen"/>
        </w:rPr>
        <w:footnoteRef/>
      </w:r>
      <w:r>
        <w:rPr/>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rStyle w:val="Funotenzeichen"/>
        </w:rPr>
        <w:footnoteRef/>
      </w:r>
      <w:r>
        <w:rPr/>
        <w:tab/>
        <w:t>Die Übersetzung „Seelen“ (Klammer) folgt Kiuchi 2007, 332, der sie in Verbindung mit „abschneiden“ für angemessener hält als „Personen“.</w:t>
      </w:r>
    </w:p>
  </w:footnote>
  <w:footnote w:id="66">
    <w:p>
      <w:pPr>
        <w:pStyle w:val="Funote"/>
        <w:rPr/>
      </w:pPr>
      <w:r>
        <w:rPr>
          <w:rStyle w:val="Funotenzeichen"/>
        </w:rPr>
        <w:footnoteRef/>
      </w:r>
      <w:r>
        <w:rPr/>
        <w:tab/>
        <w:t>übernehmen Wörtlich „tun/handeln“ (genauso das folgende Verb „nachgegangen sind“), doch Bräuche werden im Deutschen i.d.R. wahrgenommen. Denkbar sind auch „nachgehen“ oder „folgen“. übernehmen passt recht gut in den Kontext (vgl. NLB).</w:t>
      </w:r>
    </w:p>
  </w:footnote>
  <w:footnote w:id="67">
    <w:p>
      <w:pPr>
        <w:pStyle w:val="Funote"/>
        <w:rPr/>
      </w:pPr>
      <w:r>
        <w:rPr>
          <w:rStyle w:val="Funotenzeichen"/>
        </w:rPr>
        <w:footnoteRef/>
      </w:r>
      <w:r>
        <w:rPr/>
        <w:tab/>
        <w:t>Es ist nicht klar, ob „vor“ hier in räumlicher („vor euren Augen“) oder zeitlicher Hinsicht („vor eurer Ankunft“) gemeint ist. Nach Milgrom ist die räumliche Deutung wahrscheinlicher, weil die zeitliche das Verb „sein“ erforderlich machen würde (Milgrom 2000, 1583). Vgl. auch V. 5 &amp; 27.</w:t>
      </w:r>
    </w:p>
  </w:footnote>
  <w:footnote w:id="68">
    <w:p>
      <w:pPr>
        <w:pStyle w:val="Funote"/>
        <w:rPr/>
      </w:pPr>
      <w:r>
        <w:rPr>
          <w:rStyle w:val="Funotenzeichen"/>
        </w:rPr>
        <w:footnoteRef/>
      </w:r>
      <w:r>
        <w:rPr/>
        <w:tab/>
        <w:t xml:space="preserve">an ihnen (wie sie) Hebr. </w:t>
      </w:r>
      <w:r>
        <w:rPr>
          <w:rtl w:val="true"/>
          <w:lang w:bidi="he-IL"/>
        </w:rPr>
        <w:t>בָּהֶם</w:t>
      </w:r>
      <w:r>
        <w:rPr/>
        <w:t xml:space="preserve"> </w:t>
      </w:r>
      <w:r>
        <w:rPr/>
        <w:t>bezieht sich hier wie „mit all diesen [Praktiken]“ in V. 24 instrumental auf das Mittel, mit dem die Verunreinigung entstand. Theoretisch möglich wäre jedoch auch die Übersetzung „wie sie“, also als Vergleich mit den Einheimischen.</w:t>
      </w:r>
    </w:p>
  </w:footnote>
  <w:footnote w:id="69">
    <w:p>
      <w:pPr>
        <w:pStyle w:val="Funote"/>
        <w:rPr/>
      </w:pPr>
      <w:r>
        <w:rPr>
          <w:rStyle w:val="Funotenzeichen"/>
        </w:rPr>
        <w:footnoteRef/>
      </w:r>
      <w:r>
        <w:rPr/>
        <w:tab/>
        <w:t>[Status: Zuverlässig]</w:t>
      </w:r>
    </w:p>
  </w:footnote>
  <w:footnote w:id="70">
    <w:p>
      <w:pPr>
        <w:pStyle w:val="Funote"/>
        <w:rPr/>
      </w:pPr>
      <w:r>
        <w:rPr>
          <w:rStyle w:val="Funotenzeichen"/>
        </w:rPr>
        <w:footnoteRef/>
      </w:r>
      <w:r>
        <w:rPr/>
        <w:tab/>
        <w:t>Die Bedeutung des Wortes ist nicht ganz sicher, wird aber als wahrscheinlich angegeben.</w:t>
      </w:r>
    </w:p>
  </w:footnote>
  <w:footnote w:id="71">
    <w:p>
      <w:pPr>
        <w:pStyle w:val="Funote"/>
        <w:rPr/>
      </w:pPr>
      <w:r>
        <w:rPr>
          <w:rStyle w:val="Funotenzeichen"/>
        </w:rPr>
        <w:footnoteRef/>
      </w:r>
      <w:r>
        <w:rPr/>
        <w:tab/>
        <w:t>Die Partikel »Siehe« bleibt am besten unübersetzt. Sie drückt hier die Aufregung der Boten aus; der Satz wurde ansatzweise in eine entsprechende Form gebracht, um dies wiederzugeben.</w:t>
      </w:r>
    </w:p>
  </w:footnote>
  <w:footnote w:id="72">
    <w:p>
      <w:pPr>
        <w:pStyle w:val="Funote"/>
        <w:rPr/>
      </w:pPr>
      <w:r>
        <w:rPr>
          <w:rStyle w:val="Funotenzeichen"/>
        </w:rPr>
        <w:footnoteRef/>
      </w:r>
      <w:r>
        <w:rPr/>
        <w:tab/>
        <w:t>Möglich auch: „Befehl“, „Nachricht“, „Boten“, „Wachleute“, etc. Die Abgesandten waren aber wohl Polizisten oder Soldaten, wie aus den folgenden Versen klar wird.</w:t>
      </w:r>
    </w:p>
  </w:footnote>
  <w:footnote w:id="73">
    <w:p>
      <w:pPr>
        <w:pStyle w:val="Funote"/>
        <w:rPr/>
      </w:pPr>
      <w:r>
        <w:rPr>
          <w:rStyle w:val="Funotenzeichen"/>
        </w:rPr>
        <w:footnoteRef/>
      </w:r>
      <w:r>
        <w:rPr/>
        <w:tab/>
        <w:t>Im Hebräischen gibt es kein Plusquamperfekt. Der Kontext legt hier jedoch dringend nahe, dass das Geschilderte vorher geschah und entsprechend zu übersetzen ist.</w:t>
      </w:r>
    </w:p>
  </w:footnote>
  <w:footnote w:id="74">
    <w:p>
      <w:pPr>
        <w:pStyle w:val="Funote"/>
        <w:rPr/>
      </w:pPr>
      <w:r>
        <w:rPr>
          <w:rStyle w:val="Funotenzeichen"/>
        </w:rPr>
        <w:footnoteRef/>
      </w:r>
      <w:r>
        <w:rPr/>
        <w:tab/>
        <w:t>S. Erklärung zum Plusquamperfekt V. 4.</w:t>
      </w:r>
    </w:p>
  </w:footnote>
  <w:footnote w:id="75">
    <w:p>
      <w:pPr>
        <w:pStyle w:val="Funote"/>
        <w:rPr/>
      </w:pPr>
      <w:r>
        <w:rPr>
          <w:rStyle w:val="Funotenzeichen"/>
        </w:rPr>
        <w:footnoteRef/>
      </w:r>
      <w:r>
        <w:rPr/>
        <w:tab/>
        <w:t>Wörtlich: „Flachs (pl.) des Holzes“.</w:t>
      </w:r>
    </w:p>
  </w:footnote>
  <w:footnote w:id="76">
    <w:p>
      <w:pPr>
        <w:pStyle w:val="Funote"/>
        <w:rPr/>
      </w:pPr>
      <w:r>
        <w:rPr>
          <w:rStyle w:val="Funotenzeichen"/>
        </w:rPr>
        <w:footnoteRef/>
      </w:r>
      <w:r>
        <w:rPr/>
        <w:tab/>
        <w:t>Gesenius meint, es handele sich um Baumwolle – bitte in entsprechenden Werken nachschlagen</w:t>
      </w:r>
    </w:p>
  </w:footnote>
  <w:footnote w:id="77">
    <w:p>
      <w:pPr>
        <w:pStyle w:val="Funote"/>
        <w:rPr/>
      </w:pPr>
      <w:r>
        <w:rPr>
          <w:rStyle w:val="Funotenzeichen"/>
        </w:rPr>
        <w:footnoteRef/>
      </w:r>
      <w:r>
        <w:rPr/>
        <w:tab/>
        <w:t>Aufgelöstes Ptz.</w:t>
      </w:r>
    </w:p>
  </w:footnote>
  <w:footnote w:id="78">
    <w:p>
      <w:pPr>
        <w:pStyle w:val="Funote"/>
        <w:rPr/>
      </w:pPr>
      <w:r>
        <w:rPr>
          <w:rStyle w:val="Funotenzeichen"/>
        </w:rPr>
        <w:footnoteRef/>
      </w:r>
      <w:r>
        <w:rPr/>
        <w:tab/>
        <w:t>Offenbar zum Trocknen. V. 6 müsste vielleicht anhand von historischen Erkenntnissen zur Flachsverarbeitung korrigiert werden. Meine Kenntnisse stammen von Wikipedia, was weder sehr aussagekräftig noch zitierbar ist.</w:t>
      </w:r>
    </w:p>
  </w:footnote>
  <w:footnote w:id="79">
    <w:p>
      <w:pPr>
        <w:pStyle w:val="Funote"/>
        <w:rPr/>
      </w:pPr>
      <w:r>
        <w:rPr>
          <w:rStyle w:val="Funotenzeichen"/>
        </w:rPr>
        <w:footnoteRef/>
      </w:r>
      <w:r>
        <w:rPr/>
        <w:tab/>
        <w:t>Satzfolgeunterbrechender Waw-Satz, der hier einen erklärenden Einschub markiert.</w:t>
      </w:r>
    </w:p>
  </w:footnote>
  <w:footnote w:id="80">
    <w:p>
      <w:pPr>
        <w:pStyle w:val="Funote"/>
        <w:rPr/>
      </w:pPr>
      <w:r>
        <w:rPr>
          <w:rStyle w:val="Funotenzeichen"/>
        </w:rPr>
        <w:footnoteRef/>
      </w:r>
      <w:r>
        <w:rPr/>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rStyle w:val="Funotenzeichen"/>
        </w:rPr>
        <w:footnoteRef/>
      </w:r>
      <w:r>
        <w:rPr/>
        <w:tab/>
        <w:t>Aus der Perspektive der Verfolger geschildert (vgl. NET Jos 2:7 Fußnote 16).</w:t>
      </w:r>
    </w:p>
  </w:footnote>
  <w:footnote w:id="82">
    <w:p>
      <w:pPr>
        <w:pStyle w:val="Funote"/>
        <w:rPr/>
      </w:pPr>
      <w:r>
        <w:rPr>
          <w:rStyle w:val="Funotenzeichen"/>
        </w:rPr>
        <w:footnoteRef/>
      </w:r>
      <w:r>
        <w:rPr/>
        <w:tab/>
        <w:t>Beigeordnetes Partizip: Sie verließen die Stadt, „um sie zu verfolgen“ oder „bei der Verfolgung“, oder „diejenigen, die sie verfolgten“.</w:t>
      </w:r>
    </w:p>
  </w:footnote>
  <w:footnote w:id="83">
    <w:p>
      <w:pPr>
        <w:pStyle w:val="Funote"/>
        <w:rPr/>
      </w:pPr>
      <w:r>
        <w:rPr>
          <w:rStyle w:val="Funotenzeichen"/>
        </w:rPr>
        <w:footnoteRef/>
      </w:r>
      <w:r>
        <w:rPr/>
        <w:tab/>
        <w:t>Satzfolgeunterbrechender Waw-Satz, der hier einen erklärenden Einschub markiert.</w:t>
      </w:r>
    </w:p>
  </w:footnote>
  <w:footnote w:id="84">
    <w:p>
      <w:pPr>
        <w:pStyle w:val="Funote"/>
        <w:rPr/>
      </w:pPr>
      <w:r>
        <w:rPr>
          <w:rStyle w:val="Funotenzeichen"/>
        </w:rPr>
        <w:footnoteRef/>
      </w:r>
      <w:r>
        <w:rPr/>
        <w:tab/>
        <w:t>Wörtlich: »auf uns gefallen ist«</w:t>
      </w:r>
    </w:p>
  </w:footnote>
  <w:footnote w:id="85">
    <w:p>
      <w:pPr>
        <w:pStyle w:val="Funote"/>
        <w:rPr/>
      </w:pPr>
      <w:r>
        <w:rPr>
          <w:rStyle w:val="Funotenzeichen"/>
        </w:rPr>
        <w:footnoteRef/>
      </w:r>
      <w:r>
        <w:rPr/>
        <w:tab/>
        <w:t xml:space="preserve">Das Wort »schmelzen« könnte auch »(er)zittern«/»beben« bedeuten und drückt hier panische Angst aus. Es wurde versucht, eine passende deutsche Übersetzung zu finden. Vgl. TWOT, 1156 </w:t>
      </w:r>
      <w:r>
        <w:rPr>
          <w:rtl w:val="true"/>
          <w:lang w:bidi="he-IL"/>
        </w:rPr>
        <w:t>מוּג</w:t>
      </w:r>
      <w:r>
        <w:rPr/>
        <w:t>.</w:t>
      </w:r>
    </w:p>
  </w:footnote>
  <w:footnote w:id="86">
    <w:p>
      <w:pPr>
        <w:pStyle w:val="Funote"/>
        <w:rPr/>
      </w:pPr>
      <w:r>
        <w:rPr>
          <w:rStyle w:val="Funotenzeichen"/>
        </w:rPr>
        <w:footnoteRef/>
      </w:r>
      <w:r>
        <w:rPr/>
        <w:tab/>
        <w:t>Platzhalter für eine fachkundige Erklärung des Bannes.</w:t>
      </w:r>
    </w:p>
  </w:footnote>
  <w:footnote w:id="87">
    <w:p>
      <w:pPr>
        <w:pStyle w:val="Funote"/>
        <w:rPr/>
      </w:pPr>
      <w:r>
        <w:rPr>
          <w:rStyle w:val="Funotenzeichen"/>
        </w:rPr>
        <w:footnoteRef/>
      </w:r>
      <w:r>
        <w:rPr/>
        <w:tab/>
        <w:t>Wörtlich: »einem Mann«</w:t>
      </w:r>
    </w:p>
  </w:footnote>
  <w:footnote w:id="88">
    <w:p>
      <w:pPr>
        <w:pStyle w:val="Funote"/>
        <w:rPr/>
      </w:pPr>
      <w:r>
        <w:rPr>
          <w:rStyle w:val="Funotenzeichen"/>
        </w:rPr>
        <w:footnoteRef/>
      </w:r>
      <w:r>
        <w:rPr/>
        <w:tab/>
        <w:t>Alternativ »[selbst wenn wir dafür] sterben« o.ä. Wörtlich »zu sterben« – dies kann sich entweder auf die Kundschafter, oder auf Rahab beziehen.</w:t>
      </w:r>
    </w:p>
  </w:footnote>
  <w:footnote w:id="89">
    <w:p>
      <w:pPr>
        <w:pStyle w:val="Funote"/>
        <w:rPr/>
      </w:pPr>
      <w:r>
        <w:rPr>
          <w:rStyle w:val="Funotenzeichen"/>
        </w:rPr>
        <w:footnoteRef/>
      </w:r>
      <w:r>
        <w:rPr/>
        <w:tab/>
        <w:t>Alternativ lässt sich der »wenn«-Satz mit dem vorhergehenden Gelübde der Kundschafter verbinden: »Unser Leben für euch..., wenn ihr … nicht meldet«.</w:t>
      </w:r>
    </w:p>
  </w:footnote>
  <w:footnote w:id="90">
    <w:p>
      <w:pPr>
        <w:pStyle w:val="Funote"/>
        <w:rPr/>
      </w:pPr>
      <w:r>
        <w:rPr>
          <w:rStyle w:val="Funotenzeichen"/>
        </w:rPr>
        <w:footnoteRef/>
      </w:r>
      <w:r>
        <w:rPr/>
        <w:tab/>
        <w:t>Temporal aufzufassen. Deshalb wurde zur Verdeutlichung »sobald« gewählt.</w:t>
      </w:r>
    </w:p>
  </w:footnote>
  <w:footnote w:id="91">
    <w:p>
      <w:pPr>
        <w:pStyle w:val="Funote"/>
        <w:rPr/>
      </w:pPr>
      <w:r>
        <w:rPr>
          <w:rStyle w:val="Funotenzeichen"/>
        </w:rPr>
        <w:footnoteRef/>
      </w:r>
      <w:r>
        <w:rPr/>
        <w:tab/>
        <w:t>Gedanklich zu ergänzen: »wenn du nicht folgende Bedingung erfüllst:« (s. V. 18).</w:t>
      </w:r>
    </w:p>
  </w:footnote>
  <w:footnote w:id="92">
    <w:p>
      <w:pPr>
        <w:pStyle w:val="Funote"/>
        <w:rPr/>
      </w:pPr>
      <w:r>
        <w:rPr>
          <w:rStyle w:val="Funotenzeichen"/>
        </w:rPr>
        <w:footnoteRef/>
      </w:r>
      <w:r>
        <w:rPr/>
        <w:tab/>
        <w:t>»Siehe« + Ptz. + satzfolgeunterbrechender Satz drückt ein als abgeschlossen betrachtetes Geschehen aus. Alle wichtigen Übersetzungen übersetzen hier »wenn«. Menge übersetzt »Siehe« als »Wisse wohl:«.</w:t>
      </w:r>
    </w:p>
  </w:footnote>
  <w:footnote w:id="93">
    <w:p>
      <w:pPr>
        <w:pStyle w:val="Funote"/>
        <w:rPr/>
      </w:pPr>
      <w:r>
        <w:rPr>
          <w:rStyle w:val="Funotenzeichen"/>
        </w:rPr>
        <w:footnoteRef/>
      </w:r>
      <w:r>
        <w:rPr/>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94">
    <w:p>
      <w:pPr>
        <w:pStyle w:val="Funote"/>
        <w:rPr/>
      </w:pPr>
      <w:r>
        <w:rPr>
          <w:rStyle w:val="Funotenzeichen"/>
        </w:rPr>
        <w:footnoteRef/>
      </w:r>
      <w:r>
        <w:rPr/>
        <w:tab/>
        <w:t>D.h. er wird die Verantwortung dafür tragen.</w:t>
      </w:r>
    </w:p>
  </w:footnote>
  <w:footnote w:id="95">
    <w:p>
      <w:pPr>
        <w:pStyle w:val="Funote"/>
        <w:rPr/>
      </w:pPr>
      <w:r>
        <w:rPr>
          <w:rStyle w:val="Funotenzeichen"/>
        </w:rPr>
        <w:footnoteRef/>
      </w:r>
      <w:r>
        <w:rPr/>
        <w:tab/>
        <w:t>Wörtlich: »...an ihn sein wird«</w:t>
      </w:r>
    </w:p>
  </w:footnote>
  <w:footnote w:id="96">
    <w:p>
      <w:pPr>
        <w:pStyle w:val="Funote"/>
        <w:rPr/>
      </w:pPr>
      <w:r>
        <w:rPr>
          <w:rStyle w:val="Funotenzeichen"/>
        </w:rPr>
        <w:footnoteRef/>
      </w:r>
      <w:r>
        <w:rPr/>
        <w:tab/>
        <w:t>Aufgelöstes bestimmtes Ptz. akt. f. pl.</w:t>
      </w:r>
    </w:p>
  </w:footnote>
  <w:footnote w:id="97">
    <w:p>
      <w:pPr>
        <w:pStyle w:val="Funote"/>
        <w:rPr/>
      </w:pPr>
      <w:r>
        <w:rPr>
          <w:rStyle w:val="Funotenzeichen"/>
        </w:rPr>
        <w:footnoteRef/>
      </w:r>
      <w:r>
        <w:rPr/>
        <w:tab/>
        <w:t>S. Erklärung V. 9.</w:t>
      </w:r>
    </w:p>
  </w:footnote>
  <w:footnote w:id="98">
    <w:p>
      <w:pPr>
        <w:pStyle w:val="Funote"/>
        <w:rPr/>
      </w:pPr>
      <w:r>
        <w:rPr>
          <w:rStyle w:val="Funotenzeichen"/>
        </w:rPr>
        <w:footnoteRef/>
      </w:r>
      <w:r>
        <w:rPr/>
        <w:tab/>
        <w:t>[Status: Zuverlässig]</w:t>
      </w:r>
    </w:p>
  </w:footnote>
  <w:footnote w:id="99">
    <w:p>
      <w:pPr>
        <w:pStyle w:val="Funote"/>
        <w:rPr/>
      </w:pPr>
      <w:r>
        <w:rPr>
          <w:rStyle w:val="Funotenzeichen"/>
        </w:rPr>
        <w:footnoteRef/>
      </w:r>
      <w:r>
        <w:rPr/>
        <w:tab/>
        <w:t>Eigentlich Singular.</w:t>
      </w:r>
    </w:p>
  </w:footnote>
  <w:footnote w:id="100">
    <w:p>
      <w:pPr>
        <w:pStyle w:val="Funote"/>
        <w:rPr/>
      </w:pPr>
      <w:r>
        <w:rPr>
          <w:rStyle w:val="Funotenzeichen"/>
        </w:rPr>
        <w:footnoteRef/>
      </w:r>
      <w:r>
        <w:rPr/>
        <w:tab/>
        <w:t>Durch einen die Satzfolge unterbrechenden Teilsatz markierter, erklärender Einschub – daher die Übersetzung.</w:t>
      </w:r>
    </w:p>
  </w:footnote>
  <w:footnote w:id="101">
    <w:p>
      <w:pPr>
        <w:pStyle w:val="Funote"/>
        <w:rPr/>
      </w:pPr>
      <w:r>
        <w:rPr>
          <w:rStyle w:val="Funotenzeichen"/>
        </w:rPr>
        <w:footnoteRef/>
      </w:r>
      <w:r>
        <w:rPr/>
        <w:tab/>
        <w:t>Durch einen die Satzfolge unterbrechenden Teilsatz markierter, erklärender Einschub – daher die Übersetzung.</w:t>
      </w:r>
    </w:p>
  </w:footnote>
  <w:footnote w:id="102">
    <w:p>
      <w:pPr>
        <w:pStyle w:val="Funote"/>
        <w:rPr/>
      </w:pPr>
      <w:r>
        <w:rPr>
          <w:rStyle w:val="Funotenzeichen"/>
        </w:rPr>
        <w:footnoteRef/>
      </w:r>
      <w:r>
        <w:rPr/>
        <w:tab/>
        <w:t>Eigentlich Singular. Alternativ könnte man folgendermaßen übersetzen: „kam Simson mit seinem Vater ...“</w:t>
      </w:r>
    </w:p>
  </w:footnote>
  <w:footnote w:id="103">
    <w:p>
      <w:pPr>
        <w:pStyle w:val="Funote"/>
        <w:rPr/>
      </w:pPr>
      <w:r>
        <w:rPr>
          <w:rStyle w:val="Funotenzeichen"/>
        </w:rPr>
        <w:footnoteRef/>
      </w:r>
      <w:r>
        <w:rPr/>
        <w:tab/>
        <w:t>Wörtlich „Siehe“.</w:t>
      </w:r>
    </w:p>
  </w:footnote>
  <w:footnote w:id="104">
    <w:p>
      <w:pPr>
        <w:pStyle w:val="Funote"/>
        <w:rPr/>
      </w:pPr>
      <w:r>
        <w:rPr>
          <w:rStyle w:val="Funotenzeichen"/>
        </w:rPr>
        <w:footnoteRef/>
      </w:r>
      <w:r>
        <w:rPr/>
        <w:tab/>
        <w:t>Offenbar eine typisch hebräische Gattungsbezeichnung. Das erste Wort bezeichnet möglicherweise nicht nur junge Löwen.</w:t>
      </w:r>
    </w:p>
  </w:footnote>
  <w:footnote w:id="105">
    <w:p>
      <w:pPr>
        <w:pStyle w:val="Funote"/>
        <w:rPr/>
      </w:pPr>
      <w:r>
        <w:rPr>
          <w:rStyle w:val="Funotenzeichen"/>
        </w:rPr>
        <w:footnoteRef/>
      </w:r>
      <w:r>
        <w:rPr/>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106">
    <w:p>
      <w:pPr>
        <w:pStyle w:val="Funote"/>
        <w:rPr/>
      </w:pPr>
      <w:r>
        <w:rPr>
          <w:rStyle w:val="Funotenzeichen"/>
        </w:rPr>
        <w:footnoteRef/>
      </w:r>
      <w:r>
        <w:rPr/>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107">
    <w:p>
      <w:pPr>
        <w:pStyle w:val="Funote"/>
        <w:rPr/>
      </w:pPr>
      <w:r>
        <w:rPr>
          <w:rStyle w:val="Funotenzeichen"/>
        </w:rPr>
        <w:footnoteRef/>
      </w:r>
      <w:r>
        <w:rPr/>
        <w:tab/>
        <w:t>D.h. Simson den Löwen.</w:t>
      </w:r>
    </w:p>
  </w:footnote>
  <w:footnote w:id="108">
    <w:p>
      <w:pPr>
        <w:pStyle w:val="Funote"/>
        <w:rPr/>
      </w:pPr>
      <w:r>
        <w:rPr>
          <w:rStyle w:val="Funotenzeichen"/>
        </w:rPr>
        <w:footnoteRef/>
      </w:r>
      <w:r>
        <w:rPr/>
        <w:tab/>
        <w:t>Wörtlich: „wie zu zerreißen ein Böckchen“. Alternativ „wie [beim] Zerreißen eines Böckchens“ (LBBH).</w:t>
      </w:r>
    </w:p>
  </w:footnote>
  <w:footnote w:id="109">
    <w:p>
      <w:pPr>
        <w:pStyle w:val="Funote"/>
        <w:rPr/>
      </w:pPr>
      <w:r>
        <w:rPr>
          <w:rStyle w:val="Funotenzeichen"/>
        </w:rPr>
        <w:footnoteRef/>
      </w:r>
      <w:r>
        <w:rPr/>
        <w:tab/>
        <w:t>Durch einen die Satzfolge unterbrechenden Teilsatz markierter, erklärender Einschub – daher die Übersetzung.</w:t>
      </w:r>
    </w:p>
  </w:footnote>
  <w:footnote w:id="110">
    <w:p>
      <w:pPr>
        <w:pStyle w:val="Funote"/>
        <w:rPr/>
      </w:pPr>
      <w:r>
        <w:rPr>
          <w:rStyle w:val="Funotenzeichen"/>
        </w:rPr>
        <w:footnoteRef/>
      </w:r>
      <w:r>
        <w:rPr/>
        <w:tab/>
        <w:t>Wörtlich: „Und siehe“. Diese Wendung wird im Hebräischen häufig verwendet, um direkt Gesehenes oder Geschehendes einzuführen.</w:t>
      </w:r>
    </w:p>
  </w:footnote>
  <w:footnote w:id="111">
    <w:p>
      <w:pPr>
        <w:pStyle w:val="Funote"/>
        <w:rPr/>
      </w:pPr>
      <w:r>
        <w:rPr>
          <w:rStyle w:val="Funotenzeichen"/>
        </w:rPr>
        <w:footnoteRef/>
      </w:r>
      <w:r>
        <w:rPr/>
        <w:tab/>
        <w:t>Wörtlich: „Schwarm/Volk/Gruppe Bienen“</w:t>
      </w:r>
    </w:p>
  </w:footnote>
  <w:footnote w:id="112">
    <w:p>
      <w:pPr>
        <w:pStyle w:val="Funote"/>
        <w:rPr/>
      </w:pPr>
      <w:r>
        <w:rPr>
          <w:rStyle w:val="Funotenzeichen"/>
        </w:rPr>
        <w:footnoteRef/>
      </w:r>
      <w:r>
        <w:rPr/>
        <w:tab/>
        <w:t>Idiomatische Phrase. Wörtlich: „Er ging, gehen und essen (beide Inf. abs.)“. Dies drückt typischerweise aus, dass beide zur gleichen Zeit geschehen und kann wie die gewählte Übersetzung verstanden werden.</w:t>
      </w:r>
    </w:p>
  </w:footnote>
  <w:footnote w:id="113">
    <w:p>
      <w:pPr>
        <w:pStyle w:val="Funote"/>
        <w:rPr/>
      </w:pPr>
      <w:r>
        <w:rPr>
          <w:rStyle w:val="Funotenzeichen"/>
        </w:rPr>
        <w:footnoteRef/>
      </w:r>
      <w:r>
        <w:rPr/>
        <w:tab/>
        <w:t>Das berühren von Totem verletzte Simsons Gelübde als Nasiräer. S. Ri 13,5; Num 6,6; vgl. NET Ri 14,9 Fußnote 20. Offenbar sah die Familie den Honig als gutes Zeichen, vielleicht betrachtete ihn Simson als Aphrodisiakum (vgl. NET Ri 14,9 Fußnote 19).</w:t>
      </w:r>
    </w:p>
  </w:footnote>
  <w:footnote w:id="114">
    <w:p>
      <w:pPr>
        <w:pStyle w:val="Funote"/>
        <w:rPr/>
      </w:pPr>
      <w:r>
        <w:rPr>
          <w:rStyle w:val="Funotenzeichen"/>
        </w:rPr>
        <w:footnoteRef/>
      </w:r>
      <w:r>
        <w:rPr/>
        <w:tab/>
        <w:t>Duratives Imperfekt. Alternativ zur Verdeutlichung „zu machen pflegten“/ „immer so machten“, etc.</w:t>
      </w:r>
    </w:p>
  </w:footnote>
  <w:footnote w:id="115">
    <w:p>
      <w:pPr>
        <w:pStyle w:val="Funote"/>
        <w:rPr/>
      </w:pPr>
      <w:r>
        <w:rPr>
          <w:rStyle w:val="Funotenzeichen"/>
        </w:rPr>
        <w:footnoteRef/>
      </w:r>
      <w:r>
        <w:rPr/>
        <w:tab/>
        <w:t>Unpersönlicher Gebrauch (LBBH).</w:t>
      </w:r>
    </w:p>
  </w:footnote>
  <w:footnote w:id="116">
    <w:p>
      <w:pPr>
        <w:pStyle w:val="Funote"/>
        <w:rPr/>
      </w:pPr>
      <w:r>
        <w:rPr>
          <w:rStyle w:val="Funotenzeichen"/>
        </w:rPr>
        <w:footnoteRef/>
      </w:r>
      <w:r>
        <w:rPr/>
        <w:tab/>
        <w:t>Der Satz bezieht sich wohl auf die Philister. Der letzte Teilsatz kann sich theoretisch auch auf die erste Gruppe beziehen, semantisch sinnvoller ist allerdings die Gruppe der „Gefährten“.</w:t>
      </w:r>
    </w:p>
  </w:footnote>
  <w:footnote w:id="117">
    <w:p>
      <w:pPr>
        <w:pStyle w:val="Funote"/>
        <w:rPr/>
      </w:pPr>
      <w:r>
        <w:rPr>
          <w:rStyle w:val="Funotenzeichen"/>
        </w:rPr>
        <w:footnoteRef/>
      </w:r>
      <w:r>
        <w:rPr/>
        <w:tab/>
        <w:t>Kohortativ.</w:t>
      </w:r>
    </w:p>
  </w:footnote>
  <w:footnote w:id="118">
    <w:p>
      <w:pPr>
        <w:pStyle w:val="Funote"/>
        <w:rPr/>
      </w:pPr>
      <w:r>
        <w:rPr>
          <w:rStyle w:val="Funotenzeichen"/>
        </w:rPr>
        <w:footnoteRef/>
      </w:r>
      <w:r>
        <w:rPr/>
        <w:tab/>
        <w:t>Wörtlich »sie«, womit das Rätsel gemeint ist.</w:t>
      </w:r>
    </w:p>
  </w:footnote>
  <w:footnote w:id="119">
    <w:p>
      <w:pPr>
        <w:pStyle w:val="Funote"/>
        <w:rPr/>
      </w:pPr>
      <w:r>
        <w:rPr>
          <w:rStyle w:val="Funotenzeichen"/>
        </w:rPr>
        <w:footnoteRef/>
      </w:r>
      <w:r>
        <w:rPr/>
        <w:tab/>
        <w:t>Eingefügt, um die idiomatische Konstruktion mit Inf. Abs. + Ipf.</w:t>
      </w:r>
    </w:p>
  </w:footnote>
  <w:footnote w:id="120">
    <w:p>
      <w:pPr>
        <w:pStyle w:val="Funote"/>
        <w:rPr/>
      </w:pPr>
      <w:r>
        <w:rPr>
          <w:rStyle w:val="Funotenzeichen"/>
        </w:rPr>
        <w:footnoteRef/>
      </w:r>
      <w:r>
        <w:rPr/>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1">
    <w:p>
      <w:pPr>
        <w:pStyle w:val="Funote"/>
        <w:rPr/>
      </w:pPr>
      <w:r>
        <w:rPr>
          <w:rStyle w:val="Funotenzeichen"/>
        </w:rPr>
        <w:footnoteRef/>
      </w:r>
      <w:r>
        <w:rPr/>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rStyle w:val="Funotenzeichen"/>
        </w:rPr>
        <w:footnoteRef/>
      </w:r>
      <w:r>
        <w:rPr/>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rStyle w:val="Funotenzeichen"/>
        </w:rPr>
        <w:footnoteRef/>
      </w:r>
      <w:r>
        <w:rPr/>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4">
    <w:p>
      <w:pPr>
        <w:pStyle w:val="Funote"/>
        <w:rPr/>
      </w:pPr>
      <w:r>
        <w:rPr>
          <w:rStyle w:val="Funotenzeichen"/>
        </w:rPr>
        <w:footnoteRef/>
      </w:r>
      <w:r>
        <w:rPr/>
        <w:tab/>
        <w:t>Für Näheres über die Kleider s. V. 12.</w:t>
      </w:r>
    </w:p>
  </w:footnote>
  <w:footnote w:id="125">
    <w:p>
      <w:pPr>
        <w:pStyle w:val="Funote"/>
        <w:rPr/>
      </w:pPr>
      <w:r>
        <w:rPr>
          <w:rStyle w:val="Funotenzeichen"/>
        </w:rPr>
        <w:footnoteRef/>
      </w:r>
      <w:r>
        <w:rPr/>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6">
    <w:p>
      <w:pPr>
        <w:pStyle w:val="Funote"/>
        <w:rPr/>
      </w:pPr>
      <w:r>
        <w:rPr>
          <w:rStyle w:val="Funotenzeichen"/>
        </w:rPr>
        <w:footnoteRef/>
      </w:r>
      <w:r>
        <w:rPr/>
        <w:tab/>
        <w:t>Im MT steht hier „siebten“, in der LXX und anderen Manuskripten „vierten“. Das passt besser zum vorhergehenden Vers und in den Gesamtkontext.</w:t>
      </w:r>
    </w:p>
  </w:footnote>
  <w:footnote w:id="127">
    <w:p>
      <w:pPr>
        <w:pStyle w:val="Funote"/>
        <w:rPr/>
      </w:pPr>
      <w:r>
        <w:rPr>
          <w:rStyle w:val="Funotenzeichen"/>
        </w:rPr>
        <w:footnoteRef/>
      </w:r>
      <w:r>
        <w:rPr/>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8">
    <w:p>
      <w:pPr>
        <w:pStyle w:val="Funote"/>
        <w:rPr/>
      </w:pPr>
      <w:r>
        <w:rPr>
          <w:rStyle w:val="Funotenzeichen"/>
        </w:rPr>
        <w:footnoteRef/>
      </w:r>
      <w:r>
        <w:rPr/>
        <w:tab/>
        <w:t>Ipf.</w:t>
      </w:r>
    </w:p>
  </w:footnote>
  <w:footnote w:id="129">
    <w:p>
      <w:pPr>
        <w:pStyle w:val="Funote"/>
        <w:rPr/>
      </w:pPr>
      <w:r>
        <w:rPr>
          <w:rStyle w:val="Funotenzeichen"/>
        </w:rPr>
        <w:footnoteRef/>
      </w:r>
      <w:r>
        <w:rPr/>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130">
    <w:p>
      <w:pPr>
        <w:pStyle w:val="Funote"/>
        <w:rPr/>
      </w:pPr>
      <w:r>
        <w:rPr>
          <w:rStyle w:val="Funotenzeichen"/>
        </w:rPr>
        <w:footnoteRef/>
      </w:r>
      <w:r>
        <w:rPr/>
        <w:tab/>
        <w:t>Das kann so verstanden werden, dass sie sich auf ihn warf oder an seiner Schulter weinte.</w:t>
      </w:r>
    </w:p>
  </w:footnote>
  <w:footnote w:id="131">
    <w:p>
      <w:pPr>
        <w:pStyle w:val="Funote"/>
        <w:rPr/>
      </w:pPr>
      <w:r>
        <w:rPr>
          <w:rStyle w:val="Funotenzeichen"/>
        </w:rPr>
        <w:footnoteRef/>
      </w:r>
      <w:r>
        <w:rPr/>
        <w:tab/>
        <w:t>Das Wort kann auch weniger krass verstanden werden: »Du bist meiner überdrüssig« (LUT), »Du hast eine Abneigung gegen mich« (EU).</w:t>
      </w:r>
    </w:p>
  </w:footnote>
  <w:footnote w:id="132">
    <w:p>
      <w:pPr>
        <w:pStyle w:val="Funote"/>
        <w:rPr/>
      </w:pPr>
      <w:r>
        <w:rPr>
          <w:rStyle w:val="Funotenzeichen"/>
        </w:rPr>
        <w:footnoteRef/>
      </w:r>
      <w:r>
        <w:rPr/>
        <w:tab/>
        <w:t>Durch die etwas abgesetzte Fortsetzung wurde versucht, die (einen Gegensatz ausdrückende) Satzfolgeunterbrechung zu berücksichtigen.</w:t>
      </w:r>
    </w:p>
  </w:footnote>
  <w:footnote w:id="133">
    <w:p>
      <w:pPr>
        <w:pStyle w:val="Funote"/>
        <w:rPr/>
      </w:pPr>
      <w:r>
        <w:rPr>
          <w:rStyle w:val="Funotenzeichen"/>
        </w:rPr>
        <w:footnoteRef/>
      </w:r>
      <w:r>
        <w:rPr/>
        <w:tab/>
        <w:t>In Wirklichkeit bezieht sich das Verb direkt zurück auf das Rätsel.</w:t>
      </w:r>
    </w:p>
  </w:footnote>
  <w:footnote w:id="134">
    <w:p>
      <w:pPr>
        <w:pStyle w:val="Funote"/>
        <w:rPr/>
      </w:pPr>
      <w:r>
        <w:rPr>
          <w:rStyle w:val="Funotenzeichen"/>
        </w:rPr>
        <w:footnoteRef/>
      </w:r>
      <w:r>
        <w:rPr/>
        <w:tab/>
        <w:t>Idiomatische Wiedergabe von »Siehe«.</w:t>
      </w:r>
    </w:p>
  </w:footnote>
  <w:footnote w:id="135">
    <w:p>
      <w:pPr>
        <w:pStyle w:val="Funote"/>
        <w:rPr/>
      </w:pPr>
      <w:r>
        <w:rPr>
          <w:rStyle w:val="Funotenzeichen"/>
        </w:rPr>
        <w:footnoteRef/>
      </w:r>
      <w:r>
        <w:rPr/>
        <w:tab/>
        <w:t>Das kann so verstanden werden, dass sie sich auf ihn warf oder an seiner Schulter weinte.</w:t>
      </w:r>
    </w:p>
  </w:footnote>
  <w:footnote w:id="136">
    <w:p>
      <w:pPr>
        <w:pStyle w:val="Funote"/>
        <w:rPr/>
      </w:pPr>
      <w:r>
        <w:rPr>
          <w:rStyle w:val="Funotenzeichen"/>
        </w:rPr>
        <w:footnoteRef/>
      </w:r>
      <w:r>
        <w:rPr/>
        <w:tab/>
        <w:t>Wörtlich „[in] denen“ (bezogen auf die Tage).</w:t>
      </w:r>
    </w:p>
  </w:footnote>
  <w:footnote w:id="137">
    <w:p>
      <w:pPr>
        <w:pStyle w:val="Funote"/>
        <w:rPr/>
      </w:pPr>
      <w:r>
        <w:rPr>
          <w:rStyle w:val="Funotenzeichen"/>
        </w:rPr>
        <w:footnoteRef/>
      </w:r>
      <w:r>
        <w:rPr/>
        <w:tab/>
        <w:t>Wörtlich: „das Rätsel“.</w:t>
      </w:r>
    </w:p>
  </w:footnote>
  <w:footnote w:id="138">
    <w:p>
      <w:pPr>
        <w:pStyle w:val="Funote"/>
        <w:rPr/>
      </w:pPr>
      <w:r>
        <w:rPr>
          <w:rStyle w:val="Funotenzeichen"/>
        </w:rPr>
        <w:footnoteRef/>
      </w:r>
      <w:r>
        <w:rPr/>
        <w:tab/>
        <w:t>Eigentlich Imperfekt, das aber mit dem vorhergehenden Wort Vergangenheitsbedeutung hat.</w:t>
      </w:r>
    </w:p>
  </w:footnote>
  <w:footnote w:id="139">
    <w:p>
      <w:pPr>
        <w:pStyle w:val="Funote"/>
        <w:rPr/>
      </w:pPr>
      <w:r>
        <w:rPr>
          <w:rStyle w:val="Funotenzeichen"/>
        </w:rPr>
        <w:footnoteRef/>
      </w:r>
      <w:r>
        <w:rPr/>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rStyle w:val="Funotenzeichen"/>
        </w:rPr>
        <w:footnoteRef/>
      </w:r>
      <w:r>
        <w:rPr/>
        <w:tab/>
        <w:t>Der Begriff bezeichnet ein weibliches Kalb.</w:t>
      </w:r>
    </w:p>
  </w:footnote>
  <w:footnote w:id="141">
    <w:p>
      <w:pPr>
        <w:pStyle w:val="Funote"/>
        <w:rPr/>
      </w:pPr>
      <w:r>
        <w:rPr>
          <w:rStyle w:val="Funotenzeichen"/>
        </w:rPr>
        <w:footnoteRef/>
      </w:r>
      <w:r>
        <w:rPr/>
        <w:tab/>
        <w:t>Wörtlich: »das Rätsel«.</w:t>
      </w:r>
    </w:p>
  </w:footnote>
  <w:footnote w:id="142">
    <w:p>
      <w:pPr>
        <w:pStyle w:val="Funote"/>
        <w:rPr/>
      </w:pPr>
      <w:r>
        <w:rPr>
          <w:rStyle w:val="Funotenzeichen"/>
        </w:rPr>
        <w:footnoteRef/>
      </w:r>
      <w:r>
        <w:rPr/>
        <w:tab/>
        <w:t>Die irreale Form des Konditionalsatzes wird durch die Konjunktion vorgegeben (vgl. Davidson, Hebrew Syntax, §130).</w:t>
      </w:r>
    </w:p>
  </w:footnote>
  <w:footnote w:id="143">
    <w:p>
      <w:pPr>
        <w:pStyle w:val="Funote"/>
        <w:rPr/>
      </w:pPr>
      <w:r>
        <w:rPr>
          <w:rStyle w:val="Funotenzeichen"/>
        </w:rPr>
        <w:footnoteRef/>
      </w:r>
      <w:r>
        <w:rPr/>
        <w:tab/>
        <w:t>S. V. 6.</w:t>
      </w:r>
    </w:p>
  </w:footnote>
  <w:footnote w:id="144">
    <w:p>
      <w:pPr>
        <w:pStyle w:val="Funote"/>
        <w:rPr/>
      </w:pPr>
      <w:r>
        <w:rPr>
          <w:rStyle w:val="Funotenzeichen"/>
        </w:rPr>
        <w:footnoteRef/>
      </w:r>
      <w:r>
        <w:rPr/>
        <w:tab/>
        <w:t>Bezieht sich auf die Stadtbewohner.</w:t>
      </w:r>
    </w:p>
  </w:footnote>
  <w:footnote w:id="145">
    <w:p>
      <w:pPr>
        <w:pStyle w:val="Funote"/>
        <w:rPr/>
      </w:pPr>
      <w:r>
        <w:rPr>
          <w:rStyle w:val="Funotenzeichen"/>
        </w:rPr>
        <w:footnoteRef/>
      </w:r>
      <w:r>
        <w:rPr/>
        <w:tab/>
        <w:t>Hier steht im Hebräischen tatsächlich ein kollektiver Singular.</w:t>
      </w:r>
    </w:p>
  </w:footnote>
  <w:footnote w:id="146">
    <w:p>
      <w:pPr>
        <w:pStyle w:val="Funote"/>
        <w:rPr/>
      </w:pPr>
      <w:r>
        <w:rPr>
          <w:rStyle w:val="Funotenzeichen"/>
        </w:rPr>
        <w:footnoteRef/>
      </w:r>
      <w:r>
        <w:rPr/>
        <w:tab/>
        <w:t xml:space="preserve">Hier im Plural. Gemeint sind die Gegenstände, die ein getöteter Feind bei sich trägt – also etwa seine „Habseligkeiten“(DBL Hebrew, 2723 </w:t>
      </w:r>
      <w:r>
        <w:rPr>
          <w:rtl w:val="true"/>
          <w:lang w:bidi="he-IL"/>
        </w:rPr>
        <w:t>חֲלִיצָה</w:t>
      </w:r>
      <w:r>
        <w:rPr/>
        <w:t>). Viele verstehen das in diesem Kontext als die „Kleider“, die Simson den Siegern im Rätselwettbewerb geben schuldete.</w:t>
      </w:r>
    </w:p>
  </w:footnote>
  <w:footnote w:id="147">
    <w:p>
      <w:pPr>
        <w:pStyle w:val="Funote"/>
        <w:rPr/>
      </w:pPr>
      <w:r>
        <w:rPr>
          <w:rStyle w:val="Funotenzeichen"/>
        </w:rPr>
        <w:footnoteRef/>
      </w:r>
      <w:r>
        <w:rPr/>
        <w:tab/>
        <w:t>Oder „Kleidungssätze“, wörtlich „Ersatze“. Details s. Fußnote V. 12.</w:t>
      </w:r>
    </w:p>
  </w:footnote>
  <w:footnote w:id="148">
    <w:p>
      <w:pPr>
        <w:pStyle w:val="Funote"/>
        <w:rPr/>
      </w:pPr>
      <w:r>
        <w:rPr>
          <w:rStyle w:val="Funotenzeichen"/>
        </w:rPr>
        <w:footnoteRef/>
      </w:r>
      <w:r>
        <w:rPr/>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49">
    <w:p>
      <w:pPr>
        <w:pStyle w:val="Funote"/>
        <w:rPr/>
      </w:pPr>
      <w:r>
        <w:rPr>
          <w:rStyle w:val="Funotenzeichen"/>
        </w:rPr>
        <w:footnoteRef/>
      </w:r>
      <w:r>
        <w:rPr/>
        <w:tab/>
        <w:t>Auflösung eines substantivierten Partizips.</w:t>
      </w:r>
    </w:p>
  </w:footnote>
  <w:footnote w:id="150">
    <w:p>
      <w:pPr>
        <w:pStyle w:val="Funote"/>
        <w:rPr/>
      </w:pPr>
      <w:r>
        <w:rPr>
          <w:rStyle w:val="Funotenzeichen"/>
        </w:rPr>
        <w:footnoteRef/>
      </w:r>
      <w:r>
        <w:rPr/>
        <w:tab/>
        <w:t>Idiom für „Er war zornig“.</w:t>
      </w:r>
    </w:p>
  </w:footnote>
  <w:footnote w:id="151">
    <w:p>
      <w:pPr>
        <w:pStyle w:val="Funote"/>
        <w:rPr/>
      </w:pPr>
      <w:r>
        <w:rPr>
          <w:rStyle w:val="Funotenzeichen"/>
        </w:rPr>
        <w:footnoteRef/>
      </w:r>
      <w:r>
        <w:rPr/>
        <w:tab/>
        <w:t>[Status: Zuverlässig]</w:t>
      </w:r>
    </w:p>
  </w:footnote>
  <w:footnote w:id="152">
    <w:p>
      <w:pPr>
        <w:pStyle w:val="Funote"/>
        <w:rPr/>
      </w:pPr>
      <w:r>
        <w:rPr>
          <w:rStyle w:val="Funotenzeichen"/>
        </w:rPr>
        <w:footnoteRef/>
      </w:r>
      <w:r>
        <w:rPr/>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153">
    <w:p>
      <w:pPr>
        <w:pStyle w:val="Funote"/>
        <w:rPr/>
      </w:pPr>
      <w:r>
        <w:rPr>
          <w:rStyle w:val="Funotenzeichen"/>
        </w:rPr>
        <w:footnoteRef/>
      </w:r>
      <w:r>
        <w:rPr/>
        <w:tab/>
        <w:t>im Land - d.h. in Israel. Übersetze daher vielleicht besser: „...herrschte ein Hungersnot in Israel“ (de Waard/Nida 1992, S. 6).</w:t>
      </w:r>
    </w:p>
  </w:footnote>
  <w:footnote w:id="154">
    <w:p>
      <w:pPr>
        <w:pStyle w:val="Funote"/>
        <w:rPr/>
      </w:pPr>
      <w:r>
        <w:rPr>
          <w:rStyle w:val="Funotenzeichen"/>
        </w:rPr>
        <w:footnoteRef/>
      </w:r>
      <w:r>
        <w:rPr/>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155">
    <w:p>
      <w:pPr>
        <w:pStyle w:val="Funote"/>
        <w:rPr/>
      </w:pPr>
      <w:r>
        <w:rPr>
          <w:rStyle w:val="Funotenzeichen"/>
        </w:rPr>
        <w:footnoteRef/>
      </w:r>
      <w:r>
        <w:rPr/>
        <w:tab/>
        <w:t>verließ ein Mann Betlehem in Juda (machte sich ein aus Betlehem in Juda [stammender] Mann auf)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56">
    <w:p>
      <w:pPr>
        <w:pStyle w:val="Funote"/>
        <w:rPr/>
      </w:pPr>
      <w:r>
        <w:rPr>
          <w:rStyle w:val="Funotenzeichen"/>
        </w:rPr>
        <w:footnoteRef/>
      </w:r>
      <w:r>
        <w:rPr/>
        <w:tab/>
        <w:t>in {dem Gebiet von} (bei den Feldern von) (Vv. 1.6) + aus {dem Gebiet von}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57">
    <w:p>
      <w:pPr>
        <w:pStyle w:val="Funote"/>
        <w:rPr/>
      </w:pPr>
      <w:r>
        <w:rPr>
          <w:rStyle w:val="Funotenzeichen"/>
        </w:rPr>
        <w:footnoteRef/>
      </w:r>
      <w:r>
        <w:rPr/>
        <w:tab/>
        <w:t>Moab - östlicher Nachbarstaat Israels (für näheres s. Moab / Moabiter (WiBiLex)). Wegen verschiedener kriegerischer Konflikte ist Moab im AT meist negativ belegt; auch im Richterbuch (s. Ri 3,12-30).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zehn Jahren verursachen.Hinter der der Entscheidung des Erzählers für Moab stehen daher sicher andere Gründe; s. das Ende der Anmerkungen.</w:t>
      </w:r>
    </w:p>
  </w:footnote>
  <w:footnote w:id="158">
    <w:p>
      <w:pPr>
        <w:pStyle w:val="Funote"/>
        <w:rPr/>
      </w:pPr>
      <w:r>
        <w:rPr>
          <w:rStyle w:val="Funotenzeichen"/>
        </w:rPr>
        <w:footnoteRef/>
      </w:r>
      <w:r>
        <w:rPr/>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159">
    <w:p>
      <w:pPr>
        <w:pStyle w:val="Funote"/>
        <w:rPr/>
      </w:pPr>
      <w:r>
        <w:rPr>
          <w:rStyle w:val="Funotenzeichen"/>
        </w:rPr>
        <w:footnoteRef/>
      </w:r>
      <w:r>
        <w:rPr/>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0">
    <w:p>
      <w:pPr>
        <w:pStyle w:val="Funote"/>
        <w:rPr/>
      </w:pPr>
      <w:r>
        <w:rPr>
          <w:rStyle w:val="Funotenzeichen"/>
        </w:rPr>
        <w:footnoteRef/>
      </w:r>
      <w:r>
        <w:rPr/>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161">
    <w:p>
      <w:pPr>
        <w:pStyle w:val="Funote"/>
        <w:rPr/>
      </w:pPr>
      <w:r>
        <w:rPr>
          <w:rStyle w:val="Funotenzeichen"/>
        </w:rPr>
        <w:footnoteRef/>
      </w:r>
      <w:r>
        <w:rPr/>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fast stets als sprechender Name gedeutet wird,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162">
    <w:p>
      <w:pPr>
        <w:pStyle w:val="Funote"/>
        <w:rPr/>
      </w:pPr>
      <w:r>
        <w:rPr>
          <w:rStyle w:val="Funotenzeichen"/>
        </w:rPr>
        <w:footnoteRef/>
      </w:r>
      <w:r>
        <w:rPr/>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3">
    <w:p>
      <w:pPr>
        <w:pStyle w:val="Funote"/>
        <w:rPr/>
      </w:pPr>
      <w:r>
        <w:rPr>
          <w:rStyle w:val="Funotenzeichen"/>
        </w:rPr>
        <w:footnoteRef/>
      </w:r>
      <w:r>
        <w:rPr/>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4">
    <w:p>
      <w:pPr>
        <w:pStyle w:val="Funote"/>
        <w:rPr/>
      </w:pPr>
      <w:r>
        <w:rPr>
          <w:rStyle w:val="Funotenzeichen"/>
        </w:rPr>
        <w:footnoteRef/>
      </w:r>
      <w:r>
        <w:rPr/>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165">
    <w:p>
      <w:pPr>
        <w:pStyle w:val="Funote"/>
        <w:rPr/>
      </w:pPr>
      <w:r>
        <w:rPr>
          <w:rStyle w:val="Funotenzeichen"/>
        </w:rPr>
        <w:footnoteRef/>
      </w:r>
      <w:r>
        <w:rPr/>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166">
    <w:p>
      <w:pPr>
        <w:pStyle w:val="Funote"/>
        <w:rPr/>
      </w:pPr>
      <w:r>
        <w:rPr>
          <w:rStyle w:val="Funotenzeichen"/>
        </w:rPr>
        <w:footnoteRef/>
      </w:r>
      <w:r>
        <w:rPr/>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167">
    <w:p>
      <w:pPr>
        <w:pStyle w:val="Funote"/>
        <w:rPr/>
      </w:pPr>
      <w:r>
        <w:rPr>
          <w:rStyle w:val="Funotenzeichen"/>
        </w:rPr>
        <w:footnoteRef/>
      </w:r>
      <w:r>
        <w:rPr/>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168">
    <w:p>
      <w:pPr>
        <w:pStyle w:val="Funote"/>
        <w:rPr/>
      </w:pPr>
      <w:r>
        <w:rPr>
          <w:rStyle w:val="Funotenzeichen"/>
        </w:rPr>
        <w:footnoteRef/>
      </w:r>
      <w:r>
        <w:rPr/>
        <w:tab/>
        <w:t>sie und ihre Schwiegertöchter - die selbe Konstruktion wie in FN h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Noomi + Rut und Orpa; beinahe wie ein „Neue Runde, neues Glück!“: Ihre ersten drei Begleiter hat Noomi verloren - was wird mit den beiden neuen Begleiterinnen geschehen?</w:t>
      </w:r>
    </w:p>
  </w:footnote>
  <w:footnote w:id="169">
    <w:p>
      <w:pPr>
        <w:pStyle w:val="Funote"/>
        <w:rPr/>
      </w:pPr>
      <w:r>
        <w:rPr>
          <w:rStyle w:val="Funotenzeichen"/>
        </w:rPr>
        <w:footnoteRef/>
      </w:r>
      <w:r>
        <w:rPr/>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170">
    <w:p>
      <w:pPr>
        <w:pStyle w:val="Funote"/>
        <w:rPr/>
      </w:pPr>
      <w:r>
        <w:rPr>
          <w:rStyle w:val="Funotenzeichen"/>
        </w:rPr>
        <w:footnoteRef/>
      </w:r>
      <w:r>
        <w:rPr/>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171">
    <w:p>
      <w:pPr>
        <w:pStyle w:val="Funote"/>
        <w:rPr/>
      </w:pPr>
      <w:r>
        <w:rPr>
          <w:rStyle w:val="Funotenzeichen"/>
        </w:rPr>
        <w:footnoteRef/>
      </w:r>
      <w:r>
        <w:rPr/>
        <w:tab/>
        <w:t>ihm Brot - Klangspiel: lahem lachem. „Brot“ steht im Heb. fast stets pars pro toto für Nahrung im Allgemeinen (vgl. z.B. de Waard/Nida 1992, S. 9; Zakovitch 1999, S. 83); übersetze daher besser „Nahrung“.</w:t>
      </w:r>
    </w:p>
  </w:footnote>
  <w:footnote w:id="172">
    <w:p>
      <w:pPr>
        <w:pStyle w:val="Funote"/>
        <w:rPr/>
      </w:pPr>
      <w:r>
        <w:rPr>
          <w:rStyle w:val="Funotenzeichen"/>
        </w:rPr>
        <w:footnoteRef/>
      </w:r>
      <w:r>
        <w:rPr/>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173">
    <w:p>
      <w:pPr>
        <w:pStyle w:val="Funote"/>
        <w:rPr/>
      </w:pPr>
      <w:r>
        <w:rPr>
          <w:rStyle w:val="Funotenzeichen"/>
        </w:rPr>
        <w:footnoteRef/>
      </w:r>
      <w:r>
        <w:rPr/>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174">
    <w:p>
      <w:pPr>
        <w:pStyle w:val="Funote"/>
        <w:rPr/>
      </w:pPr>
      <w:r>
        <w:rPr>
          <w:rStyle w:val="Funotenzeichen"/>
        </w:rPr>
        <w:footnoteRef/>
      </w:r>
      <w:r>
        <w:rPr/>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75">
    <w:p>
      <w:pPr>
        <w:pStyle w:val="Funote"/>
        <w:rPr/>
      </w:pPr>
      <w:r>
        <w:rPr>
          <w:rStyle w:val="Funotenzeichen"/>
        </w:rPr>
        <w:footnoteRef/>
      </w:r>
      <w:r>
        <w:rPr/>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176">
    <w:p>
      <w:pPr>
        <w:pStyle w:val="Funote"/>
        <w:rPr/>
      </w:pPr>
      <w:r>
        <w:rPr>
          <w:rStyle w:val="Funotenzeichen"/>
        </w:rPr>
        <w:footnoteRef/>
      </w:r>
      <w:r>
        <w:rPr/>
        <w:tab/>
        <w:t>Wahrscheinlich durfte Noomi ihre Schwiegertöchter rechtlich gesehen gar nicht zurückschicken; s. die Anmerkungen.</w:t>
      </w:r>
    </w:p>
  </w:footnote>
  <w:footnote w:id="177">
    <w:p>
      <w:pPr>
        <w:pStyle w:val="Funote"/>
        <w:rPr/>
      </w:pPr>
      <w:r>
        <w:rPr>
          <w:rStyle w:val="Funotenzeichen"/>
        </w:rPr>
        <w:footnoteRef/>
      </w:r>
      <w:r>
        <w:rPr/>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178">
    <w:p>
      <w:pPr>
        <w:pStyle w:val="Funote"/>
        <w:rPr/>
      </w:pPr>
      <w:r>
        <w:rPr>
          <w:rStyle w:val="Funotenzeichen"/>
        </w:rPr>
        <w:footnoteRef/>
      </w:r>
      <w:r>
        <w:rPr/>
        <w:tab/>
        <w:t>Ruhe - schönes Wort: Heb. mänuchah ist (1) »Ruhe, Erholung«, (2) der Ort, wo man sich zur Erhohlung niederlassen kann, wo »Wohlsein« ist, und dann (3) allgemein die »Heimstatt«. Hier drückt es also gleichzeitig etwa das selbe wie das folgende im Haus ihres Mannes aus (»Jede von euch soll eine Heimstatt im Haus ihres Mannes finden«) als auch einen Gegensatz zur aktuellen leidvollen Situation des verwitwet-Seins und wandern-Müssens: Noomi segnet ihre Schwiegertöchter mit dem Wunsch eines angenehmen Ehelebens.</w:t>
      </w:r>
    </w:p>
  </w:footnote>
  <w:footnote w:id="179">
    <w:p>
      <w:pPr>
        <w:pStyle w:val="Funote"/>
        <w:rPr/>
      </w:pPr>
      <w:r>
        <w:rPr>
          <w:rStyle w:val="Funotenzeichen"/>
        </w:rPr>
        <w:footnoteRef/>
      </w:r>
      <w:r>
        <w:rPr/>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180">
    <w:p>
      <w:pPr>
        <w:pStyle w:val="Funote"/>
        <w:rPr/>
      </w:pPr>
      <w:r>
        <w:rPr>
          <w:rStyle w:val="Funotenzeichen"/>
        </w:rPr>
        <w:footnoteRef/>
      </w:r>
      <w:r>
        <w:rPr/>
        <w:tab/>
        <w:t>Haus ihres Mannes - Klangspiel: ´ischah beth ´ischah. Gemeint ist auch hier nicht das Gebäude, sondern die neue Familie, in die die beiden eingegliedert werden sollen (s. FN x).</w:t>
      </w:r>
    </w:p>
  </w:footnote>
  <w:footnote w:id="181">
    <w:p>
      <w:pPr>
        <w:pStyle w:val="Funote"/>
        <w:rPr/>
      </w:pPr>
      <w:r>
        <w:rPr>
          <w:rStyle w:val="Funotenzeichen"/>
        </w:rPr>
        <w:footnoteRef/>
      </w:r>
      <w:r>
        <w:rPr/>
        <w:tab/>
        <w:t>Da erhoben sie ihre Stimmen, weinten - =„Da begannen sie zu weinen“.</w:t>
      </w:r>
    </w:p>
  </w:footnote>
  <w:footnote w:id="182">
    <w:p>
      <w:pPr>
        <w:pStyle w:val="Funote"/>
        <w:rPr/>
      </w:pPr>
      <w:r>
        <w:rPr>
          <w:rStyle w:val="Funotenzeichen"/>
        </w:rPr>
        <w:footnoteRef/>
      </w:r>
      <w:r>
        <w:rPr/>
        <w:tab/>
        <w:t>tFN: Nein! ({Nein!})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183">
    <w:p>
      <w:pPr>
        <w:pStyle w:val="Funote"/>
        <w:rPr/>
      </w:pPr>
      <w:r>
        <w:rPr>
          <w:rStyle w:val="Funotenzeichen"/>
        </w:rPr>
        <w:footnoteRef/>
      </w:r>
      <w:r>
        <w:rPr/>
        <w:tab/>
        <w:t>[die Frau] eines Mannes - W. »um einem Mann zu sein«; Idiom für die Ehe.</w:t>
      </w:r>
    </w:p>
  </w:footnote>
  <w:footnote w:id="184">
    <w:p>
      <w:pPr>
        <w:pStyle w:val="Funote"/>
        <w:rPr/>
      </w:pPr>
      <w:r>
        <w:rPr>
          <w:rStyle w:val="Funotenzeichen"/>
        </w:rPr>
        <w:footnoteRef/>
      </w:r>
      <w:r>
        <w:rPr/>
        <w:tab/>
        <w:t>tFN: ja + ja...sogar - potenzierendes gam (vgl. schon Jacob 1912, S. 279; Labuschagne 1966).</w:t>
      </w:r>
    </w:p>
  </w:footnote>
  <w:footnote w:id="185">
    <w:p>
      <w:pPr>
        <w:pStyle w:val="Funote"/>
        <w:rPr/>
      </w:pPr>
      <w:r>
        <w:rPr>
          <w:rStyle w:val="Funotenzeichen"/>
        </w:rPr>
        <w:footnoteRef/>
      </w:r>
      <w:r>
        <w:rPr/>
        <w:tab/>
        <w:t>[selbst, wenn] - Brachylogie aus dem letzten Satz.</w:t>
      </w:r>
    </w:p>
  </w:footnote>
  <w:footnote w:id="186">
    <w:p>
      <w:pPr>
        <w:pStyle w:val="Funote"/>
        <w:rPr/>
      </w:pPr>
      <w:r>
        <w:rPr>
          <w:rStyle w:val="Funotenzeichen"/>
        </w:rPr>
        <w:footnoteRef/>
      </w:r>
      <w:r>
        <w:rPr/>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187">
    <w:p>
      <w:pPr>
        <w:pStyle w:val="Funote"/>
        <w:rPr/>
      </w:pPr>
      <w:r>
        <w:rPr>
          <w:rStyle w:val="Funotenzeichen"/>
        </w:rPr>
        <w:footnoteRef/>
      </w:r>
      <w:r>
        <w:rPr/>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188">
    <w:p>
      <w:pPr>
        <w:pStyle w:val="Funote"/>
        <w:rPr/>
      </w:pPr>
      <w:r>
        <w:rPr>
          <w:rStyle w:val="Funotenzeichen"/>
        </w:rPr>
        <w:footnoteRef/>
      </w:r>
      <w:r>
        <w:rPr/>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189">
    <w:p>
      <w:pPr>
        <w:pStyle w:val="Funote"/>
        <w:rPr/>
      </w:pPr>
      <w:r>
        <w:rPr>
          <w:rStyle w:val="Funotenzeichen"/>
        </w:rPr>
        <w:footnoteRef/>
      </w:r>
      <w:r>
        <w:rPr/>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190">
    <w:p>
      <w:pPr>
        <w:pStyle w:val="Funote"/>
        <w:rPr/>
      </w:pPr>
      <w:r>
        <w:rPr>
          <w:rStyle w:val="Funotenzeichen"/>
        </w:rPr>
        <w:footnoteRef/>
      </w:r>
      <w:r>
        <w:rPr/>
        <w:tab/>
        <w:t>dass die Hand JHWHs gegen mich ging - Zum Ausdruck s. ähnlich Ex 9,3; Dtn 2,15; Ri 2,15; 1Sam 5,6.9; 7,13; 12,15; (Jes 19,16; 25,10); der Sinn ist dann wohl etwa: »dass mich JHWH gestraft hat« (vgl. bes. Huntley 2013, S. 9-11).</w:t>
      </w:r>
    </w:p>
  </w:footnote>
  <w:footnote w:id="191">
    <w:p>
      <w:pPr>
        <w:pStyle w:val="Funote"/>
        <w:rPr/>
      </w:pPr>
      <w:r>
        <w:rPr>
          <w:rStyle w:val="Funotenzeichen"/>
        </w:rPr>
        <w:footnoteRef/>
      </w:r>
      <w:r>
        <w:rPr/>
        <w:tab/>
        <w:t>Und noch einmal erhoben sie ihre Stimme und weinten - =»Und noch einmal begannen sie, zu weinen«.</w:t>
      </w:r>
    </w:p>
  </w:footnote>
  <w:footnote w:id="192">
    <w:p>
      <w:pPr>
        <w:pStyle w:val="Funote"/>
        <w:rPr/>
      </w:pPr>
      <w:r>
        <w:rPr>
          <w:rStyle w:val="Funotenzeichen"/>
        </w:rPr>
        <w:footnoteRef/>
      </w:r>
      <w:r>
        <w:rPr/>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3">
    <w:p>
      <w:pPr>
        <w:pStyle w:val="Funote"/>
        <w:rPr/>
      </w:pPr>
      <w:r>
        <w:rPr>
          <w:rStyle w:val="Funotenzeichen"/>
        </w:rPr>
        <w:footnoteRef/>
      </w:r>
      <w:r>
        <w:rPr/>
        <w:tab/>
        <w:t>tFN: {Siehe} + [also] - W. »Siehe«, doch das heb. hinneh signalisiert nur, dass die folgende Aussage direkt relevant ist für die aktuelle Situation oder eine folgende Äußerung. Treffender daher eine Übersetzung mit »also« o.Ä.</w:t>
      </w:r>
    </w:p>
  </w:footnote>
  <w:footnote w:id="194">
    <w:p>
      <w:pPr>
        <w:pStyle w:val="Funote"/>
        <w:rPr/>
      </w:pPr>
      <w:r>
        <w:rPr>
          <w:rStyle w:val="Funotenzeichen"/>
        </w:rPr>
        <w:footnoteRef/>
      </w:r>
      <w:r>
        <w:rPr/>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195">
    <w:p>
      <w:pPr>
        <w:pStyle w:val="Funote"/>
        <w:rPr/>
      </w:pPr>
      <w:r>
        <w:rPr>
          <w:rStyle w:val="Funotenzeichen"/>
        </w:rPr>
        <w:footnoteRef/>
      </w:r>
      <w:r>
        <w:rPr/>
        <w:tab/>
        <w:t>vom mit-dir-[Sein] - die selbe Präposition wie in V. 15. Noomi fordert Rut auf zum »mit-Orpa-Sein« und zum Zurückkehren zu deren Volk und deren Gott. Rut stellt dem das »mit-Noomi-Sein« entgegen und entscheidet sich ineins damit auch für deren Volk und Gott.</w:t>
      </w:r>
    </w:p>
  </w:footnote>
  <w:footnote w:id="196">
    <w:p>
      <w:pPr>
        <w:pStyle w:val="Funote"/>
        <w:rPr/>
      </w:pPr>
      <w:r>
        <w:rPr>
          <w:rStyle w:val="Funotenzeichen"/>
        </w:rPr>
        <w:footnoteRef/>
      </w:r>
      <w:r>
        <w:rPr/>
        <w:tab/>
        <w:t>[einzig] - Fokuspartikel wie »nur«, »selbst« etc. werden im Heb. häufig nicht gesetzt, wo das Dt. sie setzen würde; im Dt. muss man sie sich daher dazudenken (ad loc. vgl. z.B. Ehrlich 1914, S. 22).</w:t>
      </w:r>
    </w:p>
  </w:footnote>
  <w:footnote w:id="197">
    <w:p>
      <w:pPr>
        <w:pStyle w:val="Funote"/>
        <w:rPr/>
      </w:pPr>
      <w:r>
        <w:rPr>
          <w:rStyle w:val="Funotenzeichen"/>
        </w:rPr>
        <w:footnoteRef/>
      </w:r>
      <w:r>
        <w:rPr/>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198">
    <w:p>
      <w:pPr>
        <w:pStyle w:val="Funote"/>
        <w:rPr/>
      </w:pPr>
      <w:r>
        <w:rPr>
          <w:rStyle w:val="Funotenzeichen"/>
        </w:rPr>
        <w:footnoteRef/>
      </w:r>
      <w:r>
        <w:rPr/>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199">
    <w:p>
      <w:pPr>
        <w:pStyle w:val="Funote"/>
        <w:rPr/>
      </w:pPr>
      <w:r>
        <w:rPr>
          <w:rStyle w:val="Funotenzeichen"/>
        </w:rPr>
        <w:footnoteRef/>
      </w:r>
      <w:r>
        <w:rPr/>
        <w:tab/>
        <w:t>die beiden [gemeinsam] - Das Dual-pronomen ist auch hier wieder bewusst gewählt (s. Anmerkungen). Im Dt. sollte man das besser durch die Einfügung eines »gemeinsam« o.Ä. ausdrücklich machen.</w:t>
      </w:r>
    </w:p>
  </w:footnote>
  <w:footnote w:id="200">
    <w:p>
      <w:pPr>
        <w:pStyle w:val="Funote"/>
        <w:rPr/>
      </w:pPr>
      <w:r>
        <w:rPr>
          <w:rStyle w:val="Funotenzeichen"/>
        </w:rPr>
        <w:footnoteRef/>
      </w:r>
      <w:r>
        <w:rPr/>
        <w:tab/>
        <w:t>sie - ungewöhnlicherweise Femininum; nur die Frauen Betlehems scheinen hier gemeint zu sein.</w:t>
      </w:r>
    </w:p>
  </w:footnote>
  <w:footnote w:id="201">
    <w:p>
      <w:pPr>
        <w:pStyle w:val="Funote"/>
        <w:rPr/>
      </w:pPr>
      <w:r>
        <w:rPr>
          <w:rStyle w:val="Funotenzeichen"/>
        </w:rPr>
        <w:footnoteRef/>
      </w:r>
      <w:r>
        <w:rPr/>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202">
    <w:p>
      <w:pPr>
        <w:pStyle w:val="Funote"/>
        <w:rPr/>
      </w:pPr>
      <w:r>
        <w:rPr>
          <w:rStyle w:val="Funotenzeichen"/>
        </w:rPr>
        <w:footnoteRef/>
      </w:r>
      <w:r>
        <w:rPr/>
        <w:tab/>
        <w:t>Schaddai - Eine alte Bezeichnung für Gott; bes. häufig wird sie verwendet, wenn JHWH als strafender Gott dargestellt werden soll - fast 2/3 der Belegstellen finden sich daher im Buch Ijob. Die wörtliche Bedeutung ist unsicher; recht hoch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21)JHWH wird durch diese Struktur und durch die Gleichschaltung mit der Bezeichnung »Schaddai« als strafender Gott vorgestellt.</w:t>
      </w:r>
    </w:p>
  </w:footnote>
  <w:footnote w:id="203">
    <w:p>
      <w:pPr>
        <w:pStyle w:val="Funote"/>
        <w:rPr/>
      </w:pPr>
      <w:r>
        <w:rPr>
          <w:rStyle w:val="Funotenzeichen"/>
        </w:rPr>
        <w:footnoteRef/>
      </w:r>
      <w:r>
        <w:rPr/>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204">
    <w:p>
      <w:pPr>
        <w:pStyle w:val="Funote"/>
        <w:rPr/>
      </w:pPr>
      <w:r>
        <w:rPr>
          <w:rStyle w:val="Funotenzeichen"/>
        </w:rPr>
        <w:footnoteRef/>
      </w:r>
      <w:r>
        <w:rPr/>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205">
    <w:p>
      <w:pPr>
        <w:pStyle w:val="Funote"/>
        <w:rPr/>
      </w:pPr>
      <w:r>
        <w:rPr>
          <w:rStyle w:val="Funotenzeichen"/>
        </w:rPr>
        <w:footnoteRef/>
      </w:r>
      <w:r>
        <w:rPr/>
        <w:tab/>
        <w:t>tFN: So also - W. »Und sie kehrte zurück«; einer der seltenen Fälle, in denen die Verbform Wayyiqtol als zusammenfassender Abschluss einer Erzählung verwendet wird (»summierendes Wayyiqtol«; vgl. JM §117i).</w:t>
      </w:r>
    </w:p>
  </w:footnote>
  <w:footnote w:id="206">
    <w:p>
      <w:pPr>
        <w:pStyle w:val="Funote"/>
        <w:rPr/>
      </w:pPr>
      <w:r>
        <w:rPr>
          <w:rStyle w:val="Funotenzeichen"/>
        </w:rPr>
        <w:footnoteRef/>
      </w:r>
      <w:r>
        <w:rPr/>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207">
    <w:p>
      <w:pPr>
        <w:pStyle w:val="Funote"/>
        <w:rPr/>
      </w:pPr>
      <w:r>
        <w:rPr>
          <w:rStyle w:val="Funotenzeichen"/>
        </w:rPr>
        <w:footnoteRef/>
      </w:r>
      <w:r>
        <w:rPr/>
        <w:tab/>
        <w:t>[„Mischna“: eine alte Sammlung jüdischer Rechtstexte]</w:t>
      </w:r>
    </w:p>
  </w:footnote>
  <w:footnote w:id="208">
    <w:p>
      <w:pPr>
        <w:pStyle w:val="Funote"/>
        <w:rPr/>
      </w:pPr>
      <w:r>
        <w:rPr>
          <w:rStyle w:val="Funotenzeichen"/>
        </w:rPr>
        <w:footnoteRef/>
      </w:r>
      <w:r>
        <w:rPr/>
        <w:tab/>
        <w:t xml:space="preserve">[Indirekt wichtig für das Verständnis von Rut 2 ist außerdem ein weiteres Armenrecht: das </w:t>
      </w:r>
      <w:r>
        <w:rPr>
          <w:b/>
        </w:rPr>
        <w:t>Schikchah-Recht</w:t>
      </w:r>
      <w:r>
        <w:rPr/>
        <w: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 („Toseftot“: Alte jüdische Sammlungen mündlicher Überlieferungen zur Ergänzung der Mischna)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w:t>
      </w:r>
    </w:p>
  </w:footnote>
  <w:footnote w:id="209">
    <w:p>
      <w:pPr>
        <w:pStyle w:val="Funote"/>
        <w:rPr/>
      </w:pPr>
      <w:r>
        <w:rPr>
          <w:rStyle w:val="Funotenzeichen"/>
        </w:rPr>
        <w:footnoteRef/>
      </w:r>
      <w:r>
        <w:rPr/>
        <w:tab/>
        <w:t>[Status: Zuverlässig]</w:t>
      </w:r>
    </w:p>
  </w:footnote>
  <w:footnote w:id="210">
    <w:p>
      <w:pPr>
        <w:pStyle w:val="Funote"/>
        <w:rPr/>
      </w:pPr>
      <w:r>
        <w:rPr>
          <w:rStyle w:val="Funotenzeichen"/>
        </w:rPr>
        <w:footnoteRef/>
      </w:r>
      <w:r>
        <w:rPr/>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211">
    <w:p>
      <w:pPr>
        <w:pStyle w:val="Funote"/>
        <w:rPr/>
      </w:pPr>
      <w:r>
        <w:rPr>
          <w:rStyle w:val="Funotenzeichen"/>
        </w:rPr>
        <w:footnoteRef/>
      </w:r>
      <w:r>
        <w:rPr/>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212">
    <w:p>
      <w:pPr>
        <w:pStyle w:val="Funote"/>
        <w:rPr/>
      </w:pPr>
      <w:r>
        <w:rPr>
          <w:rStyle w:val="Funotenzeichen"/>
        </w:rPr>
        <w:footnoteRef/>
      </w:r>
      <w:r>
        <w:rPr/>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213">
    <w:p>
      <w:pPr>
        <w:pStyle w:val="Funote"/>
        <w:rPr/>
      </w:pPr>
      <w:r>
        <w:rPr>
          <w:rStyle w:val="Funotenzeichen"/>
        </w:rPr>
        <w:footnoteRef/>
      </w:r>
      <w:r>
        <w:rPr/>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214">
    <w:p>
      <w:pPr>
        <w:pStyle w:val="Funote"/>
        <w:rPr/>
      </w:pPr>
      <w:r>
        <w:rPr>
          <w:rStyle w:val="Funotenzeichen"/>
        </w:rPr>
        <w:footnoteRef/>
      </w:r>
      <w:r>
        <w:rPr/>
        <w:tab/>
        <w:t>Feld (V. 2), Feldstück (V. 3) - »Feld«: Das gesamte Ackerland um Betlehem herum, im Unterschied zum »Feldstück«, das nur den Anteil des Boas an diesem gesamten Ackerland bezeichnet (vgl. z.B. Köhlmoos 2010, S. 31).</w:t>
      </w:r>
    </w:p>
  </w:footnote>
  <w:footnote w:id="215">
    <w:p>
      <w:pPr>
        <w:pStyle w:val="Funote"/>
        <w:rPr/>
      </w:pPr>
      <w:r>
        <w:rPr>
          <w:rStyle w:val="Funotenzeichen"/>
        </w:rPr>
        <w:footnoteRef/>
      </w:r>
      <w:r>
        <w:rPr/>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216">
    <w:p>
      <w:pPr>
        <w:pStyle w:val="Funote"/>
        <w:rPr/>
      </w:pPr>
      <w:r>
        <w:rPr>
          <w:rStyle w:val="Funotenzeichen"/>
        </w:rPr>
        <w:footnoteRef/>
      </w:r>
      <w:r>
        <w:rPr/>
        <w:tab/>
        <w:t>tFN: an den Ähren mitlesen: Nicht »in den Ähren lesen«; die Präposition b- hat hier die Funktion eines »Beth comitatus«: an den Ähren mit-lesen (so z.B. Gerleman 1965, S. 23; Joüon 1913, S. 200; Zenger 1986, S. 55). Zum Ährenlesen s. näher die Anmerkungen.</w:t>
      </w:r>
    </w:p>
  </w:footnote>
  <w:footnote w:id="217">
    <w:p>
      <w:pPr>
        <w:pStyle w:val="Funote"/>
        <w:rPr/>
      </w:pPr>
      <w:r>
        <w:rPr>
          <w:rStyle w:val="Funotenzeichen"/>
        </w:rPr>
        <w:footnoteRef/>
      </w:r>
      <w:r>
        <w:rPr/>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218">
    <w:p>
      <w:pPr>
        <w:pStyle w:val="Funote"/>
        <w:rPr/>
      </w:pPr>
      <w:r>
        <w:rPr>
          <w:rStyle w:val="Funotenzeichen"/>
        </w:rPr>
        <w:footnoteRef/>
      </w:r>
      <w:r>
        <w:rPr/>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219">
    <w:p>
      <w:pPr>
        <w:pStyle w:val="Funote"/>
        <w:rPr/>
      </w:pPr>
      <w:r>
        <w:rPr>
          <w:rStyle w:val="Funotenzeichen"/>
        </w:rPr>
        <w:footnoteRef/>
      </w:r>
      <w:r>
        <w:rPr/>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220">
    <w:p>
      <w:pPr>
        <w:pStyle w:val="Funote"/>
        <w:rPr/>
      </w:pPr>
      <w:r>
        <w:rPr>
          <w:rStyle w:val="Funotenzeichen"/>
        </w:rPr>
        <w:footnoteRef/>
      </w:r>
      <w:r>
        <w:rPr/>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221">
    <w:p>
      <w:pPr>
        <w:pStyle w:val="Funote"/>
        <w:rPr/>
      </w:pPr>
      <w:r>
        <w:rPr>
          <w:rStyle w:val="Funotenzeichen"/>
        </w:rPr>
        <w:footnoteRef/>
      </w:r>
      <w:r>
        <w:rPr/>
        <w:tab/>
        <w:t>Zufällig geriet sie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2">
    <w:p>
      <w:pPr>
        <w:pStyle w:val="Funote"/>
        <w:rPr/>
      </w:pPr>
      <w:r>
        <w:rPr>
          <w:rStyle w:val="Funotenzeichen"/>
        </w:rPr>
        <w:footnoteRef/>
      </w:r>
      <w:r>
        <w:rPr/>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223">
    <w:p>
      <w:pPr>
        <w:pStyle w:val="Funote"/>
        <w:rPr/>
      </w:pPr>
      <w:r>
        <w:rPr>
          <w:rStyle w:val="Funotenzeichen"/>
        </w:rPr>
        <w:footnoteRef/>
      </w:r>
      <w:r>
        <w:rPr/>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eine „Segensgeschichte“ (Zenger 1986, S. 96), in der fortwährend gesegnet wird - s. eben hier; Rut 2,19.20; Rut 3,10; ähnlich auch die Segenswünsche in Rut 1,8f; Rut 2,12; Rut 4,11f.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Rut 1).Gut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4">
    <w:p>
      <w:pPr>
        <w:pStyle w:val="Funote"/>
        <w:rPr/>
      </w:pPr>
      <w:r>
        <w:rPr>
          <w:rStyle w:val="Funotenzeichen"/>
        </w:rPr>
        <w:footnoteRef/>
      </w:r>
      <w:r>
        <w:rPr/>
        <w:tab/>
        <w:t>Junge (Angestelltem) - W. „Junge“, doch bezeichnet das Wort hier wie oft recht sicher das Dienstverhältnis (für angestellte Feldarbeiter auch in Ijob 1,5).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Mt 20,8; Lk 12,42 handelt und dass dieser in Abwesenheit seines Herrn weitere „Jungen“ und „Mädchen“ - nämlich Lohnarbeiter - einstellen konnte, die Boas daher auch nicht kennen musste.</w:t>
      </w:r>
    </w:p>
  </w:footnote>
  <w:footnote w:id="225">
    <w:p>
      <w:pPr>
        <w:pStyle w:val="Funote"/>
        <w:rPr/>
      </w:pPr>
      <w:r>
        <w:rPr>
          <w:rStyle w:val="Funotenzeichen"/>
        </w:rPr>
        <w:footnoteRef/>
      </w:r>
      <w:r>
        <w:rPr/>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226">
    <w:p>
      <w:pPr>
        <w:pStyle w:val="Funote"/>
        <w:rPr/>
      </w:pPr>
      <w:r>
        <w:rPr>
          <w:rStyle w:val="Funotenzeichen"/>
        </w:rPr>
        <w:footnoteRef/>
      </w:r>
      <w:r>
        <w:rPr/>
        <w:tab/>
        <w:t>Zu aus {dem Gebiet} (von den Feldern von) Moab s. FN e zu Rut 1,1.6.22.</w:t>
      </w:r>
    </w:p>
  </w:footnote>
  <w:footnote w:id="227">
    <w:p>
      <w:pPr>
        <w:pStyle w:val="Funote"/>
        <w:rPr/>
      </w:pPr>
      <w:r>
        <w:rPr>
          <w:rStyle w:val="Funotenzeichen"/>
        </w:rPr>
        <w:footnoteRef/>
      </w:r>
      <w:r>
        <w:rPr/>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28">
    <w:p>
      <w:pPr>
        <w:pStyle w:val="Funote"/>
        <w:rPr/>
      </w:pPr>
      <w:r>
        <w:rPr>
          <w:rStyle w:val="Funotenzeichen"/>
        </w:rPr>
        <w:footnoteRef/>
      </w:r>
      <w:r>
        <w:rPr/>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229">
    <w:p>
      <w:pPr>
        <w:pStyle w:val="Funote"/>
        <w:rPr/>
      </w:pPr>
      <w:r>
        <w:rPr>
          <w:rStyle w:val="Funotenzeichen"/>
        </w:rPr>
        <w:footnoteRef/>
      </w:r>
      <w:r>
        <w:rPr/>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dieses/dieses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dieses/dieses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das Haus/auf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230">
    <w:p>
      <w:pPr>
        <w:pStyle w:val="Funote"/>
        <w:rPr/>
      </w:pPr>
      <w:r>
        <w:rPr>
          <w:rStyle w:val="Funotenzeichen"/>
        </w:rPr>
        <w:footnoteRef/>
      </w:r>
      <w:r>
        <w:rPr/>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231">
    <w:p>
      <w:pPr>
        <w:pStyle w:val="Funote"/>
        <w:rPr/>
      </w:pPr>
      <w:r>
        <w:rPr>
          <w:rStyle w:val="Funotenzeichen"/>
        </w:rPr>
        <w:footnoteRef/>
      </w:r>
      <w:r>
        <w:rPr/>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232">
    <w:p>
      <w:pPr>
        <w:pStyle w:val="Funote"/>
        <w:rPr/>
      </w:pPr>
      <w:r>
        <w:rPr>
          <w:rStyle w:val="Funotenzeichen"/>
        </w:rPr>
        <w:footnoteRef/>
      </w:r>
      <w:r>
        <w:rPr/>
        <w:tab/>
        <w:t>das sie abernten - »sie«: maskulin, also die männlichen Erntearbeiter.</w:t>
      </w:r>
    </w:p>
  </w:footnote>
  <w:footnote w:id="233">
    <w:p>
      <w:pPr>
        <w:pStyle w:val="Funote"/>
        <w:rPr/>
      </w:pPr>
      <w:r>
        <w:rPr>
          <w:rStyle w:val="Funotenzeichen"/>
        </w:rPr>
        <w:footnoteRef/>
      </w:r>
      <w:r>
        <w:rPr/>
        <w:tab/>
        <w:t>ihnen: feminin. Entweder also die weiblichen Garbenbinderinnen, dann »folge ihnen«, oder die anderen Frauen, die Nachlese halten; dann »gehe an ihrer Seite« (zu ´achar als »(zusammen) mit« s. FN aq zu Rut 1,15). Aber der letzte weibliche Referent sind »meine Mädchen«, daher ist die erste Option doch sehr viel wahrscheinlicher.</w:t>
      </w:r>
    </w:p>
  </w:footnote>
  <w:footnote w:id="234">
    <w:p>
      <w:pPr>
        <w:pStyle w:val="Funote"/>
        <w:rPr/>
      </w:pPr>
      <w:r>
        <w:rPr>
          <w:rStyle w:val="Funotenzeichen"/>
        </w:rPr>
        <w:footnoteRef/>
      </w:r>
      <w:r>
        <w:rPr/>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235">
    <w:p>
      <w:pPr>
        <w:pStyle w:val="Funote"/>
        <w:rPr/>
      </w:pPr>
      <w:r>
        <w:rPr>
          <w:rStyle w:val="Funotenzeichen"/>
        </w:rPr>
        <w:footnoteRef/>
      </w:r>
      <w:r>
        <w:rPr/>
        <w:tab/>
        <w:t>Gefallen in deinen Augen gefunden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(lähakireni, von nakar »beachten«), obwohl ich doch Ausländerin (nokrijah) bin?«</w:t>
      </w:r>
    </w:p>
  </w:footnote>
  <w:footnote w:id="236">
    <w:p>
      <w:pPr>
        <w:pStyle w:val="Funote"/>
        <w:rPr/>
      </w:pPr>
      <w:r>
        <w:rPr>
          <w:rStyle w:val="Funotenzeichen"/>
        </w:rPr>
        <w:footnoteRef/>
      </w:r>
      <w:r>
        <w:rPr/>
        <w:tab/>
        <w:t>{und sagte zu} (V. 11) + {indem er sagte} (V. 15) - Doppelte Redeeinleitung finden sich sehr häufig im Hebräischen und sind dort ganz gewöhnlich. Im Deutschen können sie ohne Bedeutungsverlust gestrichen werden.</w:t>
      </w:r>
    </w:p>
  </w:footnote>
  <w:footnote w:id="237">
    <w:p>
      <w:pPr>
        <w:pStyle w:val="Funote"/>
        <w:rPr/>
      </w:pPr>
      <w:r>
        <w:rPr>
          <w:rStyle w:val="Funotenzeichen"/>
        </w:rPr>
        <w:footnoteRef/>
      </w:r>
      <w:r>
        <w:rPr/>
        <w:tab/>
        <w:t>Berichtet {berichtet}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238">
    <w:p>
      <w:pPr>
        <w:pStyle w:val="Funote"/>
        <w:rPr/>
      </w:pPr>
      <w:r>
        <w:rPr>
          <w:rStyle w:val="Funotenzeichen"/>
        </w:rPr>
        <w:footnoteRef/>
      </w:r>
      <w:r>
        <w:rPr/>
        <w:tab/>
        <w:t>was du für deine Schwiegermutter nach dem Tod deines Mannes getan hast - Ein »Segens-Update«: Noomi wünscht ihren Töchtern den Segen Gottes für alles, was sie ihr und ihren Ehemännern getan haben (Rut 1,8); Boas nun wünscht Rut Gottes Segen für alles, was sie in der Zwischenzeit, nämlich nach dem Tod ihres Mannes für ihre Schwiegermutter getan hat.</w:t>
      </w:r>
    </w:p>
  </w:footnote>
  <w:footnote w:id="239">
    <w:p>
      <w:pPr>
        <w:pStyle w:val="Funote"/>
        <w:rPr/>
      </w:pPr>
      <w:r>
        <w:rPr>
          <w:rStyle w:val="Funotenzeichen"/>
        </w:rPr>
        <w:footnoteRef/>
      </w:r>
      <w:r>
        <w:rPr/>
        <w:tab/>
        <w:t>vorher (gestern vorgestern) - W. »gestern vorgestern«; ein Idiom für »vorher, früher«.</w:t>
      </w:r>
    </w:p>
  </w:footnote>
  <w:footnote w:id="240">
    <w:p>
      <w:pPr>
        <w:pStyle w:val="Funote"/>
        <w:rPr/>
      </w:pPr>
      <w:r>
        <w:rPr>
          <w:rStyle w:val="Funotenzeichen"/>
        </w:rPr>
        <w:footnoteRef/>
      </w:r>
      <w:r>
        <w:rPr/>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Der Autor legt Boas diese Formel also sehr wahrscheinlich deshalb in den Mund, um über diese Formel später (Rut 3,9) mit JHWH gleichschalten zu können; s. die Anmerkungen zu Kapitel 3.Vielleicht aber auch wirklich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ihres Ehemanns JHWH (wie ja auch in Rut 3,9 der »Mantel, den Boas über Rut decken soll«, wie im Alten Arabien sehr sicher ein Symbol für die Heirat ist; vgl. bes. Kruger 1984; z.B. auch Bohlen 1992, S. 12f.; Smith 1907, S. 105), s. bes. Ez 16,8;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(Plural auch in Jer 2,34; Ez 5,3)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w:t>
      </w:r>
    </w:p>
  </w:footnote>
  <w:footnote w:id="241">
    <w:p>
      <w:pPr>
        <w:pStyle w:val="Funote"/>
        <w:rPr/>
      </w:pPr>
      <w:r>
        <w:rPr>
          <w:rStyle w:val="Funotenzeichen"/>
        </w:rPr>
        <w:footnoteRef/>
      </w:r>
      <w:r>
        <w:rPr/>
        <w:tab/>
        <w:t>Möge ich in deinen Augen Gefallen finden - das dritte Vorkommen dieser Formel; wieder in anderer Bedeutung. Nicht: »[weiterhin] Gefallen finden« (so viele Üss.); gut erklärt von Ehrlich 1908, S. 163f: &lt;blockquote&gt;»[...]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danke.«;&lt;/blockquote&gt; der Sinn ist also eher: »Für diesen Zuspruch danke ich Ihnen, mein Herr - möge ich mich ihm als würdig erweisen (=Gefallen finden in Ihren Augen).« Als Dankesformel deuten auch HfA, MEN, R-S.</w:t>
      </w:r>
    </w:p>
  </w:footnote>
  <w:footnote w:id="242">
    <w:p>
      <w:pPr>
        <w:pStyle w:val="Funote"/>
        <w:rPr/>
      </w:pPr>
      <w:r>
        <w:rPr>
          <w:rStyle w:val="Funotenzeichen"/>
        </w:rPr>
        <w:footnoteRef/>
      </w:r>
      <w:r>
        <w:rPr/>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243">
    <w:p>
      <w:pPr>
        <w:pStyle w:val="Funote"/>
        <w:rPr/>
      </w:pPr>
      <w:r>
        <w:rPr>
          <w:rStyle w:val="Funotenzeichen"/>
        </w:rPr>
        <w:footnoteRef/>
      </w:r>
      <w:r>
        <w:rPr/>
        <w:tab/>
        <w:t>zum Herzen deiner Magd gesprochen hast - Idiom sowohl für »trösten« (s. noch Gen 50,21; Jes 40,2) als auch für »Mut zusprechen« (s. noch 2 Sam 19,8; 2 Chr 30,22; 32,6). Wahrscheinlich ist hier beides im Blick (so auch Campbell 1975, S. 100).</w:t>
      </w:r>
    </w:p>
  </w:footnote>
  <w:footnote w:id="244">
    <w:p>
      <w:pPr>
        <w:pStyle w:val="Funote"/>
        <w:rPr/>
      </w:pPr>
      <w:r>
        <w:rPr>
          <w:rStyle w:val="Funotenzeichen"/>
        </w:rPr>
        <w:footnoteRef/>
      </w:r>
      <w:r>
        <w:rPr/>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245">
    <w:p>
      <w:pPr>
        <w:pStyle w:val="Funote"/>
        <w:rPr/>
      </w:pPr>
      <w:r>
        <w:rPr>
          <w:rStyle w:val="Funotenzeichen"/>
        </w:rPr>
        <w:footnoteRef/>
      </w:r>
      <w:r>
        <w:rPr/>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46">
    <w:p>
      <w:pPr>
        <w:pStyle w:val="Funote"/>
        <w:rPr/>
      </w:pPr>
      <w:r>
        <w:rPr>
          <w:rStyle w:val="Funotenzeichen"/>
        </w:rPr>
        <w:footnoteRef/>
      </w:r>
      <w:r>
        <w:rPr/>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247">
    <w:p>
      <w:pPr>
        <w:pStyle w:val="Funote"/>
        <w:rPr/>
      </w:pPr>
      <w:r>
        <w:rPr>
          <w:rStyle w:val="Funotenzeichen"/>
        </w:rPr>
        <w:footnoteRef/>
      </w:r>
      <w:r>
        <w:rPr/>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248">
    <w:p>
      <w:pPr>
        <w:pStyle w:val="Funote"/>
        <w:rPr/>
      </w:pPr>
      <w:r>
        <w:rPr>
          <w:rStyle w:val="Funotenzeichen"/>
        </w:rPr>
        <w:footnoteRef/>
      </w:r>
      <w:r>
        <w:rPr/>
        <w:tab/>
        <w:t>Röstkorn - Über dem Feuer geröstete Getreidekörner; ein im Alten Orient (und noch heute) verbreiteter Snack.</w:t>
      </w:r>
    </w:p>
  </w:footnote>
  <w:footnote w:id="249">
    <w:p>
      <w:pPr>
        <w:pStyle w:val="Funote"/>
        <w:rPr/>
      </w:pPr>
      <w:r>
        <w:rPr>
          <w:rStyle w:val="Funotenzeichen"/>
        </w:rPr>
        <w:footnoteRef/>
      </w:r>
      <w:r>
        <w:rPr/>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250">
    <w:p>
      <w:pPr>
        <w:pStyle w:val="Funote"/>
        <w:rPr/>
      </w:pPr>
      <w:r>
        <w:rPr>
          <w:rStyle w:val="Funotenzeichen"/>
        </w:rPr>
        <w:footnoteRef/>
      </w:r>
      <w:r>
        <w:rPr/>
        <w:tab/>
        <w:t>[durchaus] herausziehen {herausziehen} (herunterwerfen {herunterwerfen})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{herunterwerfen}«,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{herunterwerfen}«) ausgehen, obwohl keine einzige heb. Handschrift erhalten ist, in der diese Textvariante sich findet.</w:t>
      </w:r>
    </w:p>
  </w:footnote>
  <w:footnote w:id="251">
    <w:p>
      <w:pPr>
        <w:pStyle w:val="Funote"/>
        <w:rPr/>
      </w:pPr>
      <w:r>
        <w:rPr>
          <w:rStyle w:val="Funotenzeichen"/>
        </w:rPr>
        <w:footnoteRef/>
      </w:r>
      <w:r>
        <w:rPr/>
        <w:tab/>
        <w:t>Handbündel - Die beim Ernten in der linken Hand gehaltenen Ährenbündel; s. die Anmerkungen und vgl. z.B. Dalman 1933, S. 42; Humbert 1950, S. 206f.; Vogelstein 1894, S. 62.</w:t>
      </w:r>
    </w:p>
  </w:footnote>
  <w:footnote w:id="252">
    <w:p>
      <w:pPr>
        <w:pStyle w:val="Funote"/>
        <w:rPr/>
      </w:pPr>
      <w:r>
        <w:rPr>
          <w:rStyle w:val="Funotenzeichen"/>
        </w:rPr>
        <w:footnoteRef/>
      </w:r>
      <w:r>
        <w:rPr/>
        <w:tab/>
        <w:t>klopfte aus - dazu s. die Anmerkungen</w:t>
      </w:r>
    </w:p>
  </w:footnote>
  <w:footnote w:id="253">
    <w:p>
      <w:pPr>
        <w:pStyle w:val="Funote"/>
        <w:rPr/>
      </w:pPr>
      <w:r>
        <w:rPr>
          <w:rStyle w:val="Funotenzeichen"/>
        </w:rPr>
        <w:footnoteRef/>
      </w:r>
      <w:r>
        <w:rPr/>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254">
    <w:p>
      <w:pPr>
        <w:pStyle w:val="Funote"/>
        <w:rPr/>
      </w:pPr>
      <w:r>
        <w:rPr>
          <w:rStyle w:val="Funotenzeichen"/>
        </w:rPr>
        <w:footnoteRef/>
      </w:r>
      <w:r>
        <w:rPr/>
        <w:tab/>
        <w:t>hob es auf (wuchtete es hoch) - W. „hob es auf“; vermutlich expliziert, um das Gewicht ihres Ertrags zu betonen; daher besser „wuchtete es hoch“ o.Ä.</w:t>
      </w:r>
    </w:p>
  </w:footnote>
  <w:footnote w:id="255">
    <w:p>
      <w:pPr>
        <w:pStyle w:val="Funote"/>
        <w:rPr/>
      </w:pPr>
      <w:r>
        <w:rPr>
          <w:rStyle w:val="Funotenzeichen"/>
        </w:rPr>
        <w:footnoteRef/>
      </w:r>
      <w:r>
        <w:rPr/>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256">
    <w:p>
      <w:pPr>
        <w:pStyle w:val="Funote"/>
        <w:rPr/>
      </w:pPr>
      <w:r>
        <w:rPr>
          <w:rStyle w:val="Funotenzeichen"/>
        </w:rPr>
        <w:footnoteRef/>
      </w:r>
      <w:r>
        <w:rPr/>
        <w:tab/>
        <w:t>Wo - Das Heb. verwendet in dieser Frage zwei verschiedene Wörter für »wo« - vermutlich deshalb, weil das erste (´ephoh) ähnlich klingt wie »Efa« (´epha; so gut Zakovitch 1999, S. 126) - Ruts großer Ertrag ist es, der Noomis Frage provoziert.</w:t>
      </w:r>
    </w:p>
  </w:footnote>
  <w:footnote w:id="257">
    <w:p>
      <w:pPr>
        <w:pStyle w:val="Funote"/>
        <w:rPr/>
      </w:pPr>
      <w:r>
        <w:rPr>
          <w:rStyle w:val="Funotenzeichen"/>
        </w:rPr>
        <w:footnoteRef/>
      </w:r>
      <w:r>
        <w:rPr/>
        <w:tab/>
        <w:t>der dich [wohlwollend] angesehen [hat] - d.h., »dein Wohltäter«. Das selbe Verb wie in V. 10.</w:t>
      </w:r>
    </w:p>
  </w:footnote>
  <w:footnote w:id="258">
    <w:p>
      <w:pPr>
        <w:pStyle w:val="Funote"/>
        <w:rPr/>
      </w:pPr>
      <w:r>
        <w:rPr>
          <w:rStyle w:val="Funotenzeichen"/>
        </w:rPr>
        <w:footnoteRef/>
      </w:r>
      <w:r>
        <w:rPr/>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259">
    <w:p>
      <w:pPr>
        <w:pStyle w:val="Funote"/>
        <w:rPr/>
      </w:pPr>
      <w:r>
        <w:rPr>
          <w:rStyle w:val="Funotenzeichen"/>
        </w:rPr>
        <w:footnoteRef/>
      </w:r>
      <w:r>
        <w:rPr/>
        <w:tab/>
        <w:t>der nicht von seiner Treue zu den Lebenden und den Toten abgelassen hat könnte sich sowohl auf jenen, d.h. Boas, oder auf JHWH beziehen. Wohl bewusst; s. die Anmerkungen zu Kapitel 3.</w:t>
      </w:r>
    </w:p>
  </w:footnote>
  <w:footnote w:id="260">
    <w:p>
      <w:pPr>
        <w:pStyle w:val="Funote"/>
        <w:rPr/>
      </w:pPr>
      <w:r>
        <w:rPr>
          <w:rStyle w:val="Funotenzeichen"/>
        </w:rPr>
        <w:footnoteRef/>
      </w:r>
      <w:r>
        <w:rPr/>
        <w:tab/>
        <w:t>Und dann sagte - W. „Und sie sagte“, die redundante Redeeinleitung soll hier den Höhepunkt des Dialogs von Noomi und Rut markieren (vgl. Runge 2007, S. 169, FN 226).</w:t>
      </w:r>
    </w:p>
  </w:footnote>
  <w:footnote w:id="261">
    <w:p>
      <w:pPr>
        <w:pStyle w:val="Funote"/>
        <w:rPr/>
      </w:pPr>
      <w:r>
        <w:rPr>
          <w:rStyle w:val="Funotenzeichen"/>
        </w:rPr>
        <w:footnoteRef/>
      </w:r>
      <w:r>
        <w:rPr/>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Meek 1960, S. 332f.; Staples 1937, S. 63f.). Besser ist daher das min (»von«) als min explicativum zu deuten (»das heißt«, vgl. ZLH, S. 446), was dann auch erklärt, warum Rut in Kapitel 3 denkt, Boas wäre in der Tat ihr Löser. Wegen dieser Stelle ist auch der Vorschlag von Gesenius und Meek abzulehnen, der das min als »nächster nach« deuten will (»er ist der Nächste nach unserem Löser«; Gesenius 1840, S. 805; Meek 1960, S. 333).</w:t>
      </w:r>
    </w:p>
  </w:footnote>
  <w:footnote w:id="262">
    <w:p>
      <w:pPr>
        <w:pStyle w:val="Funote"/>
        <w:rPr/>
      </w:pPr>
      <w:r>
        <w:rPr>
          <w:rStyle w:val="Funotenzeichen"/>
        </w:rPr>
        <w:footnoteRef/>
      </w:r>
      <w:r>
        <w:rPr/>
        <w:tab/>
        <w:t>Dazu [kommt], dass - W. »Zusätzlich [ist (=gilt), dass]«. Gut Bertholet 1898, S. 62: »[... Dies] gibt die lebhafte Rede wieder: auch das noch muss ich beifügen, dass....«</w:t>
      </w:r>
    </w:p>
  </w:footnote>
  <w:footnote w:id="263">
    <w:p>
      <w:pPr>
        <w:pStyle w:val="Funote"/>
        <w:rPr/>
      </w:pPr>
      <w:r>
        <w:rPr>
          <w:rStyle w:val="Funotenzeichen"/>
        </w:rPr>
        <w:footnoteRef/>
      </w:r>
      <w:r>
        <w:rPr/>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generisches Maskulinum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4">
    <w:p>
      <w:pPr>
        <w:pStyle w:val="Funote"/>
        <w:rPr/>
      </w:pPr>
      <w:r>
        <w:rPr>
          <w:rStyle w:val="Funotenzeichen"/>
        </w:rPr>
        <w:footnoteRef/>
      </w:r>
      <w:r>
        <w:rPr/>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265">
    <w:p>
      <w:pPr>
        <w:pStyle w:val="Funote"/>
        <w:rPr/>
      </w:pPr>
      <w:r>
        <w:rPr>
          <w:rStyle w:val="Funotenzeichen"/>
        </w:rPr>
        <w:footnoteRef/>
      </w:r>
      <w:r>
        <w:rPr/>
        <w:tab/>
        <w:t>JHWH</w:t>
      </w:r>
    </w:p>
  </w:footnote>
  <w:footnote w:id="266">
    <w:p>
      <w:pPr>
        <w:pStyle w:val="Funote"/>
        <w:rPr/>
      </w:pPr>
      <w:r>
        <w:rPr>
          <w:rStyle w:val="Funotenzeichen"/>
        </w:rPr>
        <w:footnoteRef/>
      </w:r>
      <w:r>
        <w:rPr/>
        <w:tab/>
        <w:t>[Zu dieser vgl. v.a. Novick 2011.]</w:t>
      </w:r>
    </w:p>
  </w:footnote>
  <w:footnote w:id="267">
    <w:p>
      <w:pPr>
        <w:pStyle w:val="Funote"/>
        <w:rPr/>
      </w:pPr>
      <w:r>
        <w:rPr>
          <w:rStyle w:val="Funotenzeichen"/>
        </w:rPr>
        <w:footnoteRef/>
      </w:r>
      <w:r>
        <w:rPr/>
        <w:tab/>
        <w:t>JHWH</w:t>
      </w:r>
    </w:p>
  </w:footnote>
  <w:footnote w:id="268">
    <w:p>
      <w:pPr>
        <w:pStyle w:val="Funote"/>
        <w:rPr/>
      </w:pPr>
      <w:r>
        <w:rPr>
          <w:rStyle w:val="Funotenzeichen"/>
        </w:rPr>
        <w:footnoteRef/>
      </w:r>
      <w:r>
        <w:rPr/>
        <w:tab/>
        <w:t>JHWH</w:t>
      </w:r>
    </w:p>
  </w:footnote>
  <w:footnote w:id="269">
    <w:p>
      <w:pPr>
        <w:pStyle w:val="Funote"/>
        <w:rPr/>
      </w:pPr>
      <w:r>
        <w:rPr>
          <w:rStyle w:val="Funotenzeichen"/>
        </w:rPr>
        <w:footnoteRef/>
      </w:r>
      <w:r>
        <w:rPr/>
        <w:tab/>
        <w:t>[Vgl. Frevel 1992, S. 79]</w:t>
      </w:r>
    </w:p>
  </w:footnote>
  <w:footnote w:id="270">
    <w:p>
      <w:pPr>
        <w:pStyle w:val="Funote"/>
        <w:rPr/>
      </w:pPr>
      <w:r>
        <w:rPr>
          <w:rStyle w:val="Funotenzeichen"/>
        </w:rPr>
        <w:footnoteRef/>
      </w:r>
      <w:r>
        <w:rPr/>
        <w:tab/>
        <w:t>JHWH</w:t>
      </w:r>
    </w:p>
  </w:footnote>
  <w:footnote w:id="271">
    <w:p>
      <w:pPr>
        <w:pStyle w:val="Funote"/>
        <w:rPr/>
      </w:pPr>
      <w:r>
        <w:rPr>
          <w:rStyle w:val="Funotenzeichen"/>
        </w:rPr>
        <w:footnoteRef/>
      </w:r>
      <w:r>
        <w:rPr/>
        <w:tab/>
        <w:t>[Vgl. Collins 1993, S. 100; Halton 2012, S. 37; Thompson 1993, S. 210]</w:t>
      </w:r>
    </w:p>
  </w:footnote>
  <w:footnote w:id="272">
    <w:p>
      <w:pPr>
        <w:pStyle w:val="Funote"/>
        <w:rPr/>
      </w:pPr>
      <w:r>
        <w:rPr>
          <w:rStyle w:val="Funotenzeichen"/>
        </w:rPr>
        <w:footnoteRef/>
      </w:r>
      <w:r>
        <w:rPr/>
        <w:tab/>
        <w:t>JHWH</w:t>
      </w:r>
    </w:p>
  </w:footnote>
  <w:footnote w:id="273">
    <w:p>
      <w:pPr>
        <w:pStyle w:val="Funote"/>
        <w:rPr/>
      </w:pPr>
      <w:r>
        <w:rPr>
          <w:rStyle w:val="Funotenzeichen"/>
        </w:rPr>
        <w:footnoteRef/>
      </w:r>
      <w:r>
        <w:rPr/>
        <w:tab/>
        <w:t>[Vgl. Gordis 1974, S. 241]</w:t>
      </w:r>
    </w:p>
  </w:footnote>
  <w:footnote w:id="274">
    <w:p>
      <w:pPr>
        <w:pStyle w:val="Funote"/>
        <w:rPr/>
      </w:pPr>
      <w:r>
        <w:rPr>
          <w:rStyle w:val="Funotenzeichen"/>
        </w:rPr>
        <w:footnoteRef/>
      </w:r>
      <w:r>
        <w:rPr/>
        <w:tab/>
        <w:t>JHWH</w:t>
      </w:r>
    </w:p>
  </w:footnote>
  <w:footnote w:id="275">
    <w:p>
      <w:pPr>
        <w:pStyle w:val="Funote"/>
        <w:rPr/>
      </w:pPr>
      <w:r>
        <w:rPr>
          <w:rStyle w:val="Funotenzeichen"/>
        </w:rPr>
        <w:footnoteRef/>
      </w:r>
      <w:r>
        <w:rPr/>
        <w:tab/>
        <w:t>[Vgl. z.B. Landy 1994, S. 297]</w:t>
      </w:r>
    </w:p>
  </w:footnote>
  <w:footnote w:id="276">
    <w:p>
      <w:pPr>
        <w:pStyle w:val="Funote"/>
        <w:rPr/>
      </w:pPr>
      <w:r>
        <w:rPr>
          <w:rStyle w:val="Funotenzeichen"/>
        </w:rPr>
        <w:footnoteRef/>
      </w:r>
      <w:r>
        <w:rPr/>
        <w:tab/>
        <w:t>JHWH</w:t>
      </w:r>
    </w:p>
  </w:footnote>
  <w:footnote w:id="277">
    <w:p>
      <w:pPr>
        <w:pStyle w:val="Funote"/>
        <w:rPr/>
      </w:pPr>
      <w:r>
        <w:rPr>
          <w:rStyle w:val="Funotenzeichen"/>
        </w:rPr>
        <w:footnoteRef/>
      </w:r>
      <w:r>
        <w:rPr/>
        <w:tab/>
        <w:t>[Vgl. Köhlmoos 2010, S. 63]</w:t>
      </w:r>
    </w:p>
  </w:footnote>
  <w:footnote w:id="278">
    <w:p>
      <w:pPr>
        <w:pStyle w:val="Funote"/>
        <w:rPr/>
      </w:pPr>
      <w:r>
        <w:rPr>
          <w:rStyle w:val="Funotenzeichen"/>
        </w:rPr>
        <w:footnoteRef/>
      </w:r>
      <w:r>
        <w:rPr/>
        <w:tab/>
        <w:t>JHWH</w:t>
      </w:r>
    </w:p>
  </w:footnote>
  <w:footnote w:id="279">
    <w:p>
      <w:pPr>
        <w:pStyle w:val="Funote"/>
        <w:rPr/>
      </w:pPr>
      <w:r>
        <w:rPr>
          <w:rStyle w:val="Funotenzeichen"/>
        </w:rPr>
        <w:footnoteRef/>
      </w:r>
      <w:r>
        <w:rPr/>
        <w:tab/>
        <w:t>JHWH</w:t>
      </w:r>
    </w:p>
  </w:footnote>
  <w:footnote w:id="280">
    <w:p>
      <w:pPr>
        <w:pStyle w:val="Funote"/>
        <w:rPr/>
      </w:pPr>
      <w:r>
        <w:rPr>
          <w:rStyle w:val="Funotenzeichen"/>
        </w:rPr>
        <w:footnoteRef/>
      </w:r>
      <w:r>
        <w:rPr/>
        <w:tab/>
        <w:t>JHWH</w:t>
      </w:r>
    </w:p>
  </w:footnote>
  <w:footnote w:id="281">
    <w:p>
      <w:pPr>
        <w:pStyle w:val="Funote"/>
        <w:rPr/>
      </w:pPr>
      <w:r>
        <w:rPr>
          <w:rStyle w:val="Funotenzeichen"/>
        </w:rPr>
        <w:footnoteRef/>
      </w:r>
      <w:r>
        <w:rPr/>
        <w:tab/>
        <w:t>JHWH</w:t>
      </w:r>
    </w:p>
  </w:footnote>
  <w:footnote w:id="282">
    <w:p>
      <w:pPr>
        <w:pStyle w:val="Funote"/>
        <w:rPr/>
      </w:pPr>
      <w:r>
        <w:rPr>
          <w:rStyle w:val="Funotenzeichen"/>
        </w:rPr>
        <w:footnoteRef/>
      </w:r>
      <w:r>
        <w:rPr/>
        <w:tab/>
        <w:t>JHWH</w:t>
      </w:r>
    </w:p>
  </w:footnote>
  <w:footnote w:id="283">
    <w:p>
      <w:pPr>
        <w:pStyle w:val="Funote"/>
        <w:rPr/>
      </w:pPr>
      <w:r>
        <w:rPr>
          <w:rStyle w:val="Funotenzeichen"/>
        </w:rPr>
        <w:footnoteRef/>
      </w:r>
      <w:r>
        <w:rPr/>
        <w:tab/>
        <w:t>JHWH</w:t>
      </w:r>
    </w:p>
  </w:footnote>
  <w:footnote w:id="284">
    <w:p>
      <w:pPr>
        <w:pStyle w:val="Funote"/>
        <w:rPr/>
      </w:pPr>
      <w:r>
        <w:rPr>
          <w:rStyle w:val="Funotenzeichen"/>
        </w:rPr>
        <w:footnoteRef/>
      </w:r>
      <w:r>
        <w:rPr/>
        <w:tab/>
        <w:t>JHWH</w:t>
      </w:r>
    </w:p>
  </w:footnote>
  <w:footnote w:id="285">
    <w:p>
      <w:pPr>
        <w:pStyle w:val="Funote"/>
        <w:rPr/>
      </w:pPr>
      <w:r>
        <w:rPr>
          <w:rStyle w:val="Funotenzeichen"/>
        </w:rPr>
        <w:footnoteRef/>
      </w:r>
      <w:r>
        <w:rPr/>
        <w:tab/>
        <w:t>[Status: Zuverlässig]</w:t>
      </w:r>
    </w:p>
  </w:footnote>
  <w:footnote w:id="286">
    <w:p>
      <w:pPr>
        <w:pStyle w:val="Funote"/>
        <w:rPr/>
      </w:pPr>
      <w:r>
        <w:rPr>
          <w:rStyle w:val="Funotenzeichen"/>
        </w:rPr>
        <w:footnoteRef/>
      </w:r>
      <w:r>
        <w:rPr/>
        <w:tab/>
        <w:t>Will ich nicht...? (V. 1) + Ist nicht...? (V. 2) + Siehe (V. 2) - Die beiden rhetorischen Fragen dienen hier - wie oft (vgl. bes. Moshavi 2011, S. 99f) - zur Begründung der in Vv. 3f folgenden Aufforderung; die Argumentationsstruktur von Vv. 1-4 ist also etwa diese: 1-2a: Hintergründe der Aufforderung in V. 3 - 2b: Information über einen für die folgende Auffordung relevanten Satzverhalts (wie üblich eingeleitet durch hinneh (»siehe«)) - 3-4: Die Aufforderung selbst.Im Dt. würde man das eher etwa so formulieren: »Liebe Tochter, ich würde dir ja gerne eine Heimstatt verschaffen, und Boas - der, bei dessen Mägden du gearbeitet hast - ist ja unser Verwandter, nicht wahr? Dieser nun wird heute Nacht auf der Tenne worfeln; daher pass auf; du machst nun Folgendes:...«. Sehr gut daher ZÜR 1931: »Liebe Tochter, ich muss dir doch ein Heim suchen ... (ähnlich MEN). Nun ist ja Boas ... ein Verwandter von uns (ähnlich EÜ, TEX). Siehe...«.</w:t>
      </w:r>
    </w:p>
  </w:footnote>
  <w:footnote w:id="287">
    <w:p>
      <w:pPr>
        <w:pStyle w:val="Funote"/>
        <w:rPr/>
      </w:pPr>
      <w:r>
        <w:rPr>
          <w:rStyle w:val="Funotenzeichen"/>
        </w:rPr>
        <w:footnoteRef/>
      </w:r>
      <w:r>
        <w:rPr/>
        <w:tab/>
        <w:t>Ruhe (eine Heimstatt) - Heb. manoach, ein Synonym von menuchah in Rut 1,9 (s. dazu FN aa): Noomi will Rut ein Heim verschaffen; d.h. hier: sie will sie »unter die Haube bringen«.</w:t>
      </w:r>
    </w:p>
  </w:footnote>
  <w:footnote w:id="288">
    <w:p>
      <w:pPr>
        <w:pStyle w:val="Funote"/>
        <w:rPr/>
      </w:pPr>
      <w:r>
        <w:rPr>
          <w:rStyle w:val="Funotenzeichen"/>
        </w:rPr>
        <w:footnoteRef/>
      </w:r>
      <w:r>
        <w:rPr/>
        <w:tab/>
        <w:t>damit es dir gut geht - häufige Formulierung in der Bibel, die bes. häufig mit dem Halten von JHWHs Geboten zusammenhängt: Hält man sie, »geht es einem gut« (s. z.B. Dtn 4,40; Dtn 12,28; Jer 7,23; Jer 38,20; Jer 42,6 u.ö.). Für sich genommen wäre das nicht besonders auffällig, aber vgl. noch FN o zu Vers 6: Noomi erlässt hier Gebote (s. die Anmerkungen)</w:t>
      </w:r>
    </w:p>
  </w:footnote>
  <w:footnote w:id="289">
    <w:p>
      <w:pPr>
        <w:pStyle w:val="Funote"/>
        <w:rPr/>
      </w:pPr>
      <w:r>
        <w:rPr>
          <w:rStyle w:val="Funotenzeichen"/>
        </w:rPr>
        <w:footnoteRef/>
      </w:r>
      <w:r>
        <w:rPr/>
        <w:tab/>
        <w:t>Und weiter - W.: »und nun«; doch wä`attah dient hier wohl nur zur »Markierung eines neuen Gedankens« (Ges18, S. 1030); treffender ist daher obiger Übersetzungsvorschlag.</w:t>
      </w:r>
    </w:p>
  </w:footnote>
  <w:footnote w:id="290">
    <w:p>
      <w:pPr>
        <w:pStyle w:val="Funote"/>
        <w:rPr/>
      </w:pPr>
      <w:r>
        <w:rPr>
          <w:rStyle w:val="Funotenzeichen"/>
        </w:rPr>
        <w:footnoteRef/>
      </w:r>
      <w:r>
        <w:rPr/>
        <w:tab/>
        <w:t>Verwandter - Bed. unsicher (-&gt; Hapax legomenon). Sehr wahrscheinlich bedeutet es ungefähr das selbe wie das ähnliche Wort »Verwandter« in Rut 2,1 (so fast alle Exegeten). Vom Wortbildungsmuster her scheint das Wort ein Abstraktbegriff zu sein, also eher »Verwandtschaft«; wörtlicher wäre daher vermutlich etwas wie »Gehört nicht Boas zu unserer Verwandtschaft?« (so z.B. MEN). Da aber auch dies nicht sicher ist, folgen wir in der SF der Standardübersetzung »Verwandter«.</w:t>
      </w:r>
    </w:p>
  </w:footnote>
  <w:footnote w:id="291">
    <w:p>
      <w:pPr>
        <w:pStyle w:val="Funote"/>
        <w:rPr/>
      </w:pPr>
      <w:r>
        <w:rPr>
          <w:rStyle w:val="Funotenzeichen"/>
        </w:rPr>
        <w:footnoteRef/>
      </w:r>
      <w:r>
        <w:rPr/>
        <w:tab/>
        <w:t>er wird Gerste auf der Gerstentenne worfeln - W. »er wird die Gerstentenne worfeln«; die »Gerstentenne« steht hier wohl metonymisch für die Gerste auf dieser Tenne (vgl. z.B. Gray 1967, S. 417; Zakovitch 1999, S. 135). Eine »Tenne« ist der Ort, an dem Getreide gedroschen und geworfelt wird; »Worfeln« bezeichnet den Arbeitsschritt der Trennung der Getreidekörner von Spreu und Spelzen mithilfe des Windes (vgl. näher Dreschen und worfeln (WiBiLex)), weshalb das Worfeln auch nachts geschehen muss: Der rechte Wind kommt in Israel oft erst gegen Abend auf. Vermutlich muss an eine Gemeinschaftstenne gedacht werden, die von mehreren Grundbesitzern gemeinsam verwendet wurde. Etwas merkwürdig ist allerdings das »Gersten-« in »Gerstentenne«, da es wohl nicht verschiedene Tennen für verschiedene Getreidearten gab.</w:t>
      </w:r>
    </w:p>
  </w:footnote>
  <w:footnote w:id="292">
    <w:p>
      <w:pPr>
        <w:pStyle w:val="Funote"/>
        <w:rPr/>
      </w:pPr>
      <w:r>
        <w:rPr>
          <w:rStyle w:val="Funotenzeichen"/>
        </w:rPr>
        <w:footnoteRef/>
      </w:r>
      <w:r>
        <w:rPr/>
        <w:tab/>
        <w:t>[Daher] - Dass die Aufforderung in Vv. 3f aus Vv. 1f abgeleitet wird, wird im Heb. nur durch die Wortform (Weqatal) markiert (eben daher auch Einsatz durch Weqatal statt Yiqtol).</w:t>
      </w:r>
    </w:p>
  </w:footnote>
  <w:footnote w:id="293">
    <w:p>
      <w:pPr>
        <w:pStyle w:val="Funote"/>
        <w:rPr/>
      </w:pPr>
      <w:r>
        <w:rPr>
          <w:rStyle w:val="Funotenzeichen"/>
        </w:rPr>
        <w:footnoteRef/>
      </w:r>
      <w:r>
        <w:rPr/>
        <w:tab/>
        <w:t>deine Kleider (dein Kleid) - In der Überlieferung des Textes finden sich beide Versionen: Ketiv und LXX haben Singular, Qere, Syr, VUL und Tg haben Plural. Da Rut am Ende des Kapitels eines ihrer Kleidungsstücke zum Transport der Gerste verwendet und sicher nicht nackt durch Jerusalem läuft, trägt sie sicherlich mehrere Kleidungsstücke; allein schon aus diesem Grund sollte besser mit Plural übersetzt werden. Gemeint sind wohl Ruts »gute« Kleider (TgRut: »Prachtgewänder«; RutR: »Sabbatkleider«; VUL: »elegante Kleider«; dazu passt auch Syr: »schmücke dich mit deinen Gewändern«) - ein weiteres Indiz dafür, dass Noomi und Rut so arm nicht sein können, da schon der Durchschnittsisraelit nicht mehr als zwei Gewänder besaß; die Angehörigen der armen Bevölkerungsschicht häufig nur eines. Gut schlagen de Waard/Nida 1992, S. 48 vor, zu übersetzen mit »get dressed in your best clothes« (so viele Üss; z.B. GN, HfA, NeÜ, NL, OEB, T4T).</w:t>
      </w:r>
    </w:p>
  </w:footnote>
  <w:footnote w:id="294">
    <w:p>
      <w:pPr>
        <w:pStyle w:val="Funote"/>
        <w:rPr/>
      </w:pPr>
      <w:r>
        <w:rPr>
          <w:rStyle w:val="Funotenzeichen"/>
        </w:rPr>
        <w:footnoteRef/>
      </w:r>
      <w:r>
        <w:rPr/>
        <w:tab/>
        <w:t>wasche dich, bade dich und wirf deine Kleider um dich - Typische Hochzeitsvorbereitungen (so richtig z.B. Fischer 2001, S. 201; Zenger 1986, S. 66f). Vgl. Vgl. ARN A 41: »Einmal, als Rabbi Tarfon saß und seine Schüler lehrte, zog eine Braut an ihm vorüber. Er ordnete an, dass sie in sein Haus gebracht werden solle, und sagte zu seiner Mutter und zu seiner Frau: ‚Wascht sie, salbt sie, kleidet sie ein und tanzt vor ihr her, bis sie zum Haus ihres Bräutigams gelangt!‘« (Üs. nach Goldin 1955, S. 173). S. auch Ez 16,9-13 und Jdt 10,3-4 (zu Jdt 10-13 vgl. die Anmerkungen zu Hld 3: Auch hier wird deutlich auf eine Hochzeit angespielt). Nach m.Qid 1,1 galt eine Ehe schon durch den Geschlechtsakt als vollzogen und ähnliche Regelungen galten bereits zu biblischer Zeit (s. Ex 22,15f.; Dtn 22,28f.); mit einer erfolgreichen Verführung hätte sich Rut also auch gleich die Ehe ermogelt.</w:t>
      </w:r>
    </w:p>
  </w:footnote>
  <w:footnote w:id="295">
    <w:p>
      <w:pPr>
        <w:pStyle w:val="Funote"/>
        <w:rPr/>
      </w:pPr>
      <w:r>
        <w:rPr>
          <w:rStyle w:val="Funotenzeichen"/>
        </w:rPr>
        <w:footnoteRef/>
      </w:r>
      <w:r>
        <w:rPr/>
        <w:tab/>
        <w:t>geh hinab (V. 3) + lege dich (V. 4) - Ketiv bietet hier eine Schreibweise, die auf den ersten Blick »ich gehe hinab« und »ich lege mich« statt »gehe hinab« und »lege dich« zu bedeuten scheint. Diese Form für die 2. Person findet sich noch häufiger in der Bibel; entweder handelt es sich dabei um eine veraltete Form (vgl. z.B. HKL I §20.6; Rendsburg 2013, S. 635) oder einen Aramäismus (vgl. z.B. Zakovitch 1999, S. 136). Besonders häufig findet sich diese Form übrigens in Ez 16, das auch über die Abfolge »waschen, salben und ankleiden« (Ez 16,9f + Rut 3,3; s. vorige FN) und über die Rede vom »den Gewandsaum über jemanden breiten« für die Heirat (Ez 16,8 + Rut 3,9) mit unserem Kapitel zusammenhängt. Dass diese Form jeweils nur beim vierten Wort der Vierer-Weqatal-Ketten verwendet wird, macht es sehr wahrscheinlich, dass sie hier nur aus stilistischen Gründen verwendet wird und in der Übersetzung ohne Bedeutungsverlust ignoriert werden kann.</w:t>
      </w:r>
    </w:p>
  </w:footnote>
  <w:footnote w:id="296">
    <w:p>
      <w:pPr>
        <w:pStyle w:val="Funote"/>
        <w:rPr/>
      </w:pPr>
      <w:r>
        <w:rPr>
          <w:rStyle w:val="Funotenzeichen"/>
        </w:rPr>
        <w:footnoteRef/>
      </w:r>
      <w:r>
        <w:rPr/>
        <w:tab/>
        <w:t>Und es soll sein, wenn er sich legt: (Wenn er sich legt,) - Schwierige Stelle; übersetze nach dem Alternativvorschlag.tFN: (1) Das Verb wihi (»und es soll sein«) scheint hier ähnlich wie sonst wajähi (»und es war«, s. z.B. Rut 1,1 (dazu FN c): »Und es war in den Tagen des Richtens der Richter...«) und wähaja (»und es wird sein«, s. z.B. Rut 3,13: »Und es wird sein am Morgen...«) nicht zur story zu gehören, sondern nur zur Markierung einer Zeitangabe zu dienen (vgl. ähnlich Rubinsteins Deutung von HKL III §193b in Rubinstein 1956, S. 76; so wohl auch Holmstedt 2010, S. 154 (?)). Eine ähnliche Verwendung von wihi findet sich sonst nur in 1 Sam 10,5; 2 Sam 5,24 = 1 Chr 14,15 (und in 1 Kön 14,5, wo aber sicher mit LXX wajähi zu lesen ist) und diese Deutung ist allein schon deshalb schwierig, weil die in 1 Sam 10,5 auf wihi folgenden Sätze sich nicht jussivisch verstehen lassen. (2) Joüon 1993, S. 69 will daher emendieren nach wähaja und erklärt sich unsere Stelle so, dass ein Schreiber fälschlicherweise statt den Konsonanten whjh (=wähaja, »und es wird sein«) wjhj (=wajähi, »und es war«) geschrieben habe, was die Masoreten dann zum »weniger falschen« wihi vokalisiert hätten (so auch Lambert 1946, S. 157).(3) Und Niccacci 1995, S. 92 denkt, wihi habe hier seine »normale Funktion, Finalsätze auszudrücken« (s. z.B. Ex 10,21; Mal 3,10) und übersetzt mit »damit du, wenn er sich legt, dir den Ort merken [kannst]«. Diese »normale Funktion« erkennt hier aber auch sonst niemand; in den entsprechenden Versen wird wihi nie wie hier und den obigen Stellen impersonal (»[Es] soll sein«) verwendet, sondern als Vollverb mit Objekt (Ex 10,21: »Damit Finsternis sei«; Mal 3,10: »Damit Nahrung in meinem Haus sei«) und in 1Sam 10,5 funktioniert auch diese Deutung nicht.Entweder gehen wir also (nur auf der Basis von unserem Vers und 2 Sam 5,24 = 1 Chr 14,15!) davon aus, dass wihi sich in Aufforderungen in der Tat wie wajähi und wähaja zur Markierung einer Zeitangabe verwenden lässt und in 1 Sam 10,5 auch noch emendiert werden muss, oder wir folgen besser an allen Stellen dem Emendationsvorschlag von Joüon und Lambert. Auf jeden Fall ist am sinnvollsten nach der Alternativübersetzung zu übersetzen und findet sich so auch in fast allen dt. Üss.</w:t>
      </w:r>
    </w:p>
  </w:footnote>
  <w:footnote w:id="297">
    <w:p>
      <w:pPr>
        <w:pStyle w:val="Funote"/>
        <w:rPr/>
      </w:pPr>
      <w:r>
        <w:rPr>
          <w:rStyle w:val="Funotenzeichen"/>
        </w:rPr>
        <w:footnoteRef/>
      </w:r>
      <w:r>
        <w:rPr/>
        <w:tab/>
        <w:t>entblöße seine Beine (seine Scham?, decke den Ort seiner Beine auf? Entblöße dich zu seinen Füßen?) - »seine Beine/Scham/zu seinen Füßen« = seltenes Wort; sonst nur noch in Dan 10,6 verwendet, wo es sicher »Beine« bedeutet; so wohl auch hier (s.u.). Rut, die sich extra aufgehübscht hat, soll im Schutz der Nacht Boas Beine »aufdecken«, sich »legen« - beide Worte werden häufiger als Euphemismen für den Geschlechtsverkehr verwendet - und sich an die entblößten Beine des Boas schmiegen. Das lässt sich sicher nicht nur als unkonventionelle (und sehr erfolglose - Boas erwacht erst gegen Mitternacht) Weckmethode verstehen; die »sexuellen Konnotationen [in diesem Vers sind] nicht zu überhören« (Zenger 1986, S. 67).tFN: Seine Beine (den Ort seiner Beine) - Das Wort margelah wird meist erklärt durch die nominale Wortbildungsform mit der Vorsilbe m- - d.h., ein Nomen wird gebildet, indem die Vorsilbe m- an die Wurzel (hier rgl (»Beine, gehen«)) angefügt wird. Diese Wortbildungsform hat häufig lokative Bedeutung und auch unser Wort wird daher gern lokativ gedeutet (»der Ort seiner Beine«, d.h. »das Fußende [seines Nachtlagers]« (so gut Keita/Dyk 2006, S. 20)). Doch wegen Dan 10,6 liegt das recht fern und die Vorsilbe ist eher als instumentales m- zu erklären (dazu vgl. z.B. BL §61 w</w:t>
      </w:r>
      <w:r>
        <w:rPr>
          <w:lang w:val="el-GR"/>
        </w:rPr>
        <w:t>ε</w:t>
      </w:r>
      <w:r>
        <w:rPr/>
        <w:t>): Die margelot sind »das, womit man geht«, nämlich eben die Beine.Seine Scham - Das mit unserem Wort verwandte regel (»Bein«) ist häufiger ein Euphemismus für die menschliche Scham; einige Exegeten glauben deshalb, dass auch margelah diese Bedeutung haben könne und Noomi also Rut dazu auffordert, Boas Unterleib zu entblößen. Doch ob dies so ist, wissen wir nicht und auch mit der wahrscheinlichen wörtlichen Bedeutung »Beine« ist der Text ja verfänglich genug: »Rut soll sich zum liegenden Boas, nahe an seine aufgedeckten Beine, legen - keuscher ist das Hebräische nicht zu erklären« (Fischer 2001, S. 203).Entblöße dich zu seinen Füßen - theoretisch auch möglich. glh (»entkleiden«) kann ohne Objekt wohl auch »sich entkleiden« bedeuten (s. Jes 57,8); wenn man margelot als Ortsangabe versteht (»zu seinen Füßen«) , könnte man also Noomis Auforderung auch als »entblöße dich« deuten (so bes. Nielsen 1985, S. 205-207; Nielsen 1997, S. 68f; van Wolde 1997, S. 443f.; Wénin 1998, S. 188) - doch da die margelot wie gesagt eher »Beine« als »der Ort der Beine« bedeutet, ist die Primärübersetzung doch sehr viel wahrscheinlicher.</w:t>
      </w:r>
    </w:p>
  </w:footnote>
  <w:footnote w:id="298">
    <w:p>
      <w:pPr>
        <w:pStyle w:val="Funote"/>
        <w:rPr/>
      </w:pPr>
      <w:r>
        <w:rPr>
          <w:rStyle w:val="Funotenzeichen"/>
        </w:rPr>
        <w:footnoteRef/>
      </w:r>
      <w:r>
        <w:rPr/>
        <w:tab/>
        <w:t>Textkritik: ([mir]) - Die Überlieferung des heb. Textes bietet beide Versionen; Ketiv und viele LXX- und VUL-Mss haben ohne »mir«; Qere, einige LXX- und VUL-Mss, Tg und Syr mit. Eine Entscheidung ist hier nicht möglich.</w:t>
      </w:r>
    </w:p>
  </w:footnote>
  <w:footnote w:id="299">
    <w:p>
      <w:pPr>
        <w:pStyle w:val="Funote"/>
        <w:rPr/>
      </w:pPr>
      <w:r>
        <w:rPr>
          <w:rStyle w:val="Funotenzeichen"/>
        </w:rPr>
        <w:footnoteRef/>
      </w:r>
      <w:r>
        <w:rPr/>
        <w:tab/>
        <w:t>sagst (je sagen wirst) - das Verb steht im Yiqtol; d.h.: Rut bezieht sich damit nicht (nur) auf Noomis Aufforderungen in Vv. 3f, sondern auf alles, was diese ihr je sagen wird.</w:t>
      </w:r>
    </w:p>
  </w:footnote>
  <w:footnote w:id="300">
    <w:p>
      <w:pPr>
        <w:pStyle w:val="Funote"/>
        <w:rPr/>
      </w:pPr>
      <w:r>
        <w:rPr>
          <w:rStyle w:val="Funotenzeichen"/>
        </w:rPr>
        <w:footnoteRef/>
      </w:r>
      <w:r>
        <w:rPr/>
        <w:tab/>
        <w:t>befolgte alles - w. „tat gemäß allem“; wohl kein „Kaf veritatis“ („tat alles genau so“; so viele Üss), das es wohl nicht gibt (so schon GKC §188x) und ohnehin nicht vor alles, sondern eher vor wie stehen würde. Der Ausdruck „etwas tun gemäß allem, was...“ findet sich besonders häufig im Zusammenhang mit dem Befolgen von Geboten (s. z.B. Num 9,3.12; Jos 1,7f; 2 Kön 22,13 = 2 Chr 34,21; Jer 42,5) und passt daher besonders gut zu dieser Stelle, wo Rut befolgt, was ihr Noomi „geboten hatte“ und was auch über das „damit es dir gut geht“ mit den Geboten JHWHs parallelisiert wird (s. Anmerkungen und FN c).</w:t>
      </w:r>
    </w:p>
  </w:footnote>
  <w:footnote w:id="301">
    <w:p>
      <w:pPr>
        <w:pStyle w:val="Funote"/>
        <w:rPr/>
      </w:pPr>
      <w:r>
        <w:rPr>
          <w:rStyle w:val="Funotenzeichen"/>
        </w:rPr>
        <w:footnoteRef/>
      </w:r>
      <w:r>
        <w:rPr/>
        <w:tab/>
        <w:t>sein Herz wurde fröhlich - heb. Idiom, dass sowohl bedeuten kann, dass Boas (vom Weingenuß) „betrunken wurde“ (s. z.B. 1 Sam 25,36) als auch nur, dass er „gut gelaunt“ war (s. z.B. 1 Kön 8,66). Da es hier als direkte Folge des Essens und Trinkens genannt wird und wegen der Bezüge des Kapitels zu Gen 19,30-38 hätte ein hebräischer Leser zunächst sicher an ersteres gedacht, was vom Autor auch sicher so intendiert war. Doch der folgende Text zeigt dann: Selbst, wenn Boas gegen Abend etwas angeheitert gewesen sein sollte - um Mitternacht war er wieder stocknüchtern.</w:t>
      </w:r>
    </w:p>
  </w:footnote>
  <w:footnote w:id="302">
    <w:p>
      <w:pPr>
        <w:pStyle w:val="Funote"/>
        <w:rPr/>
      </w:pPr>
      <w:r>
        <w:rPr>
          <w:rStyle w:val="Funotenzeichen"/>
        </w:rPr>
        <w:footnoteRef/>
      </w:r>
      <w:r>
        <w:rPr/>
        <w:tab/>
        <w:t>zu entblößte seine Beine s. FN l zu V. 4.</w:t>
      </w:r>
    </w:p>
  </w:footnote>
  <w:footnote w:id="303">
    <w:p>
      <w:pPr>
        <w:pStyle w:val="Funote"/>
        <w:rPr/>
      </w:pPr>
      <w:r>
        <w:rPr>
          <w:rStyle w:val="Funotenzeichen"/>
        </w:rPr>
        <w:footnoteRef/>
      </w:r>
      <w:r>
        <w:rPr/>
        <w:tab/>
        <w:t>zitterte - Der Grund für dieses Zittern wird nicht genannt und hat daher zu einigen Spekulationen geführt. Durchaus die wahrscheinlichste Erklärung ist, dass Boas ob seiner aufgedeckten Beine vor Kälte erzittert und daher aufwacht (so auch die meisten). Frevel 1992, S. 98f., Sasson 1979, S. 75-78 und Zenger 1986, S. 70f dagegen glauben aus unerfindlichen Gründen, Boas sei davon überzeugt, die Dämonin Lilith habe sich an seine Beine geschmiegt (richtig Landy 1994, S. 290f: Selbst, wenn es für diese Dämonentheorie Indizien gäbe - warum denn ausgerechnet Lilith, die in der Bibel nur einmal möglicherweise erwähnt wird?).</w:t>
      </w:r>
    </w:p>
  </w:footnote>
  <w:footnote w:id="304">
    <w:p>
      <w:pPr>
        <w:pStyle w:val="Funote"/>
        <w:rPr/>
      </w:pPr>
      <w:r>
        <w:rPr>
          <w:rStyle w:val="Funotenzeichen"/>
        </w:rPr>
        <w:footnoteRef/>
      </w:r>
      <w:r>
        <w:rPr/>
        <w:tab/>
        <w:t>tastete [um sich] (sah sich um) - Heb. lpt; Bed. umstritten; am wahrscheinlichsten: „sich abtasten“.tFN: Seltenes Wort (sonst nur noch in Ri 16,29 und Ijob 6,18). Abzuleiten ist es entweder vom arabischen talaffata („das Gesicht nach jemands Seite drehen“) und hat die Bedeutung „sich wenden“, „sich umblicken“ (so z.B. Gray 1967, S. 418; Sasson 1979, S. 78-80; Zakovitch 1999, S. 141) oder vom akkadischen lapâtu („(an)fassen, greifen, schlagen“) und heißt dann hier: „sich betasten“ (so z.B. Campbell 1975, S. 122; Halton 2012, S. 32; Loretz 1964). Tg, Syr und VUL helfen wenig, da ihr „und er sah“ wohl nur eine freie Wiedergabe von „und siehe“ ist; RutR aber deutet sehr wahrscheinlich als „tasten“: „Und er jlpt d.i. Ruth umschlang ihn wie eine Hautflechte. Er fing an das Haar zu betassten. Geister, sprach er bei sich, haben keine Haare.“ (Üs. nach Wünsche 1883, S. 47), daher ist dies hier etwas wahrscheinlicher, bleibt aber sehr unsicher.</w:t>
      </w:r>
    </w:p>
  </w:footnote>
  <w:footnote w:id="305">
    <w:p>
      <w:pPr>
        <w:pStyle w:val="Funote"/>
        <w:rPr/>
      </w:pPr>
      <w:r>
        <w:rPr>
          <w:rStyle w:val="Funotenzeichen"/>
        </w:rPr>
        <w:footnoteRef/>
      </w:r>
      <w:r>
        <w:rPr/>
        <w:tab/>
        <w:t>deine Magd - Heb. ´amah, ein Synonym von schipchah (»Magd«) in Rut 2,13. Wie dort als Höflichkeitsstrategie verwendet (à la »Verehrter Herr: ich bin Rut« und entsprechend »daher breiten Sie doch bitte Ihren Gewandzipfel über mich«; s. FN ag); hier statt diesem verwendet, da ´amah im Unterschied zu schipchah auch für Ehefrauen verwendet werden kann (vgl. z.B. Fischer 2001, S. 210; Younger 1998, S. 127).</w:t>
      </w:r>
    </w:p>
  </w:footnote>
  <w:footnote w:id="306">
    <w:p>
      <w:pPr>
        <w:pStyle w:val="Funote"/>
        <w:rPr/>
      </w:pPr>
      <w:r>
        <w:rPr>
          <w:rStyle w:val="Funotenzeichen"/>
        </w:rPr>
        <w:footnoteRef/>
      </w:r>
      <w:r>
        <w:rPr/>
        <w:tab/>
        <w:t>deinen Gewandzipfel (deine Decke, deine Flügel) - zur Bed. der »Gewandzipfel« und zur Alternative »Decke« s. die nächste FN.Textkritik: Flügel - Ketiv, LXX, Syr, Tg, VUL haben den Singular »Gewandzipfel«; Qere und einige Mss aber haben das selbe Wort im Dual/Plural (»deine (beiden) Flügel«) - wohl nur eine nachträgliche Änderung, um »jegliche sexuelle Konnotation der Szene auszuschließen« (Zenger 1986, S. 68) oder eine nachträgliche Angleichung an Rut 2,12 (so z.B. Holmstedt 2010, S. 162).</w:t>
      </w:r>
    </w:p>
  </w:footnote>
  <w:footnote w:id="307">
    <w:p>
      <w:pPr>
        <w:pStyle w:val="Funote"/>
        <w:rPr/>
      </w:pPr>
      <w:r>
        <w:rPr>
          <w:rStyle w:val="Funotenzeichen"/>
        </w:rPr>
        <w:footnoteRef/>
      </w:r>
      <w:r>
        <w:rPr/>
        <w:tab/>
        <w:t>daher breite deinen Gewandzipfel (deine Decke, deine Flügel) über deine Magd, denn du bist Goel! - Der zentrale Satz in Rut 3. Entsprechend umstritten ist seine Bedeutung. Die verbreitetste und wahrscheinlichste Deutung ist diese: »Breite deinen Gewandzipfel über deine Magd« verweist auf den Brauch, als Symbol für die Ehe seinen Mantel über die Braut zu breiten (s. FN ae zu Rut 2,12); Rut macht also Boas einen Heiratsantrag. So deutet auch deutlich TgRut: »Mach, dass dein Name über deine Magd genannt werde, indem du mich zur Frau nimmst« (Üs. nach Levine 1973, S. 89). Als Verbtempus verwendet sie Weqatal (»Daher breite«) statt Yiqtol (»Breite«), um diesen Heiratsantrag logisch davon abhängig zu machen, dass sie Rut ist (vgl. Holmstedt 2010, S. 161f); und warum der Heiratsantrag logisch davon abhängen kann, dass sie Rut ist, wird im Nachsatz erläutert: »denn du bist Goel« - d.h. hier: »mein nächster Verwandter, der damit Goel-Rechte hat«. Vom Sinn her also: »Ich bin Rut - und weil das heißt, dass Sie mein Goel sind, bitte ich Sie hiermit um Ihre Hand.« Sehr gut übersetzen daher de Waard/Nida 1992, S. 52: »‚It's Ruth, sir‘, she answered. ‚[...] You are a close relative, [...] so please marry me.‘«. Für den zweiten Satz in der LF wohl besser nach HfA: »Breite dein Gewand über mich als Zeichen dafür, dass du mich heiraten wirst.« (ähnlich T4T)Zur Rechtsinstitution Goel s. die Anmerkungen zu Kap. 4; hier nur so viel: Eigentlich hat diese Institution nichts mit Heirat zu tun, daher ist nicht leicht verständlich, warum Rut erstens ihren Heiratsantrag davon abhängig machen kann, dass sie Rut ist, und zweitens damit begründen kann, dass Boas Goel ist. Eine Lösung dieser Schwierigkeit wird in den Anmerkungen zu Kapitel 4 angeboten werden, für einen alternativen Vorschlag s. Beattie 1978, S. 42f.</w:t>
      </w:r>
    </w:p>
  </w:footnote>
  <w:footnote w:id="308">
    <w:p>
      <w:pPr>
        <w:pStyle w:val="Funote"/>
        <w:rPr/>
      </w:pPr>
      <w:r>
        <w:rPr>
          <w:rStyle w:val="Funotenzeichen"/>
        </w:rPr>
        <w:footnoteRef/>
      </w:r>
      <w:r>
        <w:rPr/>
        <w:tab/>
        <w:t>Zu gesegnet [seist] du von JHWH vgl. FN aw zu Rut 2,20.</w:t>
      </w:r>
    </w:p>
  </w:footnote>
  <w:footnote w:id="309">
    <w:p>
      <w:pPr>
        <w:pStyle w:val="Funote"/>
        <w:rPr/>
      </w:pPr>
      <w:r>
        <w:rPr>
          <w:rStyle w:val="Funotenzeichen"/>
        </w:rPr>
        <w:footnoteRef/>
      </w:r>
      <w:r>
        <w:rPr/>
        <w:tab/>
        <w:t>nachlaufen hier wohl wie das deutsche »jmdn nachsteigen« i.S.v. »huren wollen«, s. Jer 2,25 (vgl. V. 24); Hos 2,7.15. TgRut macht das explizit: »Deine letzte gute Tat ist größer als die erste [...], indem du nicht jungen Männern hinterhergehurt hast; seien sie arm oder reich.« (Üs. nach Levine 1973, S. 90).</w:t>
      </w:r>
    </w:p>
  </w:footnote>
  <w:footnote w:id="310">
    <w:p>
      <w:pPr>
        <w:pStyle w:val="Funote"/>
        <w:rPr/>
      </w:pPr>
      <w:r>
        <w:rPr>
          <w:rStyle w:val="Funotenzeichen"/>
        </w:rPr>
        <w:footnoteRef/>
      </w:r>
      <w:r>
        <w:rPr/>
        <w:tab/>
        <w:t>Schwieriger Vers, weil er nicht explizit zu machen scheint, worin die »spätere« und worin die »vorige Güte« besteht, und man daher anscheinend aus dem Text erschließen muss, worauf sie sich beziehen. Die häufigste Deutung ist diese: Die »spätere Güte« ist Ruts Heiratsantrag, den sie trotz Boas Alter und unabhängig davon, ob er vermögend ist oder nicht, geäußert hat - sondern nur deshalb, weil sie ihn für ihren Goel hält. Und die »vorige Güte« ist dann wahrscheinlich, dass Rut nicht nach Moab zurückgekehrt, sondern mit Noomi nach Jerusalem gekommen ist - immerhin hat Boas sie dafür schon einmal gelobt (Rut 2,11; vgl. z.B. gut de Waard/Nida 1992, S. 53; Zakovitch 1999, S. 142).Wahrscheinlich aber besser so: »Nicht den jungen Männern nachgestiegen zu sein« spezifiziert nicht das »deine spätere Güte hast du besser getan«, sondern das direkt davor stehende »die vorige«: »[Rut hält um die Hand des Boas an] - [Diese] deine spätere gute Tat (=dass du um meine Hand angehalten hast) ist noch besser als die vorige gute Tat, [die darin besteht], dass du nicht den jungen Männern nachgestiegen bist.« Diese Interpretation passt besser zum Text des Verses, entbindet von der Notwendigkeit, über die Referenz der »vorigen Güte« spekulieren zu müssen und passt gut in den Kontext des gesamten Kapitels (s. Anmerkungen, Abschnitt 3).</w:t>
      </w:r>
    </w:p>
  </w:footnote>
  <w:footnote w:id="311">
    <w:p>
      <w:pPr>
        <w:pStyle w:val="Funote"/>
        <w:rPr/>
      </w:pPr>
      <w:r>
        <w:rPr>
          <w:rStyle w:val="Funotenzeichen"/>
        </w:rPr>
        <w:footnoteRef/>
      </w:r>
      <w:r>
        <w:rPr/>
        <w:tab/>
        <w:t>Zum Tor als Ausdruck für »Volk«, »öffentliche Ansicht« vgl. bes. Speiser 1956, S. 21). So auch die LXX, VL, Syr (»mein Stamm«); VUL (»das ganze Volk...«). Viele Üss. daher gut: »Jeder in der Stadt«.</w:t>
      </w:r>
    </w:p>
  </w:footnote>
  <w:footnote w:id="312">
    <w:p>
      <w:pPr>
        <w:pStyle w:val="Funote"/>
        <w:rPr/>
      </w:pPr>
      <w:r>
        <w:rPr>
          <w:rStyle w:val="Funotenzeichen"/>
        </w:rPr>
        <w:footnoteRef/>
      </w:r>
      <w:r>
        <w:rPr/>
        <w:tab/>
        <w:t>fähige Frau - das selbe Wort wie in Rut 2,1 (»mächtiger, fähiger Mann«). Der Ausdruck »fähige Frau« findet sich sonst nur noch in Spr 12,4 und in Spr 31,10-31, wo ein Tugendkatalog der idealen Frau aufgelistet wird - ein weiteres Indiz dafür, dass »mächtiger, fähiger Man« in Rut 2,1 nur soviel wie »mächtig starker Typ« und entsprechend hier »fähige Frau« soviel wie »tolle Frau« bedeuten (s. FN b zu 2,1). Rut und Boas sind damit nicht nur jeweils »ideale Menschen«, sondern auch das »ideale Paar« (Zenger 1986, S. 73).&lt;!--Üss: de Waard/Nida, S. 54: fine;</w:t>
      </w:r>
    </w:p>
  </w:footnote>
  <w:footnote w:id="313">
    <w:p>
      <w:pPr>
        <w:pStyle w:val="Funote"/>
        <w:rPr/>
      </w:pPr>
      <w:r>
        <w:rPr>
          <w:rStyle w:val="Funotenzeichen"/>
        </w:rPr>
        <w:footnoteRef/>
      </w:r>
      <w:r>
        <w:rPr/>
        <w:tab/>
        <w:t>tFN: Nun denn... - Ach, [wäre das] wahr! Ach, wenn ich doch Löser [wäre]! Jedoch - Meist übersetzt à la »In der Tat ist es wahr, dass ich Löser bin, aber zusätzlich...«. Aber erstens galt im Alten Israel nur der nächste Verwandte als Löser - es machte hier also keinen Sinn, wenn Boas sagte, er sei Löser, obwohl es »zusätzlich einen [weiteren] Löser« gibt -, zweitens ist man für diese Übersetzung gezwungen, Worte aus dem Text zu streichen (s.u.)(1)Besser daher: Die beiden ki sind emphatisch (»Ach!«; vgl. z.B. Sasson 1978, S. 57), das omnam ist ein verbloser Wunschsatz (»[wäre das] wahr!«) und das ´im hat hier die Bedeutung »wenn doch...!« (vgl. Ges18, S. 70). Diese Deutung als aufgewühlter Ausruf würde dann auch die Wortfülle erklären (Campbell 1975, S. 125: »Das Hebräische ist schwierig, es gibt einfach zu viele einleitende Wörter.«), die z.B. Landy 1994, S. 308f dazu gebracht hat, den Satz als das »rhetorische Äquivalent eines Räusperns« zu deuten: »Nun ja... Ja... - das stimmt schon... Jaja, ich bin Löser...«. Das einleitende wä`attah (»Nun denn«) muss dann wohl so gedeutet werden, dass Boas nun der Rut gemäß der Vorhersage Noomis in V. 4 mitteilen will, wie weiter vorzugehen ist, als ihm plötzlich das Hindernis einfällt: Er ist gar nicht der Löser, denn es gibt da einen, der Rut und Noomi noch näher verwandt ist (Zakovitch 1999, S. 144: »Im Nachdenken kommen Boas Zweifel, ob er Ruts Bitte überhaupt erfüllen kann, denn nun besinnt er sich auf die rechtliche Problematik [...].)«!(2)Ähnlich argumentieren auch Staples 1937, S. 64f. und Meek 1960, S. 332-334, die stattdessen dass ´im als verneinendes ´im auffassen, was sprachlich möglich, aber nicht sehr naheliegend wäre: »[Es ist] tatsächlich wahr, dass ich nicht Löser bin, sondern...«(3) Streicht man ´im (so z.B. Holmstedt 2010, S. 166; so auch schon die Masoreten), könnte man auch übersetzen: »[Es ist] tatsächlich wahr, dass ich Löser bin, aber zusätzlich...«(4) Und streicht man dann auch noch das ki (so z.B. BHQ), wäre auch möglich: »In der Tat [ist das] wahr, [doch] obwohl ich Löser bin, gibt es zusätzlich...«</w:t>
      </w:r>
    </w:p>
  </w:footnote>
  <w:footnote w:id="314">
    <w:p>
      <w:pPr>
        <w:pStyle w:val="Funote"/>
        <w:rPr/>
      </w:pPr>
      <w:r>
        <w:rPr>
          <w:rStyle w:val="Funotenzeichen"/>
        </w:rPr>
        <w:footnoteRef/>
      </w:r>
      <w:r>
        <w:rPr/>
        <w:tab/>
        <w:t>Zu den Gründen gegen es gibt einen näheren Löser als mich s. die vorige FN.</w:t>
      </w:r>
    </w:p>
  </w:footnote>
  <w:footnote w:id="315">
    <w:p>
      <w:pPr>
        <w:pStyle w:val="Funote"/>
        <w:rPr/>
      </w:pPr>
      <w:r>
        <w:rPr>
          <w:rStyle w:val="Funotenzeichen"/>
        </w:rPr>
        <w:footnoteRef/>
      </w:r>
      <w:r>
        <w:rPr/>
        <w:tab/>
        <w:t>wenn er dich am Morgen lösen wird - W.: »Und es wird sein am Morgen: Wenn er dich lösen wird...«: wähajah (»und es wird sein«) hier wie oft nur zur Markierung einer Zeitangabe.</w:t>
      </w:r>
    </w:p>
  </w:footnote>
  <w:footnote w:id="316">
    <w:p>
      <w:pPr>
        <w:pStyle w:val="Funote"/>
        <w:rPr/>
      </w:pPr>
      <w:r>
        <w:rPr>
          <w:rStyle w:val="Funotenzeichen"/>
        </w:rPr>
        <w:footnoteRef/>
      </w:r>
      <w:r>
        <w:rPr/>
        <w:tab/>
        <w:t>[so wahr] JHWH lebt - Häufige Schwurformel. Entspr. im Dt. eher »das schwöre ich bei Gott«.</w:t>
      </w:r>
    </w:p>
  </w:footnote>
  <w:footnote w:id="317">
    <w:p>
      <w:pPr>
        <w:pStyle w:val="Funote"/>
        <w:rPr/>
      </w:pPr>
      <w:r>
        <w:rPr>
          <w:rStyle w:val="Funotenzeichen"/>
        </w:rPr>
        <w:footnoteRef/>
      </w:r>
      <w:r>
        <w:rPr/>
        <w:tab/>
        <w:t>Textkritik: [an] seinem Bein - so Ketiv, doch das macht keinen Sinn und ist sicher ein Schreibfehler.</w:t>
      </w:r>
    </w:p>
  </w:footnote>
  <w:footnote w:id="318">
    <w:p>
      <w:pPr>
        <w:pStyle w:val="Funote"/>
        <w:rPr/>
      </w:pPr>
      <w:r>
        <w:rPr>
          <w:rStyle w:val="Funotenzeichen"/>
        </w:rPr>
        <w:footnoteRef/>
      </w:r>
      <w:r>
        <w:rPr/>
        <w:tab/>
        <w:t>bevor ein Mann seinen Nächsten (bevor man einander, bevor einer den andern) - Begriffe wie ´isch („Mann“) und re`a („Nächster“) werden im Heb. häufig nicht in ihrem wörtl. Sinn verwendet, sondern wie unbestimmte Pronomen. „Ein Mann tut seinem Nächsten X“ ist daher eine typische heb. Konstruktion, um unbestimmte reziproke Handlungen auszudrücken: „Man tut einander X“ (vgl. bes. Bar-Asher 2014, S. 352f). Richtig daher z.B. GN: „bevor ein Mensch den andern erkennen konnte“; H-R: „...man einander...“; NeÜ: „...einer den andern...“ (so viele Üss).</w:t>
      </w:r>
    </w:p>
  </w:footnote>
  <w:footnote w:id="319">
    <w:p>
      <w:pPr>
        <w:pStyle w:val="Funote"/>
        <w:rPr/>
      </w:pPr>
      <w:r>
        <w:rPr>
          <w:rStyle w:val="Funotenzeichen"/>
        </w:rPr>
        <w:footnoteRef/>
      </w:r>
      <w:r>
        <w:rPr/>
        <w:tab/>
        <w:t>Er sagte [sich] (V. 14) + [Daher] (V. 15) - Nicht: „[denn] er sagte sich“: Das Verb steht im Wayyiqtol und kann daher keinen unmarkierten Kausalsatz regieren. Boas´ besorgte Gedanken werden hier also offenbar nicht als Grund für das frühe Erwachen genannt, sondern als Motivation der folgenden Getreidespende. Gut Köhlmoos 2010, S. 67: „Im Kontext der vorigen Sätze muss diese Gabe dazu dienen, Ruth weiterhin unerkannt zu lassen. Mit einem Sack von 40 kg auf dem Rücken könnte ein zufällig Vorüberkommender Ruth für eine Arbeiterin (oder einen Arbeiter) halten, die abtransportiert, was Boas geworfelt hat.“ Daher auch besser Einfügung eines „daher“ zu Beginn v. V. 15.</w:t>
      </w:r>
    </w:p>
  </w:footnote>
  <w:footnote w:id="320">
    <w:p>
      <w:pPr>
        <w:pStyle w:val="Funote"/>
        <w:rPr/>
      </w:pPr>
      <w:r>
        <w:rPr>
          <w:rStyle w:val="Funotenzeichen"/>
        </w:rPr>
        <w:footnoteRef/>
      </w:r>
      <w:r>
        <w:rPr/>
        <w:tab/>
        <w:t>halte ihn [gut fest] + sie hielt ihn [fest] + er lud ihn ihr auf soll wohl v.a. ausdrücklich machen, wie schwer der Mantel nach seiner Befüllung mit Gerste ist. Sehr gut daher Campbell 1975, S. 116: »Get a good hold on it!« + »She held it firmly.«</w:t>
      </w:r>
    </w:p>
  </w:footnote>
  <w:footnote w:id="321">
    <w:p>
      <w:pPr>
        <w:pStyle w:val="Funote"/>
        <w:rPr/>
      </w:pPr>
      <w:r>
        <w:rPr>
          <w:rStyle w:val="Funotenzeichen"/>
        </w:rPr>
        <w:footnoteRef/>
      </w:r>
      <w:r>
        <w:rPr/>
        <w:tab/>
        <w:t>sechs der Gerste - hier fehlt eine Maßangabe, was bes. auffällig ist, da extra das Verb „abmessen“ verwendet wird. Durch Ausschlussverfahren (geht man beim Efa - wie in Rut 2,17, s. FN ar - vom Gewicht von 6-12 kg aus, ergäben sechs Efa 36-70 kg, was Rut zwar tragen, aber sicher nicht in einem Kleidungsstück transportieren können hätte. Auch das Omer scheidet aus, da „Omer“ maskulin, hier „sechs“ aber feminin ist) ist das Sea wahrscheinlich: Ein Sea entspricht dem Drittel eines Efas, also 2-4 kg - mal sechs ergäbe 12-24 kg (so auch wieder Schmidt 2014, S. 15, so schon TgRut). Übersetze daher am Besten entspr. Rut 2,17: „über 10 kg“.</w:t>
      </w:r>
    </w:p>
  </w:footnote>
  <w:footnote w:id="322">
    <w:p>
      <w:pPr>
        <w:pStyle w:val="Funote"/>
        <w:rPr/>
      </w:pPr>
      <w:r>
        <w:rPr>
          <w:rStyle w:val="Funotenzeichen"/>
        </w:rPr>
        <w:footnoteRef/>
      </w:r>
      <w:r>
        <w:rPr/>
        <w:tab/>
        <w:t>Textkritik: er kam zur Stadt (sie kam zur Stadt) - in der Überlieferung finden sich beide Versionen. Die besseren hebräischen Mss, die meisten LXX-Mss, TgRut und RutR haben Boas als Subjekt, einige hebräische und griechische Mss, Syr, VUL dagegen Rut. Die ursprüngliche Variante ist daher nicht mehr sicher zu erschließen; da zweimaliges, direkt aufeinander folgendes „sie kam“ mit dem selben Subjekt aber unnatürlich wäre, sollte man sich doch für die Boas-Variante entscheiden (vgl. z.B. Barthélemy 1982, S. 133; BHQ).</w:t>
      </w:r>
    </w:p>
  </w:footnote>
  <w:footnote w:id="323">
    <w:p>
      <w:pPr>
        <w:pStyle w:val="Funote"/>
        <w:rPr/>
      </w:pPr>
      <w:r>
        <w:rPr>
          <w:rStyle w:val="Funotenzeichen"/>
        </w:rPr>
        <w:footnoteRef/>
      </w:r>
      <w:r>
        <w:rPr/>
        <w:tab/>
        <w:t xml:space="preserve">Wie ist es gelaufen, meine Tochter? (Als was/Wie/Was [bist] du, meine Tochter?, Wer bist du - meine Tochter?) - Merkwürdige Frage: W. übersetzt scheint es heißen zu müssen: „Wer bist du, meine Tochter?“ - was keinen Sinn macht, da das „meine Tochter“ dann ja zeigt, dass Noomi durchaus weiß, mit wem sie da redet. In der Regel wird die Schwierigkeit damit behoben, indem man (1) entweder das „Wer“ als Akkusativ des Zustands deutet („Als wer bist du, meine Tochter?“, so z.B. Rudolph 1962, S. 57), (2) dem Wort nach dem Ugaritischen die Bedeutung „Wie“ („Wie [bist] du, meine Tochter?“, so z.B. Gray 1967, S. 120) oder (3) die Bedeutung „Was“ zuspricht („Was bist du, meine Tochter?“, so z.B. Zakovitch 1999, S. 148). (1)-(3) soll dann jeweils bedeuten: „Wie stehen die Dinge?“Anm. d. Üs. (S.W.): Ich bin sehr skeptisch. Vgl. zunächst Gen 27,18: „Wer bist du, mein Sohn?“ - Die Frage ist klar eine nach der Identität des Befragten, da Jakob anwortet: „Ich bin Esau, dein Erstgeborener“. So ist die Frage auch an allen anderen Stellen zu verstehen (s. Jos 9,8; 1 Sam 26,14; 2 Sam 1,8; 2 Kön 10,13; Jes 51,12; Sach 4,7; Rut 3,9 (!)). Schon rein statistisch scheint es mir also unwahrscheinlich, dass sie hier eine andere als diese Bedeutung haben sollte. Dazu kommt, dass die i.d.R. angeführten Belegstellen alles andere als eindeutig sind: Zu Ri 13,17 („Wer ist dein Name“) s. Esra 5,4 und vgl. Joüon 1920, S. 365; IBHS §18.2d u.ö.: Der „Name“ steht hier - wie oft - für die Person selbst und wird daher mit „Wer“ konstruiert: „Wer ist dein Name?“ = „Wer bist du?“. Mi 1,5 fragt klar nach einem „Wem“, wie aus den antwortenden rhetorischen Fragen ersichtlich ist: „Wer ist der Frevel Jakobs? - Ist das nicht Samarien? Und wer sind die Höhen Judas? - Ist das nicht Jerusalem?“ Am 7,2.5 schließlich ist die Textüberlieferung unsicher: „Wer [d.h. - angeblich: Wie] kann Jakob bestehen - ist es doch so klein!?“ Aber dort wie hier hat keine einzige Version diese angebliche Bedeutung von mi („wer“) erkannt: LXX, Syr, VUL und auch einige heb. Mss setzen statt </w:t>
      </w:r>
      <w:r>
        <w:rPr>
          <w:rtl w:val="true"/>
          <w:lang w:bidi="he-IL"/>
        </w:rPr>
        <w:t>מי יקום</w:t>
      </w:r>
      <w:r>
        <w:rPr/>
        <w:t xml:space="preserve"> </w:t>
      </w:r>
      <w:r>
        <w:rPr/>
        <w:t xml:space="preserve">(mi jaqum, „wer kann bestehen“) den Text </w:t>
      </w:r>
      <w:r>
        <w:rPr>
          <w:rtl w:val="true"/>
          <w:lang w:bidi="he-IL"/>
        </w:rPr>
        <w:t>מי יקים</w:t>
      </w:r>
      <w:r>
        <w:rPr/>
        <w:t xml:space="preserve"> </w:t>
      </w:r>
      <w:r>
        <w:rPr/>
        <w:t>(mi jaqim, „wer könnte aufrichten“) voraus: „Wer könnte Jakob [wieder] aufrichten - ist es doch so klein!?“ (und impliziert ist natürlich: „Wer könnte Jakob aufrichten, wenn nicht du, Gott“ - worauf Gott sich jeweils Jakobs erbarmt, s. Vv. 3.6). Ähnlich ist hier die textkritische Lage: Syr übersetzt wie üblich: „Wer bist du?“ und ergänzt sogar eine Antwort: „Ich bin Rut“. Einige LXX-Mss streichen einfach die Frage. Andere LXX-Mss haben ebenfalls „Wer bist du“; wieder andere und dann VL haben „Was bist du“, was aber wohl weniger mit einer sonst unbelegten Bedeutung des heb. mi erklärt werden sollte, sondern mit einer alternativen Texttradition, die sich auch im Qumrantext 2Q 16,2 findet: mah attah („Was [bist] du?“) und wohin z.B. Ehrlich 1914, S. 27 schon MT emendieren wollte. (Zu mah attah hier, in Ri 18,8 und im ugaritschen KRT A, i.38 vgl. Ginsberg 1946, S. 35: „Was ist mit dir?, Wie steht es mit dir?“). Wohl hiervon ausgehend VUL: „Was tust du?“. Bei dieser textkritischen Lage aus Am 7,2.5 und unserer Stelle eine sonst ungebräuchliche Verwendung von mi abzuleiten, ist meines Erachtens nicht zulässig; akzeptabler als die obigen drei Erklärungen scheinen mir daher die folgenden Auflösungen zu sein: Gen 27,18: „Wer bist du? Mein Sohn?“ - worauf Jakob antwortet: „Ich bin Esau, dein Erstgeborener“, d.h.: „Ja, ich bin dein erstgeborener Sohn Esau“ (vgl. FN i zu Rut 2,2). Und hier: „Wer bist du? Meine Tochter?“ (so auch CJB), d.h. „Bist du noch meine Tochter [oder hatte mein Plan Erfolg und du bist nunmehr nicht mehr Machlons Frau, sondern die des Boas, und damit nicht mehr Teil meiner Familie]?“ Ähnlich schon RutR: „Kannte denn Noomi die Ruth nicht schon? Gewiss, allein sie wollte durch ihre Frage andeuten: Bist du noch ledig oder das Weib eines Mannes?“ (Üs. nach Wünsche 1883, S. 52).</w:t>
      </w:r>
    </w:p>
  </w:footnote>
  <w:footnote w:id="324">
    <w:p>
      <w:pPr>
        <w:pStyle w:val="Funote"/>
        <w:rPr/>
      </w:pPr>
      <w:r>
        <w:rPr>
          <w:rStyle w:val="Funotenzeichen"/>
        </w:rPr>
        <w:footnoteRef/>
      </w:r>
      <w:r>
        <w:rPr/>
        <w:tab/>
        <w:t>Dass eine derartige Aussage des Boas im Vorfeld nicht berichtet wurde, ist unproblematisch - es entspricht dem hebräischem Erzählstil, wiederzugebende Äußerungen erst bei der Wiedergabe explizit zu machen. S. nur das Jonabuch, wo erst im dritten Kapitel offenbar wird, welche Prophezeiung Gott dem Jona eigentlich aufgetragen hat.</w:t>
      </w:r>
    </w:p>
  </w:footnote>
  <w:footnote w:id="325">
    <w:p>
      <w:pPr>
        <w:pStyle w:val="Funote"/>
        <w:rPr/>
      </w:pPr>
      <w:r>
        <w:rPr>
          <w:rStyle w:val="Funotenzeichen"/>
        </w:rPr>
        <w:footnoteRef/>
      </w:r>
      <w:r>
        <w:rPr/>
        <w:tab/>
        <w:t>[Wie etwa im hethitischen Recht, wo die die Abfolge der Schwagerehen-berechtigten ist: Bruder =&gt; Vater =&gt; Onkel (s. Hethitisches Gesetz §193).]</w:t>
      </w:r>
    </w:p>
  </w:footnote>
  <w:footnote w:id="326">
    <w:p>
      <w:pPr>
        <w:pStyle w:val="Funote"/>
        <w:rPr/>
      </w:pPr>
      <w:r>
        <w:rPr>
          <w:rStyle w:val="Funotenzeichen"/>
        </w:rPr>
        <w:footnoteRef/>
      </w:r>
      <w:r>
        <w:rPr/>
        <w:tab/>
        <w:t>[Status: Zuverlässig]</w:t>
      </w:r>
    </w:p>
  </w:footnote>
  <w:footnote w:id="327">
    <w:p>
      <w:pPr>
        <w:pStyle w:val="Funote"/>
        <w:rPr/>
      </w:pPr>
      <w:r>
        <w:rPr>
          <w:rStyle w:val="Funotenzeichen"/>
        </w:rPr>
        <w:footnoteRef/>
      </w:r>
      <w:r>
        <w:rPr/>
        <w:tab/>
        <w:t>ins Tor - Mit dem „Tor“ ist in biblischen Texten nicht nur die Tür gemeint, die das Innere einer Stadt vom Äußeren einer Stadt abgrenzt, sondern ein größerer Platz, der im Alten Israel die selbe Funktion hatte wie z.B. die griechische Agora: Ein Versammlungsplatz, auf dem Handel getrieben wurde, auf dem die städtische Selbstverwaltung „tagte“ und wo - bes. wichtig für unsere Stelle - v.a. auch Recht gesprochen wurde. Das kleine Dorf Betlehem hatte wahrscheinlich überhaupt keine Tore; dass „Boas zum Tor geht“, ist wohl eine Anspielung auf Dtn 25,7.</w:t>
      </w:r>
    </w:p>
  </w:footnote>
  <w:footnote w:id="328">
    <w:p>
      <w:pPr>
        <w:pStyle w:val="Funote"/>
        <w:rPr/>
      </w:pPr>
      <w:r>
        <w:rPr>
          <w:rStyle w:val="Funotenzeichen"/>
        </w:rPr>
        <w:footnoteRef/>
      </w:r>
      <w:r>
        <w:rPr/>
        <w:tab/>
        <w:t>siehe da! - Wie in Rut 2,4 (s. FN m) drückt auch hier das „siehe da!“ aus, dass überraschenderweise genau das richtige passiert. Gut daher OEB: „Just then the [Löser] came along“; „Und zufällig kam just in diesem Moment auch der Löser vorbei...“</w:t>
      </w:r>
    </w:p>
  </w:footnote>
  <w:footnote w:id="329">
    <w:p>
      <w:pPr>
        <w:pStyle w:val="Funote"/>
        <w:rPr/>
      </w:pPr>
      <w:r>
        <w:rPr>
          <w:rStyle w:val="Funotenzeichen"/>
        </w:rPr>
        <w:footnoteRef/>
      </w:r>
      <w:r>
        <w:rPr/>
        <w:tab/>
        <w:t>Löser - Zum „Löser“ s. die Anmerkungen.</w:t>
      </w:r>
    </w:p>
  </w:footnote>
  <w:footnote w:id="330">
    <w:p>
      <w:pPr>
        <w:pStyle w:val="Funote"/>
        <w:rPr/>
      </w:pPr>
      <w:r>
        <w:rPr>
          <w:rStyle w:val="Funotenzeichen"/>
        </w:rPr>
        <w:footnoteRef/>
      </w:r>
      <w:r>
        <w:rPr/>
        <w:tab/>
        <w:t>Bieg ab - nämlich auf die Seite zu den auf dem Torplatz stehenden Bänken. Die meisten Üss. übersetzen sinnvoll: »Komm her!«; am besten EÜ, HfA, NL: »Komm herüber!«</w:t>
      </w:r>
    </w:p>
  </w:footnote>
  <w:footnote w:id="331">
    <w:p>
      <w:pPr>
        <w:pStyle w:val="Funote"/>
        <w:rPr/>
      </w:pPr>
      <w:r>
        <w:rPr>
          <w:rStyle w:val="Funotenzeichen"/>
        </w:rPr>
        <w:footnoteRef/>
      </w:r>
      <w:r>
        <w:rPr/>
        <w:tab/>
        <w:t>irgendwo hin (hier hin, Soundso) - Umstrittener Ausdruck. In der LF sollte er am Besten mit HfA, NL u.a. Üss. ausgespart werden, da er sich nicht wirklich erklären lässt.W. etwa „bestimmt stumm“. Der Ausdruck findet sich sonst nur noch zweimal in der Bibel und steht dort für einen nicht näher spezifizierten Ort (s. 1 Sam 21,3; 2 Kön 6,8). Vergleichbar ist eine Passage im ägyptischen Archivdokument 17.2, wo in einem Streitgespräch zweier Schreiber der erste den zweiten mit „du leerer, sinnloser Name!“ beschimpft und der zweite Schreiber den ersten mit „Du Wer-ist-es“ beleidigt. Schon LXX, und VL verstanden entsprechend auch hier das peloni almoni („irgendwo / Soundso“) als Bezeichnung des Lösers und übersetzen ho deina („der So-und-So“, so einige LXX-Mss), kruphie („du Verborgener“, so andere LXX-Mss) oder quicumque es („wer auch immer du bist“, VL). Dem folgend wird dann auch hier in allen modernen Kommentaren und Übersetzungen das peloni almoni so verstanden, dass damit der Löser bezeichnet, sein Name aber aus irgendeinem Grund verschwiegen werden solle: „Der und der“, „So-und-so“; „Herr Dingsbums“ (Hajek 1962, S. 77), „mein Lieber“ (diese häufige Übersetzung soll eine freie Übersetzung dieses „So-und-so“ sein, die schwerlich zu rechtfertigen ist). Der Grund dafür ist dann ganz rätselhaft; warum er den Löser gleich zur Eröffnung des Gesprächs beleidigen sollte, ist nicht einzusehen. Man hat also nach anderen Erklärungen zu suchen.Knight/Levine 2011, S. 115 und Sasson 2012, S. 255f. haben daher kürzlich geleitet von 1 Sam 21,3; 2 Kön 6,8 vorgeschlagen, dass man auch hier den Ausdruck besser als Ortsbezeichnung verstehen und daher besser mit „hier irgendwo“ übersetzen solle; in Ermangelung eines anderen Vorschlags haben wir dies als Primärübersetzung angegeben.</w:t>
      </w:r>
    </w:p>
  </w:footnote>
  <w:footnote w:id="332">
    <w:p>
      <w:pPr>
        <w:pStyle w:val="Funote"/>
        <w:rPr/>
      </w:pPr>
      <w:r>
        <w:rPr>
          <w:rStyle w:val="Funotenzeichen"/>
        </w:rPr>
        <w:footnoteRef/>
      </w:r>
      <w:r>
        <w:rPr/>
        <w:tab/>
        <w:t>zehn Männer von den Ältesten der Stadt - gemeint sind nicht die ältesten Bürger der Stadt, sondern Familienoberhäupter, die im Alten Israel in derartigen Fällen als eine Art Schöffen fungierten. „Die Zehnzahl ist symbolisch zu verstehen, zumindest gibt es keine Bestimmungen in den Gesetzen des AT, die vorschreiben würden, daß ein Gericht mit genau 10 Ältesten besetzt sein muß. Die Zehnzahl unterstreicht vielmehr die Vollständigkeit des Gerichts am Tor. Boas Vorgehen ist ‚lupenrein‘ und ohne ‚Verfahrensfehler‘ [...].“ (Frevel 1992, S. 129).</w:t>
      </w:r>
    </w:p>
  </w:footnote>
  <w:footnote w:id="333">
    <w:p>
      <w:pPr>
        <w:pStyle w:val="Funote"/>
        <w:rPr/>
      </w:pPr>
      <w:r>
        <w:rPr>
          <w:rStyle w:val="Funotenzeichen"/>
        </w:rPr>
        <w:footnoteRef/>
      </w:r>
      <w:r>
        <w:rPr/>
        <w:tab/>
        <w:t>Feldstück - s. zum Begriff FN e zu Rut 2,2.</w:t>
      </w:r>
    </w:p>
  </w:footnote>
  <w:footnote w:id="334">
    <w:p>
      <w:pPr>
        <w:pStyle w:val="Funote"/>
        <w:rPr/>
      </w:pPr>
      <w:r>
        <w:rPr>
          <w:rStyle w:val="Funotenzeichen"/>
        </w:rPr>
        <w:footnoteRef/>
      </w:r>
      <w:r>
        <w:rPr/>
        <w:tab/>
        <w:t>Bruder - Hier im Sinne von »Verwandter«; dass gerade »Bruder« verwendet wird, ist wahrscheinlich eine Anspielung auf Dtn 25,5 (vgl. z.B. Fischer 2001, S. 158; Zakovitch 1999 S. 154).</w:t>
      </w:r>
    </w:p>
  </w:footnote>
  <w:footnote w:id="335">
    <w:p>
      <w:pPr>
        <w:pStyle w:val="Funote"/>
        <w:rPr/>
      </w:pPr>
      <w:r>
        <w:rPr>
          <w:rStyle w:val="Funotenzeichen"/>
        </w:rPr>
        <w:footnoteRef/>
      </w:r>
      <w:r>
        <w:rPr/>
        <w:tab/>
        <w:t>verkauft - »Verkaufen« trifft die Rechtslage nicht gut, denn Land war im Alten Israel eigentlich nur für eine begrenzte Zeit »verkäuflich« und würde dann wieder an die Familie zurückfallen, die es verkauft hat (vgl. z.B. Lipiński 1976, S. 126; ThWAT IV, S. 871). Strenggenommen müsste man hier mit »verpfänden« o.Ä. übersetzen, doch würde das die LF wohl nur unnötig verkomplizieren; auch fast alle neueren Üss. übersetzen daher mit »verkaufen«.</w:t>
      </w:r>
    </w:p>
  </w:footnote>
  <w:footnote w:id="336">
    <w:p>
      <w:pPr>
        <w:pStyle w:val="Funote"/>
        <w:rPr/>
      </w:pPr>
      <w:r>
        <w:rPr>
          <w:rStyle w:val="Funotenzeichen"/>
        </w:rPr>
        <w:footnoteRef/>
      </w:r>
      <w:r>
        <w:rPr/>
        <w:tab/>
        <w:t>{dem Gebiet von} (dem Feld von) - Zum Ausdruck s. FN e zu Rut 1,1.</w:t>
      </w:r>
    </w:p>
  </w:footnote>
  <w:footnote w:id="337">
    <w:p>
      <w:pPr>
        <w:pStyle w:val="Funote"/>
        <w:rPr/>
      </w:pPr>
      <w:r>
        <w:rPr>
          <w:rStyle w:val="Funotenzeichen"/>
        </w:rPr>
        <w:footnoteRef/>
      </w:r>
      <w:r>
        <w:rPr/>
        <w:tab/>
        <w:t>gesagt ([mir] gedacht) - Meist übersetzt als »Ich habe mir gedacht«; naheliegender aber: Frauen wurden im Alten Israel vor Gericht in der Regel durch Männer vertreten; Boas - der ja ganz offensichtlich im Namen von Noomi handelt - gibt also wohl hier kund, dass er ihr diese Rechtsvertretung zugesichert habe: »Ich habe ihr versprochen, dir folgendes zu Gehör zu bringen: ...«</w:t>
      </w:r>
    </w:p>
  </w:footnote>
  <w:footnote w:id="338">
    <w:p>
      <w:pPr>
        <w:pStyle w:val="Funote"/>
        <w:rPr/>
      </w:pPr>
      <w:r>
        <w:rPr>
          <w:rStyle w:val="Funotenzeichen"/>
        </w:rPr>
        <w:footnoteRef/>
      </w:r>
      <w:r>
        <w:rPr/>
        <w:tab/>
        <w:t>zu Gehör bringen - Heb. Idiom, s. z.B. 1 Sam 20,2.12f. Außer in Ijob 36,10.15 steht es stets für Privatmitteilungen: Was Boas hier verkünden will, ist speziell für die Ohren des Löser bestimmt, da eben dieser und kein anderer der Löser ist (s. Anmerkungen).</w:t>
      </w:r>
    </w:p>
  </w:footnote>
  <w:footnote w:id="339">
    <w:p>
      <w:pPr>
        <w:pStyle w:val="Funote"/>
        <w:rPr/>
      </w:pPr>
      <w:r>
        <w:rPr>
          <w:rStyle w:val="Funotenzeichen"/>
        </w:rPr>
        <w:footnoteRef/>
      </w:r>
      <w:r>
        <w:rPr/>
        <w:tab/>
        <w:t>der Sitzenden und der Ältesten meines Volkes - Wahrscheinlich entspr. der Interpretation von SLT zu verstehen: »In Gegenwart der hier sitzenden Bürger (die sich inzwischen neugierig am Verhandlungsort niedergelassen haben) und der Ältesten meines Volkes«.Genauer: Nach V. 2 müsste sich schon »die Sitzenden« auf die Ältesten beziehen; hier scheinen aber mit den »Sitzenden« und den »Ältesten« zwei us. Gruppen gemeint zu sein. Zakovitch 1999, S. 156 denkt daher, das »und« sei hier als ein sog. Waw explicativum zu verstehen und man müsste übersetzen: »in Gegenart der [hier] Sitzenden, nämlich in Gegenwart der Ältesten meines Volkes«, und Campbell 1975, S. 145 denkt, die »Sitzenden« meine die zehn Ältesten, die Boas sich in V. 2 »genommen« hat, die »Ältesten« dagegen sämtliche Älteste Bethlehems, die hier durch die zehn ausgewählten Ältesten repräsentiert seien. Diese sämtlichen Ältesten sind hier aber eben nicht anwesend und daher nicht gut mit dem »in Gegenart von« vereinbar und die Deutung als Waw explicativum ist wegen der Wiederholung des neged (»in Gegenwart von«) nicht gut möglich, daher meint »die Sitzenden« wohl das übrige Volk, das sich mittlerweile im Tor niedergelassen hat und das später noch in Aktion treten wird.</w:t>
      </w:r>
    </w:p>
  </w:footnote>
  <w:footnote w:id="340">
    <w:p>
      <w:pPr>
        <w:pStyle w:val="Funote"/>
        <w:rPr/>
      </w:pPr>
      <w:r>
        <w:rPr>
          <w:rStyle w:val="Funotenzeichen"/>
        </w:rPr>
        <w:footnoteRef/>
      </w:r>
      <w:r>
        <w:rPr/>
        <w:tab/>
        <w:t>wenn du lösen willst, dann löse - Der Nachsatz hat offenbar die Funktion, den »Kauf« des Lösers speziell als »Lösung« zu bestimmen, nämlich als pflichtgemäße Inanspruchnahme des Vorverkaufsrechts (s. die Anmerkungen). Einfacher also z.B. nach NL: »Wenn du das Land auslösen willst, dann kaufe es jetzt in der Gegenwart ... . Wenn du es jedoch nicht auslösen willst ...«</w:t>
      </w:r>
    </w:p>
  </w:footnote>
  <w:footnote w:id="341">
    <w:p>
      <w:pPr>
        <w:pStyle w:val="Funote"/>
        <w:rPr/>
      </w:pPr>
      <w:r>
        <w:rPr>
          <w:rStyle w:val="Funotenzeichen"/>
        </w:rPr>
        <w:footnoteRef/>
      </w:r>
      <w:r>
        <w:rPr/>
        <w:tab/>
        <w:t>Textkritik: Wenn aber niemand lösen will (wenn du aber nicht lösen willst) - Die besten Handschriften haben hier das Verb in der 3. Pers. Sg.: »Wenn er nicht lösen will«. Viele heb. Handschriften, LXX, VUL und Tg korrigieren daher zu 2. Pers. Sg. und dem folgen alle modernen Üss. und Kommentare: »Wenn du nicht lösen willst«. Wie aber die 3.-Pers.-Version als Schreibfehler entstanden sein sollte, ist nicht erklärlich und daher wahrscheinlich doch die ursprüngliche Version; BHQ belässt daher auch diese Version, die dann mit Niccacci 1995, S. 97 und schon Ibn Ezra als impersonale Konstruktion erklärt werden muss: »Wenn er nicht lösen will« = »Wenn niemand lösen will«.Diese Deutung ist sogar effektvoller: Die Lösung wird fast völlig in die Verantwortung des Lösers gestellt, »es gibt niemand außer ihm, der lösen könnte« (4b); die Alternative dazu, dass der Löser löst, ist also, dass »niemand löst« (4a). Die Formulierung schlägt offenbar in die selbe Kerbe, in die auch der Ausdruck »zu Gehör bringen« schlägt (s.o.): Es ist speziell der Löser, der hier in Verantwortung steht. Und erst ganz am Ende seiner langen Rede zeigt Boas eine weitere Alternative auf, die im heb. Text nur aus zwei Worten besteht: »Und-ich nach-dir«. Boas will den Löser anscheinend durch diese Formulierung geradezu zur Zusage »verführen«.</w:t>
      </w:r>
    </w:p>
  </w:footnote>
  <w:footnote w:id="342">
    <w:p>
      <w:pPr>
        <w:pStyle w:val="Funote"/>
        <w:rPr/>
      </w:pPr>
      <w:r>
        <w:rPr>
          <w:rStyle w:val="Funotenzeichen"/>
        </w:rPr>
        <w:footnoteRef/>
      </w:r>
      <w:r>
        <w:rPr/>
        <w:tab/>
        <w:t>kaufst - Dass nach der Primärübersetzung Rut anscheinend das Objekt eines »Kaufs« ist, ist unproblematisch; es ist dies ein bloß stilistisches Phänomen: Weil auch zuvor von »kaufen« die Rede ist, wird hier das »normalerweise« verwendete Verb (z.B.: »heiraten«) an das vorige Verb angeglichen (vgl. bes. Weiss 1964, S. 247f.; z.B. auch Campbell 1975, S. 147; Levine 1983, S. 101f.). Im Deutschen ist eine wörtliche Übersetzung nicht möglich. Am besten wohl wieder HfA: »Wenn du von Noomi das Grundstück erwirbst, musst du auch die Moabiterin Ruth heiraten.«</w:t>
      </w:r>
    </w:p>
  </w:footnote>
  <w:footnote w:id="343">
    <w:p>
      <w:pPr>
        <w:pStyle w:val="Funote"/>
        <w:rPr/>
      </w:pPr>
      <w:r>
        <w:rPr>
          <w:rStyle w:val="Funotenzeichen"/>
        </w:rPr>
        <w:footnoteRef/>
      </w:r>
      <w:r>
        <w:rPr/>
        <w:tab/>
        <w:t>kaufst du auch die (kaufe ich die, kaufst du es auch von der, kaufe ich es von der) Moabiterin Rut - Die schwierigste und umstrittenste Stelle im Rutbuch. Wahrscheinlich ist sie so zu verstehen: Aus irgendeinem Grund ist die »Lösung« von Elimelechs Feld rechtlich gekoppelt an die »Schwagerehe« des Lösenden mit Rut (zu beidem s. die Anmerkungen). Und unter diesen Umständen - s. den nächsten Vers - ist der Löser nicht mehr zur Lösung bereit.Genauer: Der heb. Text liegt in zwei Versionen vor: (1) »kaufe ich es von der Moabiterin Rut«, (2) »kaufst du es auch von der Moabiterin Rut«. Da beide Versionen mit »von« nicht viel Sinn zu machen scheinen, wird meist der Text ume´et (»(und) von«) geändert (=&gt; Textkritik) zu we´et oder gam et (»(auch) die«). U.U. ist für diese Deutung auch gar keine Textänderung nötig, vgl. z.B. Bush 1996, S. 217; Campbell 1975, S. 146; Korpel 2011, S. 2. Weitere mögliche Übersetzungen sind dann daher (3) »kaufe ich/habe ich die Moabiterin Rut gekauft« und (4) »kaufst du auch die Moabiterin Rut«. Das ergibt vier mögliche Übersetzungen; einen fünften Vorschlag hat Holmstedt 2010 gemacht: # »An dem Tag, an dem du das Feld von Noomi kaufst, kaufe ich es von der Moabiterin Rut, der Frau des Toten« # »An dem Tag, an dem du das Feld von Noomi kaufst, kaufst du es auch von der Moabiterin Rut, der Frau des Toten« # »An dem Tag, an dem du das Feld von Noomi kaufst, kaufe ich/habe ich gekauft die Moabiterin Rut, die Frau des Toten« # »An dem Tag, an dem du das Feld von Noomi kaufst, kaufst du auch die Moabiterin Rut, die Frau des Toten« # »An dem Tag, an dem du das Feld von Noomi und von der Moabiterin Rut kaufst, kaufe ich die Frau des Toten« (1) und (2) ergeben nicht viel Sinn, weshalb ja auch in der Regel der Text geändert wird. Holmstedt 2010 muss für Deutung (5) die Akzente des heb. Textes sowie die Tatsache, dass zwei unterschiedliche Präpositionen vor »Noomi« und »Rut« verwendet werden, ignorieren. Bleiben daher als ernstzunehmende Alternativen (3) und (4).Die rechtlichen Zusammenhänge erschließen sich uns nicht mehr vollständig (s. Anmerkungen), daher muss eine Argumentation zunächst einmal unabhängig von diesen Hintergründen laufen. Für (4) sprechen dann zwei Dinge: Erstens ist nur nach dieser Deutung die in Rut 3,13 erwähnte Option, der Löser könne Rut »lösen«, eine reale Option, die auch in Rut 4 eine Rolle spielt (so richtig Zenger 1986, S. 83). Und zweitens und wichtiger: In Rut 4 wird mehrfach deutlich die Textstelle Dtn 25,5-10 zitiert (s. FNn a.h.p), in der von der Verweigerung der Schwagerehe die Rede ist (dazu s. die Anmerkungen). Wenn hier aber der Löser gar nicht die Option hätte, die Schwagerehe mit Rut einzugehen, weil Boas Rut für sich beansprucht oder die Schwagerehe gar schon vollzogen hat, macht diese Zitation keinen Sinn. Der Text ist also sehr wahrscheinlich wie oben gesagt zu verstehen und es ist dies ohnehin die häufigste Übersetzung des Verses.</w:t>
      </w:r>
    </w:p>
  </w:footnote>
  <w:footnote w:id="344">
    <w:p>
      <w:pPr>
        <w:pStyle w:val="Funote"/>
        <w:rPr/>
      </w:pPr>
      <w:r>
        <w:rPr>
          <w:rStyle w:val="Funotenzeichen"/>
        </w:rPr>
        <w:footnoteRef/>
      </w:r>
      <w:r>
        <w:rPr/>
        <w:tab/>
        <w:t>um den Namen des Toten auf seinem Erbbesitz aufzurichten - Ein Zitat von Dtn 25,7; zu den Hintergründen s. die Anmerkungen. Eine sinngemäße Übersetzung wäre etwas wie „damit der Erbbesitz des Verstorbenen in seiner Familie bleibt“ (ähnlich HfA).</w:t>
      </w:r>
    </w:p>
  </w:footnote>
  <w:footnote w:id="345">
    <w:p>
      <w:pPr>
        <w:pStyle w:val="Funote"/>
        <w:rPr/>
      </w:pPr>
      <w:r>
        <w:rPr>
          <w:rStyle w:val="Funotenzeichen"/>
        </w:rPr>
        <w:footnoteRef/>
      </w:r>
      <w:r>
        <w:rPr/>
        <w:tab/>
        <w:t>tFN: {für mich} + {für dich} - Sog. Dativi ethici; in einer dt. Üs. zu ignorieren.</w:t>
      </w:r>
    </w:p>
  </w:footnote>
  <w:footnote w:id="346">
    <w:p>
      <w:pPr>
        <w:pStyle w:val="Funote"/>
        <w:rPr/>
      </w:pPr>
      <w:r>
        <w:rPr>
          <w:rStyle w:val="Funotenzeichen"/>
        </w:rPr>
        <w:footnoteRef/>
      </w:r>
      <w:r>
        <w:rPr/>
        <w:tab/>
        <w:t>Lösung und Tauschgeschäft - Oder zu verstehen als Hendiadyoin: „bezüglich des Tauschs von Löserechten“ (so Berlin 2010, S. 11; Brichto 1973, S. 18; Bush 1996, S. 234).</w:t>
      </w:r>
    </w:p>
  </w:footnote>
  <w:footnote w:id="347">
    <w:p>
      <w:pPr>
        <w:pStyle w:val="Funote"/>
        <w:rPr/>
      </w:pPr>
      <w:r>
        <w:rPr>
          <w:rStyle w:val="Funotenzeichen"/>
        </w:rPr>
        <w:footnoteRef/>
      </w:r>
      <w:r>
        <w:rPr/>
        <w:tab/>
        <w:t>irgendetwas - W. „jede Sache“.</w:t>
      </w:r>
    </w:p>
  </w:footnote>
  <w:footnote w:id="348">
    <w:p>
      <w:pPr>
        <w:pStyle w:val="Funote"/>
        <w:rPr/>
      </w:pPr>
      <w:r>
        <w:rPr>
          <w:rStyle w:val="Funotenzeichen"/>
        </w:rPr>
        <w:footnoteRef/>
      </w:r>
      <w:r>
        <w:rPr/>
        <w:tab/>
        <w:t>Eine Abwandlung des in Dtn 25,9 geschilderten Schuhritus. Dieser ist im Judentum noch heute in der Variante von Dtn gebräuchlich und also offensichtlich nicht in Vergessenheit geraten. Außerdem findet er sich gerade an der Dtn-Stelle, die in den ersten Versen dieses Kapitels sehr oft und deutlich zitiert werden; er ist also dem idealen Leser des Rutbuches definitiv bekannt. Dass er hier dennoch erklärt werden muss, heißt dann wohl, dass er hier irregulär angewandt wird, dass diese irreguläre Anwendung als reguläre Anwendung ausgegeben wird und deshalb erklärt wird (so z.B. Berlin 2010, S. 11; Fischer 2001, S. 241) - ein weiteres Indiz dafür, dass offenbar irgend etwas hier nicht mit rechten Dingen zugeht (s. Anmerkungen). In die selbe Richtung weist die alternativer Auslegung von Speiser 1940, der Schuhritus diene regulär speziell dazu, eigentlich illegale Abmachungen legal zu machen.</w:t>
      </w:r>
    </w:p>
  </w:footnote>
  <w:footnote w:id="349">
    <w:p>
      <w:pPr>
        <w:pStyle w:val="Funote"/>
        <w:rPr/>
      </w:pPr>
      <w:r>
        <w:rPr>
          <w:rStyle w:val="Funotenzeichen"/>
        </w:rPr>
        <w:footnoteRef/>
      </w:r>
      <w:r>
        <w:rPr/>
        <w:tab/>
        <w:t>und zog (und dieser zog) - Wer Subjekt des Schuh-Ausziehens ist, ist nicht ganz klar. Dafür, dass es der Löser ist, spricht aber, dass der Hintergrund des Schuhritus wohl der war, dass der Schuh ein Symbol für Besitz war und das Ausziehen des Schuhs damit ein Symbol für Besitzverzicht (vgl. z.B. gut Thompson/Thompson 1968, S. 92f.).</w:t>
      </w:r>
    </w:p>
  </w:footnote>
  <w:footnote w:id="350">
    <w:p>
      <w:pPr>
        <w:pStyle w:val="Funote"/>
        <w:rPr/>
      </w:pPr>
      <w:r>
        <w:rPr>
          <w:rStyle w:val="Funotenzeichen"/>
        </w:rPr>
        <w:footnoteRef/>
      </w:r>
      <w:r>
        <w:rPr/>
        <w:tab/>
        <w:t>gekauft - Zu »kaufen« s. FN o.</w:t>
      </w:r>
    </w:p>
  </w:footnote>
  <w:footnote w:id="351">
    <w:p>
      <w:pPr>
        <w:pStyle w:val="Funote"/>
        <w:rPr/>
      </w:pPr>
      <w:r>
        <w:rPr>
          <w:rStyle w:val="Funotenzeichen"/>
        </w:rPr>
        <w:footnoteRef/>
      </w:r>
      <w:r>
        <w:rPr/>
        <w:tab/>
        <w:t>um [wieder] aufzurichten den Namen des Toten auf seinem Erbbesitz, so dass nicht ausgerottet werde der Name des Toten - s. hierzu wieder FN r und die Anmerkungen: Weil JHWH es war, der den Israeliten ihr Land gegeben hat, sollte der Status quo der Grundbesitzverhältnisse nach Möglichkeit auf ewig weiterbestehen, das heißt: Familien durften nicht aussterben und ihr Erbbesitz sollte immer in ihrem Besitz bleiben. Dies zu gewährleisten war Aufgabe von Löserinstitution und Schwagerehe, und von beidem ist hier die Rede: Boas kauft (1) das Land von Noomi, damit dieses Land in der Familie bleibt - er fungiert als »Löser« - und »kauft« (2) Rut, um mit ihr durch eine »Schwagerehe« einen Nachkommen Machlons zu zeugen, damit »der Name des Verstorbenen auf seinem Erbbesitz wieder aufgerichtet werde und der Name des Toten nicht ausgerottet wird«, d.h., damit überhaupt Nachkommen Elimelechs und Machlons existieren, die als Erben ihres Familienbesitzes fungieren können.</w:t>
      </w:r>
    </w:p>
  </w:footnote>
  <w:footnote w:id="352">
    <w:p>
      <w:pPr>
        <w:pStyle w:val="Funote"/>
        <w:rPr/>
      </w:pPr>
      <w:r>
        <w:rPr>
          <w:rStyle w:val="Funotenzeichen"/>
        </w:rPr>
        <w:footnoteRef/>
      </w:r>
      <w:r>
        <w:rPr/>
        <w:tab/>
        <w:t>Tor seines Ortes - d.h. von innerhalb seiner Stadttore. Die ersten beiden Begriffe haben eine soziale, die zweiten beiden eine lokale Ausrichtung: Machlons Familie soll nicht ausgerottet werden »aus seinem Volk und aus seinem Ort«. Recht gut daher EÜ: »damit sein Name unter seinen Verwandten und innerhalb der Mauern seiner Stadt nicht erlischt.«; NeÜ: »So wird der Name des Verstorbenen in seiner Sippe und in seinem Heimatort nicht vergessen werden.« (obwohl »vergessen werden« eher unglücklich ist)</w:t>
      </w:r>
    </w:p>
  </w:footnote>
  <w:footnote w:id="353">
    <w:p>
      <w:pPr>
        <w:pStyle w:val="Funote"/>
        <w:rPr/>
      </w:pPr>
      <w:r>
        <w:rPr>
          <w:rStyle w:val="Funotenzeichen"/>
        </w:rPr>
        <w:footnoteRef/>
      </w:r>
      <w:r>
        <w:rPr/>
        <w:tab/>
        <w:t>das ganze Volk, das im Tor [war], antwortete, und die Ältesten - eine sog. „gespaltene Koordination“; sinngemäß wäre die Üs. „Das ganze Volk, das im Tor war, und die Ältesten antworteten:...“ Der Erzähler greift deshalb hier zu dieser Konstruktion, um zu betonen, dass tatsächlich das ganze Volk, das sich dort aufhielt, die vorigen Vorgänge für rechtmäßig erklärten.</w:t>
      </w:r>
    </w:p>
  </w:footnote>
  <w:footnote w:id="354">
    <w:p>
      <w:pPr>
        <w:pStyle w:val="Funote"/>
        <w:rPr/>
      </w:pPr>
      <w:r>
        <w:rPr>
          <w:rStyle w:val="Funotenzeichen"/>
        </w:rPr>
        <w:footnoteRef/>
      </w:r>
      <w:r>
        <w:rPr/>
        <w:tab/>
        <w:t>Rahel, Lea und Tamar sind drei der »Erzmütter«, die nach biblischer Vorstellung Vorfahrinnen des ganzen Volkes Israel waren - Tamar übrigens ebenso wie Rut infolge einer Schwagerehe. Spätestens in diesem Segensspruch wird also Rut endgültig vom »ganzen Volk« in die »Gemeinde des Herrn« aufgenommen (s. die Anmerkungen zu Kap. 1).</w:t>
      </w:r>
    </w:p>
  </w:footnote>
  <w:footnote w:id="355">
    <w:p>
      <w:pPr>
        <w:pStyle w:val="Funote"/>
        <w:rPr/>
      </w:pPr>
      <w:r>
        <w:rPr>
          <w:rStyle w:val="Funotenzeichen"/>
        </w:rPr>
        <w:footnoteRef/>
      </w:r>
      <w:r>
        <w:rPr/>
        <w:tab/>
        <w:t>tFN: beide - Eine seltene Dualform, wie sie sich häufiger auch im 1. Kapitel fand (s. dort FN w).</w:t>
      </w:r>
    </w:p>
  </w:footnote>
  <w:footnote w:id="356">
    <w:p>
      <w:pPr>
        <w:pStyle w:val="Funote"/>
        <w:rPr/>
      </w:pPr>
      <w:r>
        <w:rPr>
          <w:rStyle w:val="Funotenzeichen"/>
        </w:rPr>
        <w:footnoteRef/>
      </w:r>
      <w:r>
        <w:rPr/>
        <w:tab/>
        <w:t>das Haus Israel Israel erbauten - D.h., auf deren Nachkommen sich nach bib. Vorstellung ganz Israel zurückführt. Sinngemäß gut daher HfA: »von denen alle Israeliten abstammen«; NeÜ: »von denen das Volk Israel abstammt«; NL: »aus denen das ganze Volk Israel hervorgegangen ist«</w:t>
      </w:r>
    </w:p>
  </w:footnote>
  <w:footnote w:id="357">
    <w:p>
      <w:pPr>
        <w:pStyle w:val="Funote"/>
        <w:rPr/>
      </w:pPr>
      <w:r>
        <w:rPr>
          <w:rStyle w:val="Funotenzeichen"/>
        </w:rPr>
        <w:footnoteRef/>
      </w:r>
      <w:r>
        <w:rPr/>
        <w:tab/>
        <w:t>Vollbringe Tüchtiges - Eigentlich ein Idiom für »siegen, mächtig werden« oder »Reichtum erlangen«; beides wird auch hier oft als Übersetzung gewählt. Besser aber: (1) Das verwendete Substantiv ist chajil, das in Rut 2,1 den Boas und in 3,11 die Rut näher charakterisierte. Rut und Boas sollen hier also etwas »erzeugen«, was so ist, wie sie sind. (2) Dass direkt davor und direkt danach vom Nachwuchs, der Rut und Boas gewünscht wird, die Rede ist, macht es wahrscheinlich, dass auch hier das chajil ein Ausdruck für Nachwuchs sein soll. Wahrscheinlich also zu verstehen als abstractum pro concreto: »Erzeuge Tüchtiges« = »Erzeuge tüchtige Nachkommen« (vgl. ähnlich Holmstedt 2010, S. 203; sinngemäß auch Köhlmoos 2010, S. 78). In die selbe Richtung geht der Deutungsvorschlag von Campbell 1975, S. 152; Labuschagne 1967, S. 365f. und Parker 1976, S. 23f., chajil habe hier die Bedeutung »Fortpflanzungskraft«: »Vollbringe Fortpflanzungskraft« = »Pflanze dich kräftig fort«.</w:t>
      </w:r>
    </w:p>
  </w:footnote>
  <w:footnote w:id="358">
    <w:p>
      <w:pPr>
        <w:pStyle w:val="Funote"/>
        <w:rPr/>
      </w:pPr>
      <w:r>
        <w:rPr>
          <w:rStyle w:val="Funotenzeichen"/>
        </w:rPr>
        <w:footnoteRef/>
      </w:r>
      <w:r>
        <w:rPr/>
        <w:tab/>
        <w:t>rufe [einen] Namen - sonst ungebräuchlicher Ausdruck im Heb.; demgemäß umstritten ist die Bed. Früher wurde häufig der Text korrigiert, z.B. bei Rudolph 1962, S. 60: »Dein Name werde gerufen« (=»Mögest du gefeiert werden«); offenbar noch heute Köhlmoos 2010, S. 69. Aus den selben Gründen wie in der vorigen Zeile geht es aber wohl hier um Nachwuchs (so z.B. auch Parker 1976, S. 24, FN 3; Zakovitch 1999, S. 165); daher besser: »Rufe Namen« = »Werde Namens-geber«, d.h. »Zeuge viel Nachwuchs, denen du dann Namen geben kannst« (so Campbell 1975, S. 153f.; Labuschagne 1967, S. 366). Die alternative Erklärung, »Name« habe hier die Bedeutung »Nachwuchs«, taugt nicht viel, da Boas ja dann dennoch aufgefordert würde, seinen Nachwuchs zu »rufen« - und was das bedeuten soll, ist nur schwer verständlich.</w:t>
      </w:r>
    </w:p>
  </w:footnote>
  <w:footnote w:id="359">
    <w:p>
      <w:pPr>
        <w:pStyle w:val="Funote"/>
        <w:rPr/>
      </w:pPr>
      <w:r>
        <w:rPr>
          <w:rStyle w:val="Funotenzeichen"/>
        </w:rPr>
        <w:footnoteRef/>
      </w:r>
      <w:r>
        <w:rPr/>
        <w:tab/>
        <w:t>Es sei dein Haus wie das Haus des Perez - bajit (»Haus«) hat hier wie häufig die Bedeutung »Familie«; sinngemäß daher »mögest du so viele Nachkommen haben, wie Perez sie hatte.« Richtig z.B. wieder NeÜ: »Durch die Nachkommen, die Jahwe dir von dieser jungen Frau geben wird, soll deine Familie so werden wie die des Perez...«</w:t>
      </w:r>
    </w:p>
  </w:footnote>
  <w:footnote w:id="360">
    <w:p>
      <w:pPr>
        <w:pStyle w:val="Funote"/>
        <w:rPr/>
      </w:pPr>
      <w:r>
        <w:rPr>
          <w:rStyle w:val="Funotenzeichen"/>
        </w:rPr>
        <w:footnoteRef/>
      </w:r>
      <w:r>
        <w:rPr/>
        <w:tab/>
        <w:t>Den JHWH dir gebe - Eine sog. »Inclusio«; der Segensspruch wird eröffnet und geschlossen durch die selbe Formulierung: »JHWH gebe« - ein schöner Kontrapunkt zu Rut 1,21, wo Noomi JHWH beschuldigt hatte, dass er sie ihrer Kinder beraubt habe.</w:t>
      </w:r>
    </w:p>
  </w:footnote>
  <w:footnote w:id="361">
    <w:p>
      <w:pPr>
        <w:pStyle w:val="Funote"/>
        <w:rPr/>
      </w:pPr>
      <w:r>
        <w:rPr>
          <w:rStyle w:val="Funotenzeichen"/>
        </w:rPr>
        <w:footnoteRef/>
      </w:r>
      <w:r>
        <w:rPr/>
        <w:tab/>
        <w:t>Boas nahm Rut - d.h., er heiratete sie.</w:t>
      </w:r>
    </w:p>
  </w:footnote>
  <w:footnote w:id="362">
    <w:p>
      <w:pPr>
        <w:pStyle w:val="Funote"/>
        <w:rPr/>
      </w:pPr>
      <w:r>
        <w:rPr>
          <w:rStyle w:val="Funotenzeichen"/>
        </w:rPr>
        <w:footnoteRef/>
      </w:r>
      <w:r>
        <w:rPr/>
        <w:tab/>
        <w:t>Boas nahm Rut, sie wurde seine Frau - Doppelausdruck, der wohl (wie auch in Gen 24,67) einfach nur bedeutet: Boas heiratete sie (daher lassen etwa einige LXX-Handschriften und Äth den zweiten Satz ganz weg und einige Syr-Handschriften ziehen zusammen zu „Boas nahm Rut zur Frau“). Hier statt einer kürzeren Alternative verwendet, um den Staccato-Eindruck dieses Verses noch zu steigern: Was geschieht, kommt Schlag auf Schlag, und ohnehin lassen sich die Ereignisse hier schnell übergehen, denn der Hauptfokus dieses Abschnitts liegt klar auf den beiden Äußerungen des Frauenchors.</w:t>
      </w:r>
    </w:p>
  </w:footnote>
  <w:footnote w:id="363">
    <w:p>
      <w:pPr>
        <w:pStyle w:val="Funote"/>
        <w:rPr/>
      </w:pPr>
      <w:r>
        <w:rPr>
          <w:rStyle w:val="Funotenzeichen"/>
        </w:rPr>
        <w:footnoteRef/>
      </w:r>
      <w:r>
        <w:rPr/>
        <w:tab/>
        <w:t>ging zu ihr - heb. Idiom für Geschlechtsverkehr, vgl. z.B. Schorch 2000, S. 96.</w:t>
      </w:r>
    </w:p>
  </w:footnote>
  <w:footnote w:id="364">
    <w:p>
      <w:pPr>
        <w:pStyle w:val="Funote"/>
        <w:rPr/>
      </w:pPr>
      <w:r>
        <w:rPr>
          <w:rStyle w:val="Funotenzeichen"/>
        </w:rPr>
        <w:footnoteRef/>
      </w:r>
      <w:r>
        <w:rPr/>
        <w:tab/>
        <w:t>Gepriesen sei JHWH, der ist eine Formel für »Gott sei dafür gedankt, dass...« (vgl. Lande 1949, S. 106f.).</w:t>
      </w:r>
    </w:p>
  </w:footnote>
  <w:footnote w:id="365">
    <w:p>
      <w:pPr>
        <w:pStyle w:val="Funote"/>
        <w:rPr/>
      </w:pPr>
      <w:r>
        <w:rPr>
          <w:rStyle w:val="Funotenzeichen"/>
        </w:rPr>
        <w:footnoteRef/>
      </w:r>
      <w:r>
        <w:rPr/>
        <w:tab/>
        <w:t>Sein Name werde gerufen - D.h. »er werde verehrt«: »Name« ist hier wie oft (bes. wenn von Gott »im Menschenmund« die Rede ist) Wechselbegriff für den Namensträger selbst.</w:t>
      </w:r>
    </w:p>
  </w:footnote>
  <w:footnote w:id="366">
    <w:p>
      <w:pPr>
        <w:pStyle w:val="Funote"/>
        <w:rPr/>
      </w:pPr>
      <w:r>
        <w:rPr>
          <w:rStyle w:val="Funotenzeichen"/>
        </w:rPr>
        <w:footnoteRef/>
      </w:r>
      <w:r>
        <w:rPr/>
        <w:tab/>
        <w:t>Lebenskraft zurückkehren lässt - heb. Idiom für Wiederbelebung, Lebensrettung und am-Leben-Erhaltung; sicher ist hier Letzteres gemeint, s. nächste Zeile. Fast stets ist JHWH das Subjekt dieses Ausdrucks (1 Kön 17,21f; Ijob 33,30; Ps 23,3; 35,17; Klg 1,19). Wir haben also eine ähnliche Ambivalenz wie in Rut 2,20 (s. FN ax und die Anmerkungen zu Kap. 3) vor uns: Wegen V. 14 und diesem Ausdruck sollte man meinen, dass hier und in der nächsten Zeile noch von JHWH die Rede ist und erst in der vorletzten Zeile wird klar, dass tatsächlich von Ruts Kind die Rede ist.</w:t>
      </w:r>
    </w:p>
  </w:footnote>
  <w:footnote w:id="367">
    <w:p>
      <w:pPr>
        <w:pStyle w:val="Funote"/>
        <w:rPr/>
      </w:pPr>
      <w:r>
        <w:rPr>
          <w:rStyle w:val="Funotenzeichen"/>
        </w:rPr>
        <w:footnoteRef/>
      </w:r>
      <w:r>
        <w:rPr/>
        <w:tab/>
        <w:t>Ja!, (denn) - Ein sog. »exklamatives ki«, das hier wie öfter den Abschluss eines Preises einleitet (wie z.B. auch in Ps 100,5, so aber offenbar nur Brichto 1973, S. 21). Im Dt. am besten auszusparen.Der Minihymnus des Frauenchors schließt mit einem durch das ki und durch die Verslänge hervorgehobenen Lobpreis auf die (Moabiterin!) Rut, die »besser ist als sieben Söhne«.</w:t>
      </w:r>
    </w:p>
  </w:footnote>
  <w:footnote w:id="368">
    <w:p>
      <w:pPr>
        <w:pStyle w:val="Funote"/>
        <w:rPr/>
      </w:pPr>
      <w:r>
        <w:rPr>
          <w:rStyle w:val="Funotenzeichen"/>
        </w:rPr>
        <w:footnoteRef/>
      </w:r>
      <w:r>
        <w:rPr/>
        <w:tab/>
        <w:t>hob ihn an ihre Brust - sicher nicht im Sinn von „säugte ihn“, sd. i.S.v. „nahm ihn auf den Arm (wie eine liebende Großmutter das nun mal so tut)“, s. 1 Kön 3,20 (wo das Kind ja wohl nicht von einer Schlafenden gestillt wird) und 17,19 (wo doch wohl die Mutter nicht vor den Augen des Elija ihr Kind stillt); auch Frauen, Männer, Brüder, Neffen, Nichten und sogar Schafe können „an jemandes - auch eines Mannes - Brust“ sein, s. Gen 16,5; Dtn 13,7; 28,54.56; 2 Sam 12,3.8; 1 Kön 1,2; Est 2,7; Jes 40,11). Einige denken wg. V. 17, dass es sich hier um einen Adoptionsgestus handelt, aber das wäre eine überwörtliche Interpretation des Folgeverses und würde doch sehr viel in diese Geste hineinlesen (so auch Rudolph 1962, S. 71; Zakovitch 1999, S. 170; Zenger 1986, S. 97).</w:t>
      </w:r>
    </w:p>
  </w:footnote>
  <w:footnote w:id="369">
    <w:p>
      <w:pPr>
        <w:pStyle w:val="Funote"/>
        <w:rPr/>
      </w:pPr>
      <w:r>
        <w:rPr>
          <w:rStyle w:val="Funotenzeichen"/>
        </w:rPr>
        <w:footnoteRef/>
      </w:r>
      <w:r>
        <w:rPr/>
        <w:tab/>
        <w:t>Ein weiterer umstrittener Vers. Dass offenbar die Bürgerinnen das Kind benennen, ist gar nicht so problematisch, s. Lk 1,58. Alternativ, aber weniger wahrscheinlich, könnte man dies mit Bush 1996b, S. 12 auch einfach so verstehen, dass die Bürgerinnen mit ihrem Ausruf Anlass für den Namen des Kindes waren und ihm in diesem Sinne „einen Namen gaben“.Schwierig ist aber, dass es zunächst so scheint, als wäre der Name des Kindes „Ein Sohn ist der Noomi geboren!“. Entweder ist mit Würthwein 1969, S. 20 das erste „Name“ zu streichen, so dass der Text lauten würde „Und die Bürgerinnen riefen über ihn: ‚Ein Sohn ist der Noomi geboren!‘, und sie nannten...“ oder das „wie folgt (indem sie sagten)“ wird so verstanden, dass es gar nicht den Namen einleitet, sondern die „Begleitumstände“ der Namensgabe, so dass man übersetzen müsste: „Und die Bürgerinnen gaben ihm einen Namen, indem sie sagten: ‚Ein Sohn ist der Noomi geboren!‘ - und der Name, den sie ihm gaben, war ‚Obed‘“ (so viele Üss., daher in der LF vorzuziehen). Gut dann z.B. NL: „Die Nachbarinnen sagten: ‚Jetzt hat Noomi endlich wieder einen Sohn!‘ Und sie nannten ihn Obed.“Der Zusammenhang zwischen dem Ausruf der Bürgerinnen und dem Namen „Obed“, also „Diener“, ist wohl der, dass Noomi nun mit ihrem Enkel eine „Altersvorsorge“ hat (s. die Anmerkungen), Obeds Geburt also der Noomi „dienlich“ ist (vgl. Bush 1996b, S. 13).</w:t>
      </w:r>
    </w:p>
  </w:footnote>
  <w:footnote w:id="370">
    <w:p>
      <w:pPr>
        <w:pStyle w:val="Funote"/>
        <w:rPr/>
      </w:pPr>
      <w:r>
        <w:rPr>
          <w:rStyle w:val="Funotenzeichen"/>
        </w:rPr>
        <w:footnoteRef/>
      </w:r>
      <w:r>
        <w:rPr/>
        <w:tab/>
        <w:t>dies sind die Zeugungen von Perez - Übliche Einleitung für einen Stammbaum; gut z.B. GN, T4T: „Dies ist die Liste der Nachkommen von Perez“.</w:t>
      </w:r>
    </w:p>
  </w:footnote>
  <w:footnote w:id="371">
    <w:p>
      <w:pPr>
        <w:pStyle w:val="Funote"/>
        <w:rPr/>
      </w:pPr>
      <w:r>
        <w:rPr>
          <w:rStyle w:val="Funotenzeichen"/>
        </w:rPr>
        <w:footnoteRef/>
      </w:r>
      <w:r>
        <w:rPr/>
        <w:tab/>
        <w:t>De Waard/Nida 1992, S. 78 haben einen sehr guten Vorschlag für eine zeitgemäße Übersetzung gemacht: „Dies [also] ist die Abstammungslinie von Perez bis zu David: Perez, Hezron, Ram, Amminadab, Nachschon, Salmon, Boaz, Obed, Jesse, David.“</w:t>
      </w:r>
    </w:p>
  </w:footnote>
  <w:footnote w:id="372">
    <w:p>
      <w:pPr>
        <w:pStyle w:val="Funote"/>
        <w:rPr/>
      </w:pPr>
      <w:r>
        <w:rPr>
          <w:rStyle w:val="Funotenzeichen"/>
        </w:rPr>
        <w:footnoteRef/>
      </w:r>
      <w:r>
        <w:rPr/>
        <w:tab/>
        <w:t>[Status: Zuverlässig]</w:t>
      </w:r>
    </w:p>
  </w:footnote>
  <w:footnote w:id="373">
    <w:p>
      <w:pPr>
        <w:pStyle w:val="Funote"/>
        <w:rPr/>
      </w:pPr>
      <w:r>
        <w:rPr>
          <w:rStyle w:val="Funotenzeichen"/>
        </w:rPr>
        <w:footnoteRef/>
      </w:r>
      <w:r>
        <w:rPr/>
        <w:tab/>
        <w:t>Textkritik: Der Text von 2 Sam 22 findet sich in etwas anderer Form noch mal in Psalm 18. Die Textkritik beider Texte ist daher sehr komplex und wurde daher ausgelagert auf die Seite 2 Sam 22, Ps 18 und die Textkritik des Alten Testaments.</w:t>
      </w:r>
    </w:p>
  </w:footnote>
  <w:footnote w:id="374">
    <w:p>
      <w:pPr>
        <w:pStyle w:val="Funote"/>
        <w:rPr/>
      </w:pPr>
      <w:r>
        <w:rPr>
          <w:rStyle w:val="Funotenzeichen"/>
        </w:rPr>
        <w:footnoteRef/>
      </w:r>
      <w:r>
        <w:rPr/>
        <w:tab/>
        <w:t>werden mich erschrecken - d.h. „erschreckten mich“, ein bedeutungsloser T-Shift.</w:t>
      </w:r>
    </w:p>
  </w:footnote>
  <w:footnote w:id="375">
    <w:p>
      <w:pPr>
        <w:pStyle w:val="Funote"/>
        <w:rPr/>
      </w:pPr>
      <w:r>
        <w:rPr>
          <w:rStyle w:val="Funotenzeichen"/>
        </w:rPr>
        <w:footnoteRef/>
      </w:r>
      <w:r>
        <w:rPr/>
        <w:tab/>
        <w:t>Scheol - Heb. Bezeichnung der Unterwelt; nicht identisch mit der christlichen „Hölle“. Die Metapher, dass der Scheol fast personal vorzustellen ist und jemanden gefangen nimmt, findet sich häufiger in der Bibel (z.B. Num 16,33f.; Ps 69,16).</w:t>
      </w:r>
    </w:p>
  </w:footnote>
  <w:footnote w:id="376">
    <w:p>
      <w:pPr>
        <w:pStyle w:val="Funote"/>
        <w:rPr/>
      </w:pPr>
      <w:r>
        <w:rPr>
          <w:rStyle w:val="Funotenzeichen"/>
        </w:rPr>
        <w:footnoteRef/>
      </w:r>
      <w:r>
        <w:rPr/>
        <w:tab/>
        <w:t>Pfeiler des Himmels - d.h. die Berge, auf denen nach altorientalischer Vorstellung der Himmel ruhte.</w:t>
      </w:r>
    </w:p>
  </w:footnote>
  <w:footnote w:id="377">
    <w:p>
      <w:pPr>
        <w:pStyle w:val="Funote"/>
        <w:rPr/>
      </w:pPr>
      <w:r>
        <w:rPr>
          <w:rStyle w:val="Funotenzeichen"/>
        </w:rPr>
        <w:footnoteRef/>
      </w:r>
      <w:r>
        <w:rPr/>
        <w:tab/>
        <w:t>öffnete den Himmel - Der Himmel wird hier wie noch öfter vorgestellt als festes Gebilde, das sich öffnen lässt (z.B., um durch die Öffnung die Sintflut auf die Erde zu schicken, Gen 7,11).</w:t>
      </w:r>
    </w:p>
  </w:footnote>
  <w:footnote w:id="378">
    <w:p>
      <w:pPr>
        <w:pStyle w:val="Funote"/>
        <w:rPr/>
      </w:pPr>
      <w:r>
        <w:rPr>
          <w:rStyle w:val="Funotenzeichen"/>
        </w:rPr>
        <w:footnoteRef/>
      </w:r>
      <w:r>
        <w:rPr/>
        <w:tab/>
        <w:t>Kerub - altorientalisches Fabelwesen; meist dargestellt als geflügelter Löwe. S. näher Keruben / Kerubenthroner (WiBiLex). Im Alten Orient wurden die vier Winde (die den vier Himmelsrichtungen entsprechen) häufiger identifiziert mit oder personifiziert als geflügelte Wesen (s. zu Mk 13,27). Das scheint auch hier der Fall zu sein; s. die folgende Zeile.</w:t>
      </w:r>
    </w:p>
  </w:footnote>
  <w:footnote w:id="379">
    <w:p>
      <w:pPr>
        <w:pStyle w:val="Funote"/>
        <w:rPr/>
      </w:pPr>
      <w:r>
        <w:rPr>
          <w:rStyle w:val="Funotenzeichen"/>
        </w:rPr>
        <w:footnoteRef/>
      </w:r>
      <w:r>
        <w:rPr/>
        <w:tab/>
        <w:t>tFN: wird geben - d.h. „gab“, ein bedeutungsloser T-Shift</w:t>
      </w:r>
    </w:p>
  </w:footnote>
  <w:footnote w:id="380">
    <w:p>
      <w:pPr>
        <w:pStyle w:val="Funote"/>
        <w:rPr/>
      </w:pPr>
      <w:r>
        <w:rPr>
          <w:rStyle w:val="Funotenzeichen"/>
        </w:rPr>
        <w:footnoteRef/>
      </w:r>
      <w:r>
        <w:rPr/>
        <w:tab/>
        <w:t>Einen Blitz verwirrte er - d.h. wahrscheinlich: Er gab ihm das wilde Zickzack, das für Blitze so charakteristisch ist.</w:t>
      </w:r>
    </w:p>
  </w:footnote>
  <w:footnote w:id="381">
    <w:p>
      <w:pPr>
        <w:pStyle w:val="Funote"/>
        <w:rPr/>
      </w:pPr>
      <w:r>
        <w:rPr>
          <w:rStyle w:val="Funotenzeichen"/>
        </w:rPr>
        <w:footnoteRef/>
      </w:r>
      <w:r>
        <w:rPr/>
        <w:tab/>
        <w:t>tFN: werden bloßgelegt werden - d.h. „es wurden bloßgelegt“, ein bedeutungsloser T-Shift.</w:t>
      </w:r>
    </w:p>
  </w:footnote>
  <w:footnote w:id="382">
    <w:p>
      <w:pPr>
        <w:pStyle w:val="Funote"/>
        <w:rPr/>
      </w:pPr>
      <w:r>
        <w:rPr>
          <w:rStyle w:val="Funotenzeichen"/>
        </w:rPr>
        <w:footnoteRef/>
      </w:r>
      <w:r>
        <w:rPr/>
        <w:tab/>
        <w:t>Fundamente der Erde - die Pfeiler, auf denen nach dem altorientalischen Weltbild die Erde über dem Mehr ruhte.</w:t>
      </w:r>
    </w:p>
  </w:footnote>
  <w:footnote w:id="383">
    <w:p>
      <w:pPr>
        <w:pStyle w:val="Funote"/>
        <w:rPr/>
      </w:pPr>
      <w:r>
        <w:rPr>
          <w:rStyle w:val="Funotenzeichen"/>
        </w:rPr>
        <w:footnoteRef/>
      </w:r>
      <w:r>
        <w:rPr/>
        <w:tab/>
        <w:t>Er möge senden aus der Höhe - nämlich seine Hand, die er helfend herunterreichen möge. Das Objekt wird hier wie in 2 Sam 6,6 ausgespart.</w:t>
      </w:r>
    </w:p>
  </w:footnote>
  <w:footnote w:id="384">
    <w:p>
      <w:pPr>
        <w:pStyle w:val="Funote"/>
        <w:rPr/>
      </w:pPr>
      <w:r>
        <w:rPr>
          <w:rStyle w:val="Funotenzeichen"/>
        </w:rPr>
        <w:footnoteRef/>
      </w:r>
      <w:r>
        <w:rPr/>
        <w:tab/>
        <w:t>Wassern - Wie häufig wird hier die Not metaphorisch dargestellt als Wasserflut, in der der Beter zu ertrinken droht.</w:t>
      </w:r>
    </w:p>
  </w:footnote>
  <w:footnote w:id="385">
    <w:p>
      <w:pPr>
        <w:pStyle w:val="Funote"/>
        <w:rPr/>
      </w:pPr>
      <w:r>
        <w:rPr>
          <w:rStyle w:val="Funotenzeichen"/>
        </w:rPr>
        <w:footnoteRef/>
      </w:r>
      <w:r>
        <w:rPr/>
        <w:tab/>
        <w:t>böse handeln von - das »von« ist im Heb. ebenso merkwürdig wie im Dt. Offenbar heißt das Verb hier ausnahmsweise nicht »böse handeln«, sondern speziell »durch böse Handlungen abfallen«, daher z.B. MÜN: »Ich bin nicht frevelhaft von meinem Gott gewichen«.</w:t>
      </w:r>
    </w:p>
  </w:footnote>
  <w:footnote w:id="386">
    <w:p>
      <w:pPr>
        <w:pStyle w:val="Funote"/>
        <w:rPr/>
      </w:pPr>
      <w:r>
        <w:rPr>
          <w:rStyle w:val="Funotenzeichen"/>
        </w:rPr>
        <w:footnoteRef/>
      </w:r>
      <w:r>
        <w:rPr/>
        <w:tab/>
        <w:t>waren vor mir - d.h., ich hielt sie mir beständig vor Augen und wich daher nicht von ihnen ab.</w:t>
      </w:r>
    </w:p>
  </w:footnote>
  <w:footnote w:id="387">
    <w:p>
      <w:pPr>
        <w:pStyle w:val="Funote"/>
        <w:rPr/>
      </w:pPr>
      <w:r>
        <w:rPr>
          <w:rStyle w:val="Funotenzeichen"/>
        </w:rPr>
        <w:footnoteRef/>
      </w:r>
      <w:r>
        <w:rPr/>
        <w:tab/>
        <w:t>tFN: stärken - wenichat wurde hier nach Good 1985; Görg 1986 in Orientierung am äg. nḫt („stark sein, jmdn stärken“, vgl. Erman/Grapow II 314f.) und einem evtl. ug. Kognat nḥt („stark sein, jmdn stärken“, vgl. del Olmo Lete/Sanmartín 628) abgeleitet von nachat II („stark sein, jmdn stärken“; vgl. DCH V 671; Ges18 808). So übersetzen bereits Tg und Syr; vgl. auch beide Vrs. zu Jes 30,30. Zur in diesem V. schwierigen Textkritik s. 2 Sam 22, Ps 18 und die Textkritik des Alten Testaments.</w:t>
      </w:r>
    </w:p>
  </w:footnote>
  <w:footnote w:id="388">
    <w:p>
      <w:pPr>
        <w:pStyle w:val="Funote"/>
        <w:rPr/>
      </w:pPr>
      <w:r>
        <w:rPr>
          <w:rStyle w:val="Funotenzeichen"/>
        </w:rPr>
        <w:footnoteRef/>
      </w:r>
      <w:r>
        <w:rPr/>
        <w:tab/>
        <w:t>du gabst mir ihren Rücken - d.h., du machtest, dass sie vor mir flohen.</w:t>
      </w:r>
    </w:p>
  </w:footnote>
  <w:footnote w:id="389">
    <w:p>
      <w:pPr>
        <w:pStyle w:val="Funote"/>
        <w:rPr/>
      </w:pPr>
      <w:r>
        <w:rPr>
          <w:rStyle w:val="Funotenzeichen"/>
        </w:rPr>
        <w:footnoteRef/>
      </w:r>
      <w:r>
        <w:rPr/>
        <w:tab/>
        <w:t>Sie werden schreien ... / Zu JHWH - Zwei Stilmittel in einer Doppelzeile: Hyperbaton (Umstellung der gewöhnlichen Wortfolge) + Break up (Aufteilung eines häufigen Ausdrucks wie „Sie werden zu JHWH schreien“) auf zwei Zeilen. Hier auch noch gepaart mit dem T-Shift beim folgenden Verb; schon in der Formulierung des Verses kommt das Chaos zum Ausdruck, in das die Macht des Sprechers und die Hilfeverweigerung JHWHs die Feinde stürzt.</w:t>
      </w:r>
    </w:p>
  </w:footnote>
  <w:footnote w:id="390">
    <w:p>
      <w:pPr>
        <w:pStyle w:val="Funote"/>
        <w:rPr/>
      </w:pPr>
      <w:r>
        <w:rPr>
          <w:rStyle w:val="Funotenzeichen"/>
        </w:rPr>
        <w:footnoteRef/>
      </w:r>
      <w:r>
        <w:rPr/>
        <w:tab/>
        <w:t>tFN: er antwortete ihnen nicht - d.h. „er wird ihnen nicht antworten“, ein bedeutungsloser T-Shift.</w:t>
      </w:r>
    </w:p>
  </w:footnote>
  <w:footnote w:id="391">
    <w:p>
      <w:pPr>
        <w:pStyle w:val="Funote"/>
        <w:rPr/>
      </w:pPr>
      <w:r>
        <w:rPr>
          <w:rStyle w:val="Funotenzeichen"/>
        </w:rPr>
        <w:footnoteRef/>
      </w:r>
      <w:r>
        <w:rPr/>
        <w:tab/>
        <w:t>Textkritik: Die beiden Zeilen von V. 45 stehen in 2 Sam eigentlich in umgekehrter Reihenfolge; die hierige Zeilenfolge, die der von Ps 18 entspricht, wird aber gestützt von LXXL und 4QSama. S. näher dazu 2 Sam 22, Ps 18 und die Textkritik des Alten Testaments.</w:t>
      </w:r>
    </w:p>
  </w:footnote>
  <w:footnote w:id="392">
    <w:p>
      <w:pPr>
        <w:pStyle w:val="Funote"/>
        <w:rPr/>
      </w:pPr>
      <w:r>
        <w:rPr>
          <w:rStyle w:val="Funotenzeichen"/>
        </w:rPr>
        <w:footnoteRef/>
      </w:r>
      <w:r>
        <w:rPr/>
        <w:tab/>
        <w:t>herausholt - d.h. „rettet“; über das Verb werden die Feinde metaphorisch dargestellt wie eine Grube, in die der Beter gefallen ist.</w:t>
      </w:r>
    </w:p>
  </w:footnote>
  <w:footnote w:id="393">
    <w:p>
      <w:pPr>
        <w:pStyle w:val="Funote"/>
        <w:rPr/>
      </w:pPr>
      <w:r>
        <w:rPr>
          <w:rStyle w:val="Funotenzeichen"/>
        </w:rPr>
        <w:footnoteRef/>
      </w:r>
      <w:r>
        <w:rPr/>
        <w:tab/>
        <w:t>Textkritik: Der Text ist in 2 Sam gleichzeitig in zwei unterschiedlichen Varianten überliefert, die sich nur in den Vokalen unterscheiden: Als magdil („der groß macht“) in den Konsonanten, als migdol („der ein Turm [ist]“) in den jüngeren Vokalen. Ursprünglich angezielt war sicher magdil wie in Ps 18. Im Judentum haben diese beiden Vokalisierungstraditionen aber eine faszinierende Nachwirkung gehabt: V. 51 gehört zum Danksagungsgebet nach dem Essen, und um beiden Traditionen gerecht zu werden, betet man an Wochentagen magdil, am Sabbat und zu anderen Festzeiten aber migdol.</w:t>
      </w:r>
    </w:p>
  </w:footnote>
  <w:footnote w:id="394">
    <w:p>
      <w:pPr>
        <w:pStyle w:val="Funote"/>
        <w:rPr/>
      </w:pPr>
      <w:r>
        <w:rPr>
          <w:rStyle w:val="Funotenzeichen"/>
        </w:rPr>
        <w:footnoteRef/>
      </w:r>
      <w:r>
        <w:rPr/>
        <w:tab/>
        <w:t>[Status: Sehr gut]</w:t>
      </w:r>
    </w:p>
  </w:footnote>
  <w:footnote w:id="395">
    <w:p>
      <w:pPr>
        <w:pStyle w:val="Funote"/>
        <w:rPr/>
      </w:pPr>
      <w:r>
        <w:rPr>
          <w:rStyle w:val="Funotenzeichen"/>
        </w:rPr>
        <w:footnoteRef/>
      </w:r>
      <w:r>
        <w:rPr/>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(Waltke 2010, 133). Ähnlich auch die Seligpreisungen (Mt 5,1-12). Psalm 1 kann als Definition dafür gelten, welche Art von Mensch sich auf diese Weise glücklich nennen darf (vgl. Kraus 41972, 3): der „Gerechte“ (</w:t>
      </w:r>
      <w:r>
        <w:rPr>
          <w:rtl w:val="true"/>
          <w:lang w:bidi="he-IL"/>
        </w:rPr>
        <w:t>צַדִּיק</w:t>
      </w:r>
      <w:r>
        <w:rPr/>
        <w:t>), der falsche Wege meidet (1) und sich stattdessen der Torah, der Weisung Gottes zuwendet (2)(Kraus 41972, 9).</w:t>
      </w:r>
    </w:p>
  </w:footnote>
  <w:footnote w:id="396">
    <w:p>
      <w:pPr>
        <w:pStyle w:val="Funote"/>
        <w:rPr/>
      </w:pPr>
      <w:r>
        <w:rPr>
          <w:rStyle w:val="Funotenzeichen"/>
        </w:rPr>
        <w:footnoteRef/>
      </w:r>
      <w:r>
        <w:rPr/>
        <w:tab/>
        <w:t>Die männliche Form steht hier stellvertretend für jeden Menschen, auf den das Beschriebene zutrifft (Generisches Maskulinum; vgl. Waltke 2010, 128).</w:t>
      </w:r>
    </w:p>
  </w:footnote>
  <w:footnote w:id="397">
    <w:p>
      <w:pPr>
        <w:pStyle w:val="Funote"/>
        <w:rPr/>
      </w:pPr>
      <w:r>
        <w:rPr>
          <w:rStyle w:val="Funotenzeichen"/>
        </w:rPr>
        <w:footnoteRef/>
      </w:r>
      <w:r>
        <w:rPr/>
        <w:tab/>
        <w:t>Das Wort kann sich auch auf die Pläne und Ziele einer Person beziehen, umfasst also mehr als einen einmaligen Ratschlag.</w:t>
      </w:r>
    </w:p>
  </w:footnote>
  <w:footnote w:id="398">
    <w:p>
      <w:pPr>
        <w:pStyle w:val="Funote"/>
        <w:rPr/>
      </w:pPr>
      <w:r>
        <w:rPr>
          <w:rStyle w:val="Funotenzeichen"/>
        </w:rPr>
        <w:footnoteRef/>
      </w:r>
      <w:r>
        <w:rPr/>
        <w:tab/>
        <w:t>„</w:t>
      </w:r>
      <w:r>
        <w:rPr/>
        <w:t>Gottlose“ (</w:t>
      </w:r>
      <w:r>
        <w:rPr>
          <w:rtl w:val="true"/>
          <w:lang w:bidi="he-IL"/>
        </w:rPr>
        <w:t>רְשָׁעִים</w:t>
      </w:r>
      <w:r>
        <w:rPr/>
        <w:t>) sind solche, die vor dem Gesetz Gottes schuldig sind und sich Gott bewusst widersetzen (Kraus 41972, 4). Der Gottlose ist das genaue Gegenstück zum Gerechten (Waltke 2010, 133).</w:t>
      </w:r>
    </w:p>
  </w:footnote>
  <w:footnote w:id="399">
    <w:p>
      <w:pPr>
        <w:pStyle w:val="Funote"/>
        <w:rPr/>
      </w:pPr>
      <w:r>
        <w:rPr>
          <w:rStyle w:val="Funotenzeichen"/>
        </w:rPr>
        <w:footnoteRef/>
      </w:r>
      <w:r>
        <w:rPr/>
        <w:tab/>
        <w:t>Wörtlich: „im Rat der Gottlosen geht/gegangen ist“; Übs. vgl. NGÜ, REB, NET.</w:t>
      </w:r>
    </w:p>
  </w:footnote>
  <w:footnote w:id="400">
    <w:p>
      <w:pPr>
        <w:pStyle w:val="Funote"/>
        <w:rPr/>
      </w:pPr>
      <w:r>
        <w:rPr>
          <w:rStyle w:val="Funotenzeichen"/>
        </w:rPr>
        <w:footnoteRef/>
      </w:r>
      <w:r>
        <w:rPr/>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401">
    <w:p>
      <w:pPr>
        <w:pStyle w:val="Funote"/>
        <w:rPr/>
      </w:pPr>
      <w:r>
        <w:rPr>
          <w:rStyle w:val="Funotenzeichen"/>
        </w:rPr>
        <w:footnoteRef/>
      </w:r>
      <w:r>
        <w:rPr/>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402">
    <w:p>
      <w:pPr>
        <w:pStyle w:val="Funote"/>
        <w:rPr/>
      </w:pPr>
      <w:r>
        <w:rPr>
          <w:rStyle w:val="Funotenzeichen"/>
        </w:rPr>
        <w:footnoteRef/>
      </w:r>
      <w:r>
        <w:rPr/>
        <w:tab/>
        <w:t>Freude und Andacht gegenüber dem Gesetz sind Metonymien der Ursache für ein Leben, das sich an der Schrift orientiert. Da Psalm 1 den gesamten Psalter einleitet, nennt er mit dieser Aussage eine Schlüsselqualifikation für das richtige Verständnis der Psalmen (Waltke 2010, 139).</w:t>
      </w:r>
    </w:p>
  </w:footnote>
  <w:footnote w:id="403">
    <w:p>
      <w:pPr>
        <w:pStyle w:val="Funote"/>
        <w:rPr/>
      </w:pPr>
      <w:r>
        <w:rPr>
          <w:rStyle w:val="Funotenzeichen"/>
        </w:rPr>
        <w:footnoteRef/>
      </w:r>
      <w:r>
        <w:rPr/>
        <w:tab/>
        <w:t>Gemeint sind künstliche Bewässerungskanäle.</w:t>
      </w:r>
    </w:p>
  </w:footnote>
  <w:footnote w:id="404">
    <w:p>
      <w:pPr>
        <w:pStyle w:val="Funote"/>
        <w:rPr/>
      </w:pPr>
      <w:r>
        <w:rPr>
          <w:rStyle w:val="Funotenzeichen"/>
        </w:rPr>
        <w:footnoteRef/>
      </w:r>
      <w:r>
        <w:rPr/>
        <w:tab/>
        <w:t>Also: regelmäßig, wegen der steten Wasserversorgung, die ohne solche Bewässerungskanäle nicht möglich wäre (Kraus 41972, 6). Dieser Vergleich beschreibt zusammen mit dem Aspekt der nicht verwelkenden Blätter das ewige Leben, das der Gottesfürchtige als „Frucht“ bekommen wird (Waltke 2010, 140).</w:t>
      </w:r>
    </w:p>
  </w:footnote>
  <w:footnote w:id="405">
    <w:p>
      <w:pPr>
        <w:pStyle w:val="Funote"/>
        <w:rPr/>
      </w:pPr>
      <w:r>
        <w:rPr>
          <w:rStyle w:val="Funotenzeichen"/>
        </w:rPr>
        <w:footnoteRef/>
      </w:r>
      <w:r>
        <w:rPr/>
        <w:tab/>
        <w:t>Auch möglich: „Und er bringt alles, was er tut, zum Gedeihen“ („two-place“ Hiphil nach Waltke 2010, 128).</w:t>
      </w:r>
    </w:p>
  </w:footnote>
  <w:footnote w:id="406">
    <w:p>
      <w:pPr>
        <w:pStyle w:val="Funote"/>
        <w:rPr/>
      </w:pPr>
      <w:r>
        <w:rPr>
          <w:rStyle w:val="Funotenzeichen"/>
        </w:rPr>
        <w:footnoteRef/>
      </w:r>
      <w:r>
        <w:rPr/>
        <w:tab/>
        <w:t>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zu seiner Zeit Frucht bringen.</w:t>
      </w:r>
    </w:p>
  </w:footnote>
  <w:footnote w:id="407">
    <w:p>
      <w:pPr>
        <w:pStyle w:val="Funote"/>
        <w:rPr/>
      </w:pPr>
      <w:r>
        <w:rPr>
          <w:rStyle w:val="Funotenzeichen"/>
        </w:rPr>
        <w:footnoteRef/>
      </w:r>
      <w:r>
        <w:rPr/>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(3) (Waltke 2010, 141). Gottlose und Spreu teilen für den Psalmisten dasselbe Schicksal: Sie sind wertlos und bestehen nicht, sie werden im entscheidenden Moment vergehen (vgl. den Beginn von V. 5: „deshalb“</w:t>
      </w:r>
    </w:p>
  </w:footnote>
  <w:footnote w:id="408">
    <w:p>
      <w:pPr>
        <w:pStyle w:val="Funote"/>
        <w:rPr/>
      </w:pPr>
      <w:r>
        <w:rPr>
          <w:rStyle w:val="Funotenzeichen"/>
        </w:rPr>
        <w:footnoteRef/>
      </w:r>
      <w:r>
        <w:rPr/>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409">
    <w:p>
      <w:pPr>
        <w:pStyle w:val="Funote"/>
        <w:rPr/>
      </w:pPr>
      <w:r>
        <w:rPr>
          <w:rStyle w:val="Funotenzeichen"/>
        </w:rPr>
        <w:footnoteRef/>
      </w:r>
      <w:r>
        <w:rPr/>
        <w:tab/>
        <w:t>Zum Gebrauch des Begriffs „Gerechter“ s. die Fußnote in V. 1.</w:t>
      </w:r>
    </w:p>
  </w:footnote>
  <w:footnote w:id="410">
    <w:p>
      <w:pPr>
        <w:pStyle w:val="Funote"/>
        <w:rPr/>
      </w:pPr>
      <w:r>
        <w:rPr>
          <w:rStyle w:val="Funotenzeichen"/>
        </w:rPr>
        <w:footnoteRef/>
      </w:r>
      <w:r>
        <w:rPr/>
        <w:tab/>
        <w:t xml:space="preserve">führt ins Verderben (vgl. SLT, NGÜ, NLB) übersetzt das Verb </w:t>
      </w:r>
      <w:r>
        <w:rPr>
          <w:rtl w:val="true"/>
          <w:lang w:bidi="he-IL"/>
        </w:rPr>
        <w:t>אָבַד</w:t>
      </w:r>
      <w:r>
        <w:rPr/>
        <w:t>, das häufig etwas altertümlich als „zugrunde gehen, umkommen“ übersetzt wird.</w:t>
      </w:r>
    </w:p>
  </w:footnote>
  <w:footnote w:id="411">
    <w:p>
      <w:pPr>
        <w:pStyle w:val="Funote"/>
        <w:rPr/>
      </w:pPr>
      <w:r>
        <w:rPr>
          <w:rStyle w:val="Funotenzeichen"/>
        </w:rPr>
        <w:footnoteRef/>
      </w:r>
      <w:r>
        <w:rPr/>
        <w:tab/>
        <w:t>[Status: Sehr gut]</w:t>
      </w:r>
    </w:p>
  </w:footnote>
  <w:footnote w:id="412">
    <w:p>
      <w:pPr>
        <w:pStyle w:val="Funote"/>
        <w:rPr/>
      </w:pPr>
      <w:r>
        <w:rPr>
          <w:rStyle w:val="Funotenzeichen"/>
        </w:rPr>
        <w:footnoteRef/>
      </w:r>
      <w:r>
        <w:rPr/>
        <w:tab/>
        <w:t>Dieses Verb ist ein nur selten erkannter Aramaismus (in 9.12 sind weitere). In Dan 6,7.12.16 hat das aramäische Verb jeweils die Bedeutung „gemeinsam/als Gruppe [an einen Ort] gehen“, wobei immer eine heimliche/intrigante Absprache Teil der Konnotation ist (DBL Aramaic). Die konkrete Übersetzung „verschwören“ ergibt sich aus dem Kontext (vgl. Waltke 2010, S. 157): Das parallele Verb aus der zweiten Vershälfte bedeutet etwa, „Pläne zu schmieden“ (vgl. Fußnote dort); ein ähnliches Bedeutungsfeld ergeben die Verben in 2, der mit 1 (und 3) eine klimaktische Sinneinheit bildet. Dennoch findet sich in deutschen Übersetzungen i.d.R. eine Übersetzung nach dem Sinn von „sich in Unruhe befinden“ (vgl. aber NET, Waltke 2010, Hunter 1999).</w:t>
      </w:r>
    </w:p>
  </w:footnote>
  <w:footnote w:id="413">
    <w:p>
      <w:pPr>
        <w:pStyle w:val="Funote"/>
        <w:rPr/>
      </w:pPr>
      <w:r>
        <w:rPr>
          <w:rStyle w:val="Funotenzeichen"/>
        </w:rPr>
        <w:footnoteRef/>
      </w:r>
      <w:r>
        <w:rPr/>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414">
    <w:p>
      <w:pPr>
        <w:pStyle w:val="Funote"/>
        <w:rPr/>
      </w:pPr>
      <w:r>
        <w:rPr>
          <w:rStyle w:val="Funotenzeichen"/>
        </w:rPr>
        <w:footnoteRef/>
      </w:r>
      <w:r>
        <w:rPr/>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415">
    <w:p>
      <w:pPr>
        <w:pStyle w:val="Funote"/>
        <w:rPr/>
      </w:pPr>
      <w:r>
        <w:rPr>
          <w:rStyle w:val="Funotenzeichen"/>
        </w:rPr>
        <w:footnoteRef/>
      </w:r>
      <w:r>
        <w:rPr/>
        <w:tab/>
        <w:t>Wahrscheinlich double duty-Präposition aus V. 1a; so z.B. Niccacci 2006, S. 8; auch schon Carrier 1900, S. 58.</w:t>
      </w:r>
    </w:p>
  </w:footnote>
  <w:footnote w:id="416">
    <w:p>
      <w:pPr>
        <w:pStyle w:val="Funote"/>
        <w:rPr/>
      </w:pPr>
      <w:r>
        <w:rPr>
          <w:rStyle w:val="Funotenzeichen"/>
        </w:rPr>
        <w:footnoteRef/>
      </w:r>
      <w:r>
        <w:rPr/>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417">
    <w:p>
      <w:pPr>
        <w:pStyle w:val="Funote"/>
        <w:rPr/>
      </w:pPr>
      <w:r>
        <w:rPr>
          <w:rStyle w:val="Funotenzeichen"/>
        </w:rPr>
        <w:footnoteRef/>
      </w:r>
      <w:r>
        <w:rPr/>
        <w:tab/>
        <w:t>Vgl. Kraus 1960, S. 11.</w:t>
      </w:r>
    </w:p>
  </w:footnote>
  <w:footnote w:id="418">
    <w:p>
      <w:pPr>
        <w:pStyle w:val="Funote"/>
        <w:rPr/>
      </w:pPr>
      <w:r>
        <w:rPr>
          <w:rStyle w:val="Funotenzeichen"/>
        </w:rPr>
        <w:footnoteRef/>
      </w:r>
      <w:r>
        <w:rPr/>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419">
    <w:p>
      <w:pPr>
        <w:pStyle w:val="Funote"/>
        <w:rPr/>
      </w:pPr>
      <w:r>
        <w:rPr>
          <w:rStyle w:val="Funotenzeichen"/>
        </w:rPr>
        <w:footnoteRef/>
      </w:r>
      <w:r>
        <w:rPr/>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420">
    <w:p>
      <w:pPr>
        <w:pStyle w:val="Funote"/>
        <w:rPr/>
      </w:pPr>
      <w:r>
        <w:rPr>
          <w:rStyle w:val="Funotenzeichen"/>
        </w:rPr>
        <w:footnoteRef/>
      </w:r>
      <w:r>
        <w:rPr/>
        <w:tab/>
        <w:t>Hier sprechen die erwähnten Könige (V. 2).</w:t>
      </w:r>
    </w:p>
  </w:footnote>
  <w:footnote w:id="421">
    <w:p>
      <w:pPr>
        <w:pStyle w:val="Funote"/>
        <w:rPr/>
      </w:pPr>
      <w:r>
        <w:rPr>
          <w:rStyle w:val="Funotenzeichen"/>
        </w:rPr>
        <w:footnoteRef/>
      </w:r>
      <w:r>
        <w:rPr/>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422">
    <w:p>
      <w:pPr>
        <w:pStyle w:val="Funote"/>
        <w:rPr/>
      </w:pPr>
      <w:r>
        <w:rPr>
          <w:rStyle w:val="Funotenzeichen"/>
        </w:rPr>
        <w:footnoteRef/>
      </w:r>
      <w:r>
        <w:rPr/>
        <w:tab/>
        <w:t>Das Objekt am Satzende bezieht sich auf beide Verben (vgl. Luther).</w:t>
      </w:r>
    </w:p>
  </w:footnote>
  <w:footnote w:id="423">
    <w:p>
      <w:pPr>
        <w:pStyle w:val="Funote"/>
        <w:rPr/>
      </w:pPr>
      <w:r>
        <w:rPr>
          <w:rStyle w:val="Funotenzeichen"/>
        </w:rPr>
        <w:footnoteRef/>
      </w:r>
      <w:r>
        <w:rPr/>
        <w:tab/>
        <w:t>Von einer allgemeinen, zu jeder Zeit vorstellbaren Beschreibung wechselt der Psalmist nun zu einer konkreten Beschreibung von JHWHs Handeln („dann“). Die Handlung entfaltet sich vor den Augen des Erzählers (Waltke 2010, S. 158; NET Ps 2,4, Fußnote 15). Im Gegensatz dazu interpretiert Kraus 1960 das Folgende als zukünftige Rede (S. 12; Übers. „Einst redet er sie an...“), die folgenden Verse sind dann dem nachgeschobene Erklärung.</w:t>
      </w:r>
    </w:p>
  </w:footnote>
  <w:footnote w:id="424">
    <w:p>
      <w:pPr>
        <w:pStyle w:val="Funote"/>
        <w:rPr/>
      </w:pPr>
      <w:r>
        <w:rPr>
          <w:rStyle w:val="Funotenzeichen"/>
        </w:rPr>
        <w:footnoteRef/>
      </w:r>
      <w:r>
        <w:rPr/>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(Waltke 2010, S. 158). Die beiden Begriffe sind hier referenzidentisch.</w:t>
      </w:r>
    </w:p>
  </w:footnote>
  <w:footnote w:id="425">
    <w:p>
      <w:pPr>
        <w:pStyle w:val="Funote"/>
        <w:rPr/>
      </w:pPr>
      <w:r>
        <w:rPr>
          <w:rStyle w:val="Funotenzeichen"/>
        </w:rPr>
        <w:footnoteRef/>
      </w:r>
      <w:r>
        <w:rPr/>
        <w:tab/>
        <w:t>Das Waw markiert hier die lose Anknüpfung der direkten Rede an vorher (nicht) Gesagtes und bleibt unübersetzt (Gesenius-Kautzsch §154b) - so ähnlich, wie man auch im Deutschen in Erregung einen Satz mit »und« beginnt. Alternativ ist es adversativ zu verstehen; dann »aber« (Davidson, Hebrew Syntax, §155); es ist aber kein wirklicher Gegensatz vorhanden.</w:t>
      </w:r>
    </w:p>
  </w:footnote>
  <w:footnote w:id="426">
    <w:p>
      <w:pPr>
        <w:pStyle w:val="Funote"/>
        <w:rPr/>
      </w:pPr>
      <w:r>
        <w:rPr>
          <w:rStyle w:val="Funotenzeichen"/>
        </w:rPr>
        <w:footnoteRef/>
      </w:r>
      <w:r>
        <w:rPr/>
        <w:tab/>
        <w:t>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Hebrew Syntax, §24.2).</w:t>
      </w:r>
    </w:p>
  </w:footnote>
  <w:footnote w:id="427">
    <w:p>
      <w:pPr>
        <w:pStyle w:val="Funote"/>
        <w:rPr/>
      </w:pPr>
      <w:r>
        <w:rPr>
          <w:rStyle w:val="Funotenzeichen"/>
        </w:rPr>
        <w:footnoteRef/>
      </w:r>
      <w:r>
        <w:rPr/>
        <w:tab/>
        <w:t>LXX: »ich wurde von ihm ... eingesetzt«, das begradigt den unmarkierten Wechsel der sprechenden Person in 6-7. Waltke (2010, S. 158) interpretiert als Vollzugsperfekt: »Hiermit setze ich ein«</w:t>
      </w:r>
    </w:p>
  </w:footnote>
  <w:footnote w:id="428">
    <w:p>
      <w:pPr>
        <w:pStyle w:val="Funote"/>
        <w:rPr/>
      </w:pPr>
      <w:r>
        <w:rPr>
          <w:rStyle w:val="Funotenzeichen"/>
        </w:rPr>
        <w:footnoteRef/>
      </w:r>
      <w:r>
        <w:rPr/>
        <w:tab/>
        <w:t>Jetzt (7-9) spricht der Gesalbte JHWHs (V. 2).</w:t>
      </w:r>
    </w:p>
  </w:footnote>
  <w:footnote w:id="429">
    <w:p>
      <w:pPr>
        <w:pStyle w:val="Funote"/>
        <w:rPr/>
      </w:pPr>
      <w:r>
        <w:rPr>
          <w:rStyle w:val="Funotenzeichen"/>
        </w:rPr>
        <w:footnoteRef/>
      </w:r>
      <w:r>
        <w:rPr/>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430">
    <w:p>
      <w:pPr>
        <w:pStyle w:val="Funote"/>
        <w:rPr/>
      </w:pPr>
      <w:r>
        <w:rPr>
          <w:rStyle w:val="Funotenzeichen"/>
        </w:rPr>
        <w:footnoteRef/>
      </w:r>
      <w:r>
        <w:rPr/>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431">
    <w:p>
      <w:pPr>
        <w:pStyle w:val="Funote"/>
        <w:rPr/>
      </w:pPr>
      <w:r>
        <w:rPr>
          <w:rStyle w:val="Funotenzeichen"/>
        </w:rPr>
        <w:footnoteRef/>
      </w:r>
      <w:r>
        <w:rPr/>
        <w:tab/>
        <w:t>Nach den masoretischen Kantillationszeichen, die keine Constructus-Verbindung zwischen „Anordnung“ und „JHWH“ sehen: „...Anordnung berichten. JHWH hat...“ (vgl. Waltke 2010, S. 159; NET Ps 2,7, Fußnote 23)</w:t>
      </w:r>
    </w:p>
  </w:footnote>
  <w:footnote w:id="432">
    <w:p>
      <w:pPr>
        <w:pStyle w:val="Funote"/>
        <w:rPr/>
      </w:pPr>
      <w:r>
        <w:rPr>
          <w:rStyle w:val="Funotenzeichen"/>
        </w:rPr>
        <w:footnoteRef/>
      </w:r>
      <w:r>
        <w:rPr/>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433">
    <w:p>
      <w:pPr>
        <w:pStyle w:val="Funote"/>
        <w:rPr/>
      </w:pPr>
      <w:r>
        <w:rPr>
          <w:rStyle w:val="Funotenzeichen"/>
        </w:rPr>
        <w:footnoteRef/>
      </w:r>
      <w:r>
        <w:rPr/>
        <w:tab/>
        <w:t>Eine Bitte passt besser in das dargestellte vertrauensvolle Verhältnis als eine Forderung.</w:t>
      </w:r>
    </w:p>
  </w:footnote>
  <w:footnote w:id="434">
    <w:p>
      <w:pPr>
        <w:pStyle w:val="Funote"/>
        <w:rPr/>
      </w:pPr>
      <w:r>
        <w:rPr>
          <w:rStyle w:val="Funotenzeichen"/>
        </w:rPr>
        <w:footnoteRef/>
      </w:r>
      <w:r>
        <w:rPr/>
        <w:tab/>
        <w:t xml:space="preserve">D.h. Permanenter, erblicher Besitz (TWOT 1342a </w:t>
      </w:r>
      <w:r>
        <w:rPr>
          <w:rtl w:val="true"/>
          <w:lang w:bidi="he-IL"/>
        </w:rPr>
        <w:t>נַחֲלָה</w:t>
      </w:r>
      <w:r>
        <w:rPr/>
        <w:t>).</w:t>
      </w:r>
    </w:p>
  </w:footnote>
  <w:footnote w:id="435">
    <w:p>
      <w:pPr>
        <w:pStyle w:val="Funote"/>
        <w:rPr/>
      </w:pPr>
      <w:r>
        <w:rPr>
          <w:rStyle w:val="Funotenzeichen"/>
        </w:rPr>
        <w:footnoteRef/>
      </w:r>
      <w:r>
        <w:rPr/>
        <w:tab/>
        <w:t>Es bleibt hier unklar, ob es sich um eine Prophezeiung oder um die Vollmacht zur Kriegführung handelt (Vgl. Wallace 2009, S. 18).</w:t>
      </w:r>
    </w:p>
  </w:footnote>
  <w:footnote w:id="436">
    <w:p>
      <w:pPr>
        <w:pStyle w:val="Funote"/>
        <w:rPr/>
      </w:pPr>
      <w:r>
        <w:rPr>
          <w:rStyle w:val="Funotenzeichen"/>
        </w:rPr>
        <w:footnoteRef/>
      </w:r>
      <w:r>
        <w:rPr/>
        <w:tab/>
        <w:t>Kann auch einen Hirtenstab bezeichnen. Der Genitiv beschreibt eine Eigenschaft; wörtlich »Stab des Eisens«. Vgl. Fußnote V. 6.</w:t>
      </w:r>
    </w:p>
  </w:footnote>
  <w:footnote w:id="437">
    <w:p>
      <w:pPr>
        <w:pStyle w:val="Funote"/>
        <w:rPr/>
      </w:pPr>
      <w:r>
        <w:rPr>
          <w:rStyle w:val="Funotenzeichen"/>
        </w:rPr>
        <w:footnoteRef/>
      </w:r>
      <w:r>
        <w:rPr/>
        <w:tab/>
        <w:t>So die LXX (vgl. NIV84), die durchaus die ursprüngliche Lesart bezeugen könnte (Vgl. Wilhelmi, Der Hirt mit dem eisernen Szepter, VT 27.2, 1977). Gründe für den Vorzug des MT bei Waltke 2010, S. 173.</w:t>
      </w:r>
    </w:p>
  </w:footnote>
  <w:footnote w:id="438">
    <w:p>
      <w:pPr>
        <w:pStyle w:val="Funote"/>
        <w:rPr/>
      </w:pPr>
      <w:r>
        <w:rPr>
          <w:rStyle w:val="Funotenzeichen"/>
        </w:rPr>
        <w:footnoteRef/>
      </w:r>
      <w:r>
        <w:rPr/>
        <w:tab/>
        <w:t>Wörtlich: »Gefäß(e) eines Töpfers«</w:t>
      </w:r>
    </w:p>
  </w:footnote>
  <w:footnote w:id="439">
    <w:p>
      <w:pPr>
        <w:pStyle w:val="Funote"/>
        <w:rPr/>
      </w:pPr>
      <w:r>
        <w:rPr>
          <w:rStyle w:val="Funotenzeichen"/>
        </w:rPr>
        <w:footnoteRef/>
      </w:r>
      <w:r>
        <w:rPr/>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Margulies 1884, S. 4)).</w:t>
      </w:r>
    </w:p>
  </w:footnote>
  <w:footnote w:id="440">
    <w:p>
      <w:pPr>
        <w:pStyle w:val="Funote"/>
        <w:rPr/>
      </w:pPr>
      <w:r>
        <w:rPr>
          <w:rStyle w:val="Funotenzeichen"/>
        </w:rPr>
        <w:footnoteRef/>
      </w:r>
      <w:r>
        <w:rPr/>
        <w:tab/>
        <w:t>Gemeint ist keine Straße, sondern der im übertragenen Sinn eingeschlagene Weg, JHWH zu gehorchen – oder auch nicht (vgl. NET Ps 2,12, Fußnote 36; Anm. zu Ps 67,3).</w:t>
      </w:r>
    </w:p>
  </w:footnote>
  <w:footnote w:id="441">
    <w:p>
      <w:pPr>
        <w:pStyle w:val="Funote"/>
        <w:rPr/>
      </w:pPr>
      <w:r>
        <w:rPr>
          <w:rStyle w:val="Funotenzeichen"/>
        </w:rPr>
        <w:footnoteRef/>
      </w:r>
      <w:r>
        <w:rPr/>
        <w:tab/>
        <w:t>[Status: Zuverlässig]</w:t>
      </w:r>
    </w:p>
  </w:footnote>
  <w:footnote w:id="442">
    <w:p>
      <w:pPr>
        <w:pStyle w:val="Funote"/>
        <w:rPr/>
      </w:pPr>
      <w:r>
        <w:rPr>
          <w:rStyle w:val="Funotenzeichen"/>
        </w:rPr>
        <w:footnoteRef/>
      </w:r>
      <w:r>
        <w:rPr/>
        <w:tab/>
        <w:t>Während er floh vor Absalom, seinem Sohn - Die Begebenheit, auf die hier angespielt wird, wird berichtet in 2 Sam 16.</w:t>
      </w:r>
    </w:p>
  </w:footnote>
  <w:footnote w:id="443">
    <w:p>
      <w:pPr>
        <w:pStyle w:val="Funote"/>
        <w:rPr/>
      </w:pPr>
      <w:r>
        <w:rPr>
          <w:rStyle w:val="Funotenzeichen"/>
        </w:rPr>
        <w:footnoteRef/>
      </w:r>
      <w:r>
        <w:rPr/>
        <w:tab/>
        <w:t>tFN: [Wie] - Brachylogie aus V. 2a (so z.B. Craigie 1983; Dahood 1965, S. 15; Ehrlich 1905, S. 5; Kissane 1953, S. 10; Kselman 1987, S. 574; auch GRAIL; MÜN).</w:t>
      </w:r>
    </w:p>
  </w:footnote>
  <w:footnote w:id="444">
    <w:p>
      <w:pPr>
        <w:pStyle w:val="Funote"/>
        <w:rPr/>
      </w:pPr>
      <w:r>
        <w:rPr>
          <w:rStyle w:val="Funotenzeichen"/>
        </w:rPr>
        <w:footnoteRef/>
      </w:r>
      <w:r>
        <w:rPr/>
        <w:tab/>
        <w:t>meine Gegner (die, die sich gegen mich erheben) - Der verwendete Begriff ist ein stehender Ausdruck für „Gegner“ (vgl. KBL3, S. 1016 und s. Ex 15,7; Dtn 28,7; 2 Sam 18,31; Ps 44,6). W. bedeutet er „die sich gegen mich erhebenden“, so deshalb wohl etwas zu wörtlich viele Üss.</w:t>
      </w:r>
    </w:p>
  </w:footnote>
  <w:footnote w:id="445">
    <w:p>
      <w:pPr>
        <w:pStyle w:val="Funote"/>
        <w:rPr/>
      </w:pPr>
      <w:r>
        <w:rPr>
          <w:rStyle w:val="Funotenzeichen"/>
        </w:rPr>
        <w:footnoteRef/>
      </w:r>
      <w:r>
        <w:rPr/>
        <w:tab/>
        <w:t>über meine Seele (über mich) - Heb. nephesch. Die häufige Übersetzung „Seele“ ist fast nie zu empfehlen, weil es im heb. Menschenbild einen Gegensatz von Körper und Seele so nicht gab; nephesch meint hier wie meist den ganzen Menschen und wird daher hier wie häufig als Wechselbegriff für „Ich“ verwendet.</w:t>
      </w:r>
    </w:p>
  </w:footnote>
  <w:footnote w:id="446">
    <w:p>
      <w:pPr>
        <w:pStyle w:val="Funote"/>
        <w:rPr/>
      </w:pPr>
      <w:r>
        <w:rPr>
          <w:rStyle w:val="Funotenzeichen"/>
        </w:rPr>
        <w:footnoteRef/>
      </w:r>
      <w:r>
        <w:rPr/>
        <w:tab/>
        <w:t>Rettung (Hilfe, Sieg) - I.d.R. übersetzt mit dem etwas blassen »Hilfe«. Der Psalm stellt aber den Beter ganz deutlich als von Feinden bedrängt dar; kontextuell angemessener ist daher »Rettung«. So gut auch Alter 2007, MÜN u.a. Die ebenfalls häufiger Übersetzung mit »Heil« oder gar »Erlösung« ist kontextuell unpassend.</w:t>
      </w:r>
    </w:p>
  </w:footnote>
  <w:footnote w:id="447">
    <w:p>
      <w:pPr>
        <w:pStyle w:val="Funote"/>
        <w:rPr/>
      </w:pPr>
      <w:r>
        <w:rPr>
          <w:rStyle w:val="Funotenzeichen"/>
        </w:rPr>
        <w:footnoteRef/>
      </w:r>
      <w:r>
        <w:rPr/>
        <w:tab/>
        <w:t xml:space="preserve">tFN: Das Suffix </w:t>
      </w:r>
      <w:r>
        <w:rPr>
          <w:rtl w:val="true"/>
          <w:lang w:bidi="he-IL"/>
        </w:rPr>
        <w:t>תְה</w:t>
      </w:r>
      <w:r>
        <w:rPr/>
        <w:t>- ist in der hebr. Poesie häufig bedeutungslos und dient nur der »poetischen Emphase«; vgl. GKC §90g; ad loc. auch Schmidt 1934, S. 6; Kraus 1961, S. 23.</w:t>
      </w:r>
    </w:p>
  </w:footnote>
  <w:footnote w:id="448">
    <w:p>
      <w:pPr>
        <w:pStyle w:val="Funote"/>
        <w:rPr/>
      </w:pPr>
      <w:r>
        <w:rPr>
          <w:rStyle w:val="Funotenzeichen"/>
        </w:rPr>
        <w:footnoteRef/>
      </w:r>
      <w:r>
        <w:rPr/>
        <w:tab/>
        <w:t xml:space="preserve">{Sela} - Die Bedeutung von „Sela“ ist unklar; vgl. Lexikon/Lemma </w:t>
      </w:r>
      <w:r>
        <w:rPr>
          <w:rtl w:val="true"/>
          <w:lang w:bidi="he-IL"/>
        </w:rPr>
        <w:t>סֶלַה</w:t>
      </w:r>
      <w:r>
        <w:rPr/>
        <w:t>. In der Lesefassung sollte es daher besser gestrichen werden, da es sonst nur ein unverständlicher Fremdkörper im dt. Text wäre.</w:t>
      </w:r>
    </w:p>
  </w:footnote>
  <w:footnote w:id="449">
    <w:p>
      <w:pPr>
        <w:pStyle w:val="Funote"/>
        <w:rPr/>
      </w:pPr>
      <w:r>
        <w:rPr>
          <w:rStyle w:val="Funotenzeichen"/>
        </w:rPr>
        <w:footnoteRef/>
      </w:r>
      <w:r>
        <w:rPr/>
        <w:tab/>
        <w:t>ein Schild um mich (bist Schutz für mich, schützt mich) - W. ein Schild um mich. Weil ein Schild aber ja nicht rundherum schützt (vgl. z.B. Gunkel 1968, S. 14: „Ein gewöhnlicher Schild deckt nur von einer, Jahve aber von allen Seiten.“), besser so: Schild wird in der heb. Poesie des Öfteren auch rein metaphorisch für „Schutz“ verwendet (vgl. z.B. Creach 1996, S. 29f.; KBL3, S. 517) und das Heb. ba`ad (meist: „um...herum“) kann auch nur die Relation des Schutz-für-jmdn-Seins angeben (vgl. z.B. KBL3, S. 135): „JHWH ist ein Schild um mich“ = „JHWH ist Schutz für mich“. Der Sinn der beiden Teilverse ist daher: Viele sagen, es gäbe keine Rettung für den Beter von Gott - aber Gott schützt ihn eben doch.</w:t>
      </w:r>
    </w:p>
  </w:footnote>
  <w:footnote w:id="450">
    <w:p>
      <w:pPr>
        <w:pStyle w:val="Funote"/>
        <w:rPr/>
      </w:pPr>
      <w:r>
        <w:rPr>
          <w:rStyle w:val="Funotenzeichen"/>
        </w:rPr>
        <w:footnoteRef/>
      </w:r>
      <w:r>
        <w:rPr/>
        <w:tab/>
        <w:t xml:space="preserve">mein Mächtiger (mein Herrlicher, mein Ansehen, meine Herrlichkeit) - W. auf den ersten Blick „meine Herrlichkeit“. Das macht aber nicht viel Sinn (=&gt; *Max ist Moritz' Herrlichkeit). Sinnvoller daher folgende Deutung: (1) kabod („Herrlichkeit“) ist hier wie öfter eine Bezeichnung für Gott, den „Herrlichen“, so dass alle drei aufeinanderfolgenden Aussagen Bezeichnungen für Gott enthalten: „mein Schild/Schutz“, „mein Herrlicher“, „der, der meinen Kopf erhebt“ (so z.B. Christensen 2005.3, S. 1; Dahood 1965, S. 15; Krašovec 1984, S. 60). (2) Brettler weist darauf hin, dass dies kabod im Heb. auch häufig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451">
    <w:p>
      <w:pPr>
        <w:pStyle w:val="Funote"/>
        <w:rPr/>
      </w:pPr>
      <w:r>
        <w:rPr>
          <w:rStyle w:val="Funotenzeichen"/>
        </w:rPr>
        <w:footnoteRef/>
      </w:r>
      <w:r>
        <w:rPr/>
        <w:tab/>
        <w:t>meinen Kopf (mich) erhebt (erhöht) - W.: „Der, der meinen Kopf erhöht“. „Mein Kopf“ ist im Heb. (ähnlich wie die „Seele“ in V. 3) ein Wechselbegriff für „Ich“ (vgl. z.B. Ryken 1998, S. 185.359f.; Schroer/Stäubli 2001, S. 83); „jmds Kopf erhöhen“ heißt daher hier „jemanden erhöhen“, „jemanden auszeichnen“ (vgl. KBL3, S. 1124).</w:t>
      </w:r>
    </w:p>
  </w:footnote>
  <w:footnote w:id="452">
    <w:p>
      <w:pPr>
        <w:pStyle w:val="Funote"/>
        <w:rPr/>
      </w:pPr>
      <w:r>
        <w:rPr>
          <w:rStyle w:val="Funotenzeichen"/>
        </w:rPr>
        <w:footnoteRef/>
      </w:r>
      <w:r>
        <w:rPr/>
        <w:tab/>
        <w:t>tFN: ich [mit] meiner Stimme - Oft analysiert als adverbialer Akkusativ der Art und Weise (vgl. z.B. Ex 24,3); was dann aber zwingen würde, entweder „laut“ zu ergänzen oder gar „Mit meiner Stimme“ als Ausdruck für „laut“ zu lesen; beides ist recht gezwungen. Andere Analysen: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453">
    <w:p>
      <w:pPr>
        <w:pStyle w:val="Funote"/>
        <w:rPr/>
      </w:pPr>
      <w:r>
        <w:rPr>
          <w:rStyle w:val="Funotenzeichen"/>
        </w:rPr>
        <w:footnoteRef/>
      </w:r>
      <w:r>
        <w:rPr/>
        <w:tab/>
        <w:t>antwortet - Das auf einen Flehruf folgende „Antworten“ Gottes steht in der Bibel fast ausnahmslos für eine Gebetserhörung; so auch hier.</w:t>
      </w:r>
    </w:p>
  </w:footnote>
  <w:footnote w:id="454">
    <w:p>
      <w:pPr>
        <w:pStyle w:val="Funote"/>
        <w:rPr/>
      </w:pPr>
      <w:r>
        <w:rPr>
          <w:rStyle w:val="Funotenzeichen"/>
        </w:rPr>
        <w:footnoteRef/>
      </w:r>
      <w:r>
        <w:rPr/>
        <w:tab/>
        <w:t xml:space="preserve">tFN: Die folgenden Verbtempora sind schwierig zu deuten: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zur Stelle z.B. auch Beyerlin 1970, S. 79; Kissane 1953, S. 11). Das ist wohl nicht so, deswegen sollte das Wayyiqtol </w:t>
      </w:r>
      <w:r>
        <w:rPr>
          <w:rtl w:val="true"/>
          <w:lang w:bidi="he-IL"/>
        </w:rPr>
        <w:t>וַיַּנֵנִי</w:t>
      </w:r>
      <w:r>
        <w:rPr/>
        <w:t xml:space="preserve"> </w:t>
      </w:r>
      <w:r>
        <w:rPr/>
        <w:t xml:space="preserve">besser mit Craigie, Gunkel, Kraus, Kselman, Zuber u.a. umpunktiert werden zum WeYiqtol </w:t>
      </w:r>
      <w:r>
        <w:rPr>
          <w:rtl w:val="true"/>
          <w:lang w:bidi="he-IL"/>
        </w:rPr>
        <w:t>וְיַּנֵנִי</w:t>
      </w:r>
      <w:r>
        <w:rPr/>
        <w:t xml:space="preserve"> </w:t>
      </w:r>
      <w:r>
        <w:rPr/>
        <w:t>(=&gt; Textkritik).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(=&gt; unmarkierter Nebensatz): „Wenn ich mich hinlege und schlafe / erwache ich wieder: JHWH schützt mich (habituelles Yiqtol)“. Ein Weiteres: Im Hebräischen kann eine Handlung auch nach dem Muster von hinlegen und schlafen durch zwei Verben ausgedrückt werden, was häufig ausdrückt, dass mit einer Handlung begonnen wird. Zum Beispiel kann ein Mensch im Hebräischen „aufstehen und gehen“=„losgehen“; „anheben und sprechen“=„das Wort ergreifen“ etc. Entsprechend könnte man hier „sich hinlegen und schlafen“ auch nur als „einschlafen“ übersetzen.</w:t>
      </w:r>
    </w:p>
  </w:footnote>
  <w:footnote w:id="455">
    <w:p>
      <w:pPr>
        <w:pStyle w:val="Funote"/>
        <w:rPr/>
      </w:pPr>
      <w:r>
        <w:rPr>
          <w:rStyle w:val="Funotenzeichen"/>
        </w:rPr>
        <w:footnoteRef/>
      </w:r>
      <w:r>
        <w:rPr/>
        <w:tab/>
        <w:t>Mit dem heiligen Berg (dem Berg seiner Heiligkeit) ist der Jerusalemer Berg Zion gemeint, auf dem der Tempel Gottes erbaut war. Nach altheb. Vorstellung wohnte Gott (zumindest „teilweise“) in seinem Tempel auf dem Zion (s. näher z.B. Zion / Zionstheologie (WiBiLex)); ein Gebet musste daher zuerst zum Tempel in Zion dringen (s. z.B. Jon 2,8), um dann vom Tempel in Zion aus erhört werden zu können.</w:t>
      </w:r>
    </w:p>
  </w:footnote>
  <w:footnote w:id="456">
    <w:p>
      <w:pPr>
        <w:pStyle w:val="Funote"/>
        <w:rPr/>
      </w:pPr>
      <w:r>
        <w:rPr>
          <w:rStyle w:val="Funotenzeichen"/>
        </w:rPr>
        <w:footnoteRef/>
      </w:r>
      <w:r>
        <w:rPr/>
        <w:tab/>
        <w:t>tFN: [den] - Auch ohne Artikel determiniert durch Relativsatz.</w:t>
      </w:r>
    </w:p>
  </w:footnote>
  <w:footnote w:id="457">
    <w:p>
      <w:pPr>
        <w:pStyle w:val="Funote"/>
        <w:rPr/>
      </w:pPr>
      <w:r>
        <w:rPr>
          <w:rStyle w:val="Funotenzeichen"/>
        </w:rPr>
        <w:footnoteRef/>
      </w:r>
      <w:r>
        <w:rPr/>
        <w:tab/>
        <w:t xml:space="preserve">tFN: {Ja!,} - Emphatisches </w:t>
      </w:r>
      <w:r>
        <w:rPr>
          <w:rtl w:val="true"/>
          <w:lang w:bidi="he-IL"/>
        </w:rPr>
        <w:t>כִּי</w:t>
      </w:r>
      <w:r>
        <w:rPr/>
        <w:t>; in der LF besser auszusparen.</w:t>
      </w:r>
    </w:p>
  </w:footnote>
  <w:footnote w:id="458">
    <w:p>
      <w:pPr>
        <w:pStyle w:val="Funote"/>
        <w:rPr/>
      </w:pPr>
      <w:r>
        <w:rPr>
          <w:rStyle w:val="Funotenzeichen"/>
        </w:rPr>
        <w:footnoteRef/>
      </w:r>
      <w:r>
        <w:rPr/>
        <w:tab/>
        <w:t>tFN: Zerschlage - W. auf den ersten Blick „du zerschlägst/hast zerschlagen“, was aber dazu zwingen würde, zwischen der Äußerung von Vv. 8ab (der Bitte) und 8c (Der Erfüllung der Bitte) eine ganze Kriegshandlung vergehen lassen zu müssen (so aber dennoch z.B. Beyerlin 1970; Kraus 1961). Besser: Prekatives Qatal; das Qatal wird aus poetischen Gründen wie ein Imperativ verwendet (so z.B. Buttenwieser 1938, S. 397; Dahood 1965, S. 20; Houston/Waltke 2010, S. 193; Kselman 1987, S. 578).</w:t>
      </w:r>
    </w:p>
  </w:footnote>
  <w:footnote w:id="459">
    <w:p>
      <w:pPr>
        <w:pStyle w:val="Funote"/>
        <w:rPr/>
      </w:pPr>
      <w:r>
        <w:rPr>
          <w:rStyle w:val="Funotenzeichen"/>
        </w:rPr>
        <w:footnoteRef/>
      </w:r>
      <w:r>
        <w:rPr/>
        <w:tab/>
        <w:t>Zerschlage (Schlage auf) - Die Parallelität von 8c zu 8d zeigt, dass wir hier durchaus nicht an Backpfeifen und Ohrfeigen zu denken haben, wie das die Mehrzahl der Exegeten und Üss.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Hackett/Huehnergard 1984).</w:t>
      </w:r>
    </w:p>
  </w:footnote>
  <w:footnote w:id="460">
    <w:p>
      <w:pPr>
        <w:pStyle w:val="Funote"/>
        <w:rPr/>
      </w:pPr>
      <w:r>
        <w:rPr>
          <w:rStyle w:val="Funotenzeichen"/>
        </w:rPr>
        <w:footnoteRef/>
      </w:r>
      <w:r>
        <w:rPr/>
        <w:tab/>
        <w:t>Bei JHWH ist Rettung - d.h.: „JHWH ist es, der rettet“ (ein sog. „Lamed der Zuständigkeit“: „Für die Rettung ist JHWH zuständig“).</w:t>
      </w:r>
    </w:p>
  </w:footnote>
  <w:footnote w:id="461">
    <w:p>
      <w:pPr>
        <w:pStyle w:val="Funote"/>
        <w:rPr/>
      </w:pPr>
      <w:r>
        <w:rPr>
          <w:rStyle w:val="Funotenzeichen"/>
        </w:rPr>
        <w:footnoteRef/>
      </w:r>
      <w:r>
        <w:rPr/>
        <w:tab/>
        <w:t>[Status: Zuverlässig]</w:t>
      </w:r>
    </w:p>
  </w:footnote>
  <w:footnote w:id="462">
    <w:p>
      <w:pPr>
        <w:pStyle w:val="Funote"/>
        <w:rPr/>
      </w:pPr>
      <w:r>
        <w:rPr>
          <w:rStyle w:val="Funotenzeichen"/>
        </w:rPr>
        <w:footnoteRef/>
      </w:r>
      <w:r>
        <w:rPr/>
        <w:tab/>
        <w:t>Für den Chorleiter (Dirigenten, Singenden, Musizierenden) + Saitenspiel (Flötenspiel) - Wie bei den meisten Psalmen sind auch hier die Bedeutungen der Begriffe im Titel unklar; die Primärübersetzungen sind die, die sich am häufigsten in den dt. Üss. finden.</w:t>
      </w:r>
    </w:p>
  </w:footnote>
  <w:footnote w:id="463">
    <w:p>
      <w:pPr>
        <w:pStyle w:val="Funote"/>
        <w:rPr/>
      </w:pPr>
      <w:r>
        <w:rPr>
          <w:rStyle w:val="Funotenzeichen"/>
        </w:rPr>
        <w:footnoteRef/>
      </w:r>
      <w:r>
        <w:rPr/>
        <w:tab/>
        <w:t>antworte mir (erhöre mich) - Die Rede vom „Antworten“ Gottes meint in den Psalmen häufig dessen Gebetserhörungen; so auch hier.</w:t>
      </w:r>
    </w:p>
  </w:footnote>
  <w:footnote w:id="464">
    <w:p>
      <w:pPr>
        <w:pStyle w:val="Funote"/>
        <w:rPr/>
      </w:pPr>
      <w:r>
        <w:rPr>
          <w:rStyle w:val="Funotenzeichen"/>
        </w:rPr>
        <w:footnoteRef/>
      </w:r>
      <w:r>
        <w:rPr/>
        <w:tab/>
        <w:t>mein wahrer Gott (gerechter Gott, Gott meines Heils, Gott meiner Gerechtigkeit - der heb. Text lässt sich entweder als Genitiv des Effekts deuten, also etwa als „du Gott, der für mich Gerechtigkeit/Heil verursacht“, oder als attributiver Genitiv, also etwa „du mein gerechter/wahrer Gott“. Da Gott in V. 3 mit anderen Götzen kontrastiert wird, haben wir der Üs. „du wahrer Gott“ den Vorzug gegeben.</w:t>
      </w:r>
    </w:p>
  </w:footnote>
  <w:footnote w:id="465">
    <w:p>
      <w:pPr>
        <w:pStyle w:val="Funote"/>
        <w:rPr/>
      </w:pPr>
      <w:r>
        <w:rPr>
          <w:rStyle w:val="Funotenzeichen"/>
        </w:rPr>
        <w:footnoteRef/>
      </w:r>
      <w:r>
        <w:rPr/>
        <w:tab/>
        <w:t>tFN: schaff mir (hast geschaffen) - prekatives Qatal; so z.B. auch Gerstenberger 1988; Goldingay 2006b; Houston/Waltke 2010; IBHS §30.5.4d.</w:t>
      </w:r>
    </w:p>
  </w:footnote>
  <w:footnote w:id="466">
    <w:p>
      <w:pPr>
        <w:pStyle w:val="Funote"/>
        <w:rPr/>
      </w:pPr>
      <w:r>
        <w:rPr>
          <w:rStyle w:val="Funotenzeichen"/>
        </w:rPr>
        <w:footnoteRef/>
      </w:r>
      <w:r>
        <w:rPr/>
        <w:tab/>
        <w:t>schaff mir Weite (hilf mir in meiner Not) - „Raum schaffen, weit machen, weiten“ ist hier sicher metaphorisch zu verstehen; vgl. z.B. Zorell 1928, S. 6: „Die Hebräer sahen Gefahr als »Enge« und die Befreiung von der Gefahr als »Erweiterung«, »Zugeständnis von weiten Räumen« an.“ Die einzige wirkliche weitere Belegstelle, die man hierfür heranziehen kann, ist Ps 25,17; aber die Parallele ist so nah und die Stoßrichtung der beiden Verse so klar, dass dies in der Tat die zu wählende Übersetzung sein sollte. So auch viele Üss.</w:t>
      </w:r>
    </w:p>
  </w:footnote>
  <w:footnote w:id="467">
    <w:p>
      <w:pPr>
        <w:pStyle w:val="Funote"/>
        <w:rPr/>
      </w:pPr>
      <w:r>
        <w:rPr>
          <w:rStyle w:val="Funotenzeichen"/>
        </w:rPr>
        <w:footnoteRef/>
      </w:r>
      <w:r>
        <w:rPr/>
        <w:tab/>
        <w:t>höre (erhöre) - Das „Hören“ Gottes meint in den Psalmen oft ebenso wie sein „Antworten“ Gebetserhörungen; zumal in Kombination mit dem Begriff tefillah („Flehen, Bitten, Gebet“) wie in V. 2; vgl. z.B. Schökel 1980, S. 41.</w:t>
      </w:r>
    </w:p>
  </w:footnote>
  <w:footnote w:id="468">
    <w:p>
      <w:pPr>
        <w:pStyle w:val="Funote"/>
        <w:rPr/>
      </w:pPr>
      <w:r>
        <w:rPr>
          <w:rStyle w:val="Funotenzeichen"/>
        </w:rPr>
        <w:footnoteRef/>
      </w:r>
      <w:r>
        <w:rPr/>
        <w:tab/>
        <w:t>{Männer} - Heb. bene ´isch („Söhne von Männern“). Häufig heißt es, dies meine entsprechend dem babylonischen mâr awilim und im Unterschied zum heb. bene ´adam („Söhne von Menschen“) höhergestellte Personen (daher z.B. Bonkamp 1949: „Söhne der Vornehmen“; Dahood 1965: „O men of rank“), aber an der einzigen Stelle, an der bene ´isch vorkommt und evt. diese Konnotation haben kann ( Ps 49,3), stammt diese Konnotation aus dem Kontext. Da hier der Kontext nicht in diese Richtung weist – und ebensowenig in Ps 62,10; Klg 3,33 – besser allgemein „Leute!/Männer!“. Ein solcher eine Rede einleitende Vokativ ist im Deutschen aber unüblich, weshalb man es für die Lesefassung besser streichen sollte.</w:t>
      </w:r>
    </w:p>
  </w:footnote>
  <w:footnote w:id="469">
    <w:p>
      <w:pPr>
        <w:pStyle w:val="Funote"/>
        <w:rPr/>
      </w:pPr>
      <w:r>
        <w:rPr>
          <w:rStyle w:val="Funotenzeichen"/>
        </w:rPr>
        <w:footnoteRef/>
      </w:r>
      <w:r>
        <w:rPr/>
        <w:tab/>
        <w:t>Herrlicher (Gott, meine Ehre) - W. auf den ersten Blick „meine Herrlichkeit“; kabod („Herrlichkeit“) wird hier wohl wie oft appellativisch für JHWH verwendet, wohin z.B. die folgende Kontrastierung mit den „Lügen-gebilden und Nichtsen“ (=Götzen) in V. 3b weist. So z.B. Dahood 1965, S. 22; Goldingay 2006b, S. 171; NIV.</w:t>
      </w:r>
    </w:p>
  </w:footnote>
  <w:footnote w:id="470">
    <w:p>
      <w:pPr>
        <w:pStyle w:val="Funote"/>
        <w:rPr/>
      </w:pPr>
      <w:r>
        <w:rPr>
          <w:rStyle w:val="Funotenzeichen"/>
        </w:rPr>
        <w:footnoteRef/>
      </w:r>
      <w:r>
        <w:rPr/>
        <w:tab/>
        <w:t>geschmäht (zum Schimpf) - W. „zum Schimpf“, Lamed des Zustands; vgl. z.B. KBL3, S. 484. Die Bedeutung ist schlicht „Wie lange soll das noch so gehen, dass ihr meinen Gott schmäht?“.</w:t>
      </w:r>
    </w:p>
  </w:footnote>
  <w:footnote w:id="471">
    <w:p>
      <w:pPr>
        <w:pStyle w:val="Funote"/>
        <w:rPr/>
      </w:pPr>
      <w:r>
        <w:rPr>
          <w:rStyle w:val="Funotenzeichen"/>
        </w:rPr>
        <w:footnoteRef/>
      </w:r>
      <w:r>
        <w:rPr/>
        <w:tab/>
        <w:t>Nichtiges, Leeres und andere ähnliche Substantive werden in der Bibel häufiger dysphemistisch für Götzen verwendet; so auch hier; vgl. ad loc. Dahood 1965, S. 23f.; Terrien 2003, S. 97.</w:t>
      </w:r>
    </w:p>
  </w:footnote>
  <w:footnote w:id="472">
    <w:p>
      <w:pPr>
        <w:pStyle w:val="Funote"/>
        <w:rPr/>
      </w:pPr>
      <w:r>
        <w:rPr>
          <w:rStyle w:val="Funotenzeichen"/>
        </w:rPr>
        <w:footnoteRef/>
      </w:r>
      <w:r>
        <w:rPr/>
        <w:tab/>
        <w:t xml:space="preserve">{Sela} - Die Bedeutung von sela ist unklar; vgl. Lexikon/Lemma </w:t>
      </w:r>
      <w:r>
        <w:rPr>
          <w:rtl w:val="true"/>
          <w:lang w:bidi="he-IL"/>
        </w:rPr>
        <w:t>סֶלַה</w:t>
      </w:r>
      <w:r>
        <w:rPr/>
        <w:t>. In der Lesefassung sollte es daher besser gestrichen werden, da es sonst nur ein unverständlicher Fremdkörper im deutschen Text wäre.</w:t>
      </w:r>
    </w:p>
  </w:footnote>
  <w:footnote w:id="473">
    <w:p>
      <w:pPr>
        <w:pStyle w:val="Funote"/>
        <w:rPr/>
      </w:pPr>
      <w:r>
        <w:rPr>
          <w:rStyle w:val="Funotenzeichen"/>
        </w:rPr>
        <w:footnoteRef/>
      </w:r>
      <w:r>
        <w:rPr/>
        <w:tab/>
        <w:t>Textkritik: Der Vers gibt, wie er steht, im Kontext des Psalms nicht sonderlich viel Sinn: „JHWH hat sich einen Frommen ge-/unterschieden“. Viele Handschriften haben statt hiplah („er hat geschieden“) hipla´ („er hat Wunder vollbracht/wundervoll gehandelt“), was auch LXX und Hier voraussetzen. Diese Lesart ist sicher vorzuziehen; so daher z.B. auch BB, EÜ, GN, GRAIL, HER05, LUT 84. Dahood 1965, S. 23 denkt sogar, dass es sich bloß um eine alternative Schreibung handelt.</w:t>
      </w:r>
    </w:p>
  </w:footnote>
  <w:footnote w:id="474">
    <w:p>
      <w:pPr>
        <w:pStyle w:val="Funote"/>
        <w:rPr/>
      </w:pPr>
      <w:r>
        <w:rPr>
          <w:rStyle w:val="Funotenzeichen"/>
        </w:rPr>
        <w:footnoteRef/>
      </w:r>
      <w:r>
        <w:rPr/>
        <w:tab/>
        <w:t>den ihm Frommen (seinem Frommen) - Heb. lo („sein“/„den ihm“) lässt sich sowohl possessiv deuten („sein Frommer“) als auch „direktional“ als Angabe, wem die Frömmigkeit des Frommen gilt („der ihm Fromme“). Wg. dem Kontrast mit Götzenanbetern ist Letzteres vorzuziehen.</w:t>
      </w:r>
    </w:p>
  </w:footnote>
  <w:footnote w:id="475">
    <w:p>
      <w:pPr>
        <w:pStyle w:val="Funote"/>
        <w:rPr/>
      </w:pPr>
      <w:r>
        <w:rPr>
          <w:rStyle w:val="Funotenzeichen"/>
        </w:rPr>
        <w:footnoteRef/>
      </w:r>
      <w:r>
        <w:rPr/>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Interpretiert man den jeweils ersten Imperativ der beiden Imperativketten als Pseudo-Imperativ, lässt sich die Sinnstruktur des Verses als hyperbatischer (=&gt; Hyperbaton) Merismus deuten; der Vers bedeutete dann etwa „Ob ihr erregt seid oder nachdenkt: Sündigt nicht und schweigt!“. V. 5 schließt sich damit eng an an V. 3a. Als Pseudo-Imperative deuten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476">
    <w:p>
      <w:pPr>
        <w:pStyle w:val="Funote"/>
        <w:rPr/>
      </w:pPr>
      <w:r>
        <w:rPr>
          <w:rStyle w:val="Funotenzeichen"/>
        </w:rPr>
        <w:footnoteRef/>
      </w:r>
      <w:r>
        <w:rPr/>
        <w:tab/>
        <w:t>unruhig seid (seid unruhig!, Zittert!) - „Zittern“ steht häufig metonymisch für den Ausdruck eines starken Gefühls; um welches Gefühl es sich handelt, muss dabei aus dem Kontext erschlossen werden (vgl. ThWAT VII, S. 328). Indiz für die hierige Bedeutung ist der Gegensatz des Wortes zu „Geht in euch!“ (W.: „Sprecht mit euren Herzen“) in der folgenden Zeile. Daher wohl am Besten „seid unruhig!“. Vgl. auch die letzte Fußnote.</w:t>
      </w:r>
    </w:p>
  </w:footnote>
  <w:footnote w:id="477">
    <w:p>
      <w:pPr>
        <w:pStyle w:val="Funote"/>
        <w:rPr/>
      </w:pPr>
      <w:r>
        <w:rPr>
          <w:rStyle w:val="Funotenzeichen"/>
        </w:rPr>
        <w:footnoteRef/>
      </w:r>
      <w:r>
        <w:rPr/>
        <w:tab/>
        <w:t>[Wenn ihr] in euren Betten in euren Herzen sprecht - Im Herzen sprechen = häufiger Ausdruck für „reflektieren“ (vgl. z.B. Kselman 1987b, S. 104). Mit dem „Reflektieren im Bett“ zitiert der Psalmist ein häufiges Motiv: Die Nachruhe wird in der Bibel noch öfter dargestellt als die charakteristische Zeit für das Nachdenken über Gott; s. z.B. Ijob 35,10; Ps 42,9; 77,7; 119,55.62; Jes 26,9 u.ö. (vgl. auch Booij 2008, S. 107).</w:t>
      </w:r>
    </w:p>
  </w:footnote>
  <w:footnote w:id="478">
    <w:p>
      <w:pPr>
        <w:pStyle w:val="Funote"/>
        <w:rPr/>
      </w:pPr>
      <w:r>
        <w:rPr>
          <w:rStyle w:val="Funotenzeichen"/>
        </w:rPr>
        <w:footnoteRef/>
      </w:r>
      <w:r>
        <w:rPr/>
        <w:tab/>
        <w:t>Opfer dem wahren [Gott] (Opfer der Gerechtigkeit, richtige Opfer) - Meist übersetzt als „Opfer der Gerechtigkeit“ oder „rechte Opfer“. Darüber, was das eigentlich sein soll, besteht keine Einigkeit in der Exegese. Besser daher: tsedeq ist zu verstehen als Appellativ für JHWH, wie er ja schon in V. 2 als der tsedeq Gott bezeichnet wurde und die Entsprechungen von tsedeq im Arabischen, Phönizischen und Ugaritischen häufiger verwendet werden (vgl. KBL3, S. 943). W. dann „Opfer des Wahren“; das des Wahren ist dann als Genitiv des Zwecks zu verstehen (vgl. z.B. A-C §2.2.8): „Opfer für den Wahren“. Vgl. die parallelen Formulierungen „Opfer der Götter“=„Opfer für die Götter“ (z.B. Num 25,2; Ps 51,19) und „Opfer JHWHs“=„Opfer für JHWH“ (z.B. Zef 1,8).</w:t>
      </w:r>
    </w:p>
  </w:footnote>
  <w:footnote w:id="479">
    <w:p>
      <w:pPr>
        <w:pStyle w:val="Funote"/>
        <w:rPr/>
      </w:pPr>
      <w:r>
        <w:rPr>
          <w:rStyle w:val="Funotenzeichen"/>
        </w:rPr>
        <w:footnoteRef/>
      </w:r>
      <w:r>
        <w:rPr/>
        <w:tab/>
        <w:t>[Während] - 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480">
    <w:p>
      <w:pPr>
        <w:pStyle w:val="Funote"/>
        <w:rPr/>
      </w:pPr>
      <w:r>
        <w:rPr>
          <w:rStyle w:val="Funotenzeichen"/>
        </w:rPr>
        <w:footnoteRef/>
      </w:r>
      <w:r>
        <w:rPr/>
        <w:tab/>
        <w:t>Lass uns Gutes erfahren! - Theoretisch möglich: Deutung der rhetorischen Frage als Wunschsatz; so z.B. Goldingay 2006b, S. 167; Warren-Rothlin 2007, S. 66; Dav §135; HKL III §354g</w:t>
      </w:r>
    </w:p>
  </w:footnote>
  <w:footnote w:id="481">
    <w:p>
      <w:pPr>
        <w:pStyle w:val="Funote"/>
        <w:rPr/>
      </w:pPr>
      <w:r>
        <w:rPr>
          <w:rStyle w:val="Funotenzeichen"/>
        </w:rPr>
        <w:footnoteRef/>
      </w:r>
      <w:r>
        <w:rPr/>
        <w:tab/>
        <w:t>[wo doch] - V. 7b soll offenbar das Motiv hinter dem mangelnden Vertrauen der »Vielen« in Gott in 7a nennen; übersetze daher »da...«, »wo doch...« o.Ä.</w:t>
      </w:r>
    </w:p>
  </w:footnote>
  <w:footnote w:id="482">
    <w:p>
      <w:pPr>
        <w:pStyle w:val="Funote"/>
        <w:rPr/>
      </w:pPr>
      <w:r>
        <w:rPr>
          <w:rStyle w:val="Funotenzeichen"/>
        </w:rPr>
        <w:footnoteRef/>
      </w:r>
      <w:r>
        <w:rPr/>
        <w:tab/>
        <w:t xml:space="preserve">Textkritik: </w:t>
      </w:r>
      <w:r>
        <w:rPr>
          <w:rtl w:val="true"/>
          <w:lang w:bidi="he-IL"/>
        </w:rPr>
        <w:t>נְסָה</w:t>
      </w:r>
      <w:r>
        <w:rPr/>
        <w:t xml:space="preserve"> </w:t>
      </w:r>
      <w:r>
        <w:rPr/>
        <w:t xml:space="preserve">muss emendiert werden. Meist wird es emendiert zu </w:t>
      </w:r>
      <w:r>
        <w:rPr>
          <w:rtl w:val="true"/>
          <w:lang w:bidi="he-IL"/>
        </w:rPr>
        <w:t>נְשָה</w:t>
      </w:r>
      <w:r>
        <w:rPr/>
        <w:t xml:space="preserve"> </w:t>
      </w:r>
      <w:r>
        <w:rPr/>
        <w:t xml:space="preserve">(»erhebe!«, so z.B. Craigie, Houston/Waltke, einige Üss.); vorzuziehen ist aber </w:t>
      </w:r>
      <w:r>
        <w:rPr>
          <w:rtl w:val="true"/>
          <w:lang w:bidi="he-IL"/>
        </w:rPr>
        <w:t>נָסָה</w:t>
      </w:r>
      <w:r>
        <w:rPr/>
        <w:t xml:space="preserve"> </w:t>
      </w:r>
      <w:r>
        <w:rPr/>
        <w:t>(»geflohen ist«, so Dahood 1965, S. 26; Driver 1951, S. 247; Schökel 1980, S. 38)</w:t>
      </w:r>
    </w:p>
  </w:footnote>
  <w:footnote w:id="483">
    <w:p>
      <w:pPr>
        <w:pStyle w:val="Funote"/>
        <w:rPr/>
      </w:pPr>
      <w:r>
        <w:rPr>
          <w:rStyle w:val="Funotenzeichen"/>
        </w:rPr>
        <w:footnoteRef/>
      </w:r>
      <w:r>
        <w:rPr/>
        <w:tab/>
        <w:t>tFN: von über - Zu dieser Bed. von `al vgl. z.B. Driver 1951, S. 247.</w:t>
      </w:r>
    </w:p>
  </w:footnote>
  <w:footnote w:id="484">
    <w:p>
      <w:pPr>
        <w:pStyle w:val="Funote"/>
        <w:rPr/>
      </w:pPr>
      <w:r>
        <w:rPr>
          <w:rStyle w:val="Funotenzeichen"/>
        </w:rPr>
        <w:footnoteRef/>
      </w:r>
      <w:r>
        <w:rPr/>
        <w:tab/>
        <w:t>Das »Licht des Angesichts« JHWHs ist eine häufige Metapher im AT. Sie geht wohl darauf zurück, dass man sich JHWH ursprünglich (auch) als einen Sonnengott vorstellte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485">
    <w:p>
      <w:pPr>
        <w:pStyle w:val="Funote"/>
        <w:rPr/>
      </w:pPr>
      <w:r>
        <w:rPr>
          <w:rStyle w:val="Funotenzeichen"/>
        </w:rPr>
        <w:footnoteRef/>
      </w:r>
      <w:r>
        <w:rPr/>
        <w:tab/>
        <w:t>tFN: {ihr} - Vermeintliche Personalpronomen verstanden als enklitische Mems (vgl. z.B. IBHS §9.8).</w:t>
      </w:r>
    </w:p>
  </w:footnote>
  <w:footnote w:id="486">
    <w:p>
      <w:pPr>
        <w:pStyle w:val="Funote"/>
        <w:rPr/>
      </w:pPr>
      <w:r>
        <w:rPr>
          <w:rStyle w:val="Funotenzeichen"/>
        </w:rPr>
        <w:footnoteRef/>
      </w:r>
      <w:r>
        <w:rPr/>
        <w:tab/>
        <w:t xml:space="preserve">sofort - Vgl. CDCH, S. 151: </w:t>
      </w:r>
      <w:r>
        <w:rPr>
          <w:rtl w:val="true"/>
          <w:lang w:bidi="he-IL"/>
        </w:rPr>
        <w:t>יַחְדָּו</w:t>
      </w:r>
      <w:r>
        <w:rPr/>
        <w:t>: „(almost) contemporaneous activity, modifying two verbs [...] I both lie down and sleep Ps 4,9.“</w:t>
      </w:r>
    </w:p>
  </w:footnote>
  <w:footnote w:id="487">
    <w:p>
      <w:pPr>
        <w:pStyle w:val="Funote"/>
        <w:rPr/>
      </w:pPr>
      <w:r>
        <w:rPr>
          <w:rStyle w:val="Funotenzeichen"/>
        </w:rPr>
        <w:footnoteRef/>
      </w:r>
      <w:r>
        <w:rPr/>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Motivs des „abseits-Wohnens“, was - wie ja auch hier durch die Parallelität zu „sicher“ deutlich wird - häufig auch die Konnotation des sicheren Wohnens annimmt (vgl. z.B. Num 23,9; Dtn 33,28), daher ist Variante 3 vorzuziehen.</w:t>
      </w:r>
    </w:p>
  </w:footnote>
  <w:footnote w:id="488">
    <w:p>
      <w:pPr>
        <w:pStyle w:val="Funote"/>
        <w:rPr/>
      </w:pPr>
      <w:r>
        <w:rPr>
          <w:rStyle w:val="Funotenzeichen"/>
        </w:rPr>
        <w:footnoteRef/>
      </w:r>
      <w:r>
        <w:rPr/>
        <w:tab/>
        <w:t>JHWH</w:t>
      </w:r>
    </w:p>
  </w:footnote>
  <w:footnote w:id="489">
    <w:p>
      <w:pPr>
        <w:pStyle w:val="Funote"/>
        <w:rPr/>
      </w:pPr>
      <w:r>
        <w:rPr>
          <w:rStyle w:val="Funotenzeichen"/>
        </w:rPr>
        <w:footnoteRef/>
      </w:r>
      <w:r>
        <w:rPr/>
        <w:tab/>
        <w:t>[Status: Zuverlässig]</w:t>
      </w:r>
    </w:p>
  </w:footnote>
  <w:footnote w:id="490">
    <w:p>
      <w:pPr>
        <w:pStyle w:val="Funote"/>
        <w:rPr/>
      </w:pPr>
      <w:r>
        <w:rPr>
          <w:rStyle w:val="Funotenzeichen"/>
        </w:rPr>
        <w:footnoteRef/>
      </w:r>
      <w:r>
        <w:rPr/>
        <w:tab/>
        <w:t>Für den Chorleiter + Zu Flötenspiel (nach „das Erbe“) - Wie bei den meisten Psalmen sind auch hier die Bedeutungen der Begriffe im Titel unklar; die Primärübersetzungen sind die, die sich am häufigsten in den dt. Üss. finden.</w:t>
      </w:r>
    </w:p>
  </w:footnote>
  <w:footnote w:id="491">
    <w:p>
      <w:pPr>
        <w:pStyle w:val="Funote"/>
        <w:rPr/>
      </w:pPr>
      <w:r>
        <w:rPr>
          <w:rStyle w:val="Funotenzeichen"/>
        </w:rPr>
        <w:footnoteRef/>
      </w:r>
      <w:r>
        <w:rPr/>
        <w:tab/>
        <w:t>höre (erhöre mich) + achte auf (erhöre) + lausche auf (erhöre) - Drei Verben, die zunächst schlicht für das „Hören“ stehen, hier wie oft aber als Bitten um Gebetserhörungen verwendet werden.Trikolon mit Klimax; mit den Begriffen wird um ein immer aufmerksames Hören gebetet: „höre“ =&gt; V. 2b „achte auf“ =&gt; V. 3a „lausche (aufmerksam)“.</w:t>
      </w:r>
    </w:p>
  </w:footnote>
  <w:footnote w:id="492">
    <w:p>
      <w:pPr>
        <w:pStyle w:val="Funote"/>
        <w:rPr/>
      </w:pPr>
      <w:r>
        <w:rPr>
          <w:rStyle w:val="Funotenzeichen"/>
        </w:rPr>
        <w:footnoteRef/>
      </w:r>
      <w:r>
        <w:rPr/>
        <w:tab/>
        <w:t>Flehen (Grübeln, Murmeln) - Heb. hagigi; Bed. unklar. Der Kontext macht aber offensichtlich, dass es sich hier um einen Ausdruck für ein flehendes Gebet handelt. Und da sich in Vv. 2ab.3a bei den Verben eine Steigerung findet (s. vorige FN) und auch bei den Substantiven „Geschrei“ in V. 3a stärker ist als „Stimme“ in V. 2a, macht es Sinn, anzunehmen, dass auch „Stimme“ =&gt; hagigi =&gt; „Geschrei“ eine Steigerung verdichten sollen und also hagigi irgendwo zwischen „Stimme“ und „Geschrei“ liegt, also etwa „Flehen“.</w:t>
      </w:r>
    </w:p>
  </w:footnote>
  <w:footnote w:id="493">
    <w:p>
      <w:pPr>
        <w:pStyle w:val="Funote"/>
        <w:rPr/>
      </w:pPr>
      <w:r>
        <w:rPr>
          <w:rStyle w:val="Funotenzeichen"/>
        </w:rPr>
        <w:footnoteRef/>
      </w:r>
      <w:r>
        <w:rPr/>
        <w:tab/>
        <w:t>zu dir beten (dir [Opfer/Gebete] bereiten, mich bereit machen für dich) - Heb. `arak (meist „bereiten“); auf den ersten Blick also: „Ich will dir bereiten.“ Weil nach dieser Bedeutung offensichtlich ein Objekt fehlt, das da „bereitet“ wird, sind folgende Deutungen vorgeschlagen worden: # `arak ist hier zu verstehen als „beten“ (so Seeligmann 1967, S. 278; auch Ges18, S. 1014; KBL3, S. 837). Dieser Deutung folgen auch wir. # U.U. kann `arak nicht nur „[X] bereitmachen“, sd. auch reflexiv „sich bereitmachen“ bedeuten (vgl. CDCH, S. 344; Terrien 2003, S. 104): „Am Morgen richte (ordne) ich mich an Dich“ (TAF; so wohl auch LUT 12, LUT 84, van Ess) # Das Objekt ist „ausgespart“ (Warum?) und muss ergänzt werden: „Ich will [X] bereiten“ (so die meisten Üss.)</w:t>
      </w:r>
    </w:p>
  </w:footnote>
  <w:footnote w:id="494">
    <w:p>
      <w:pPr>
        <w:pStyle w:val="Funote"/>
        <w:rPr/>
      </w:pPr>
      <w:r>
        <w:rPr>
          <w:rStyle w:val="Funotenzeichen"/>
        </w:rPr>
        <w:footnoteRef/>
      </w:r>
      <w:r>
        <w:rPr/>
        <w:tab/>
        <w:t>tFN: [auf dich] - Brachylogie aus dem vorigen Ausdruck („zu dir beten“).</w:t>
      </w:r>
    </w:p>
  </w:footnote>
  <w:footnote w:id="495">
    <w:p>
      <w:pPr>
        <w:pStyle w:val="Funote"/>
        <w:rPr/>
      </w:pPr>
      <w:r>
        <w:rPr>
          <w:rStyle w:val="Funotenzeichen"/>
        </w:rPr>
        <w:footnoteRef/>
      </w:r>
      <w:r>
        <w:rPr/>
        <w:tab/>
        <w:t>tFN: {Oh!} - Emphatisches ki; im Deutschen nicht zu übersetzen. Diese Verwendung von ki ist recht häufig gerade am Beginn einer Strophe; vgl. z.B. Muilenburg 1961, S. 148f.</w:t>
      </w:r>
    </w:p>
  </w:footnote>
  <w:footnote w:id="496">
    <w:p>
      <w:pPr>
        <w:pStyle w:val="Funote"/>
        <w:rPr/>
      </w:pPr>
      <w:r>
        <w:rPr>
          <w:rStyle w:val="Funotenzeichen"/>
        </w:rPr>
        <w:footnoteRef/>
      </w:r>
      <w:r>
        <w:rPr/>
        <w:tab/>
        <w:t>Böse (Böses) + Schlechte (Schlechtes) - Rein sprachlich sind beide Üss. möglich; spätestens V. 6 wird aber klar, dass hier von Menschen die Rede ist; daher ist durchaus der Primärübersetzung der Vorzug zu geben.</w:t>
      </w:r>
    </w:p>
  </w:footnote>
  <w:footnote w:id="497">
    <w:p>
      <w:pPr>
        <w:pStyle w:val="Funote"/>
        <w:rPr/>
      </w:pPr>
      <w:r>
        <w:rPr>
          <w:rStyle w:val="Funotenzeichen"/>
        </w:rPr>
        <w:footnoteRef/>
      </w:r>
      <w:r>
        <w:rPr/>
        <w:tab/>
        <w:t>Frevler (Angeber, Törichte) - Meist übersetzt als „Angeber, Lärmer“. Da das Wort aber hier im Parallelismus steht zu den „Bösen“, den „Schlechten“ und den „Übeltätern“, ist es überdeutlich, dass es hier ebenfalls als moralische Kategorie verwendet wird. Zur Üs. mit „Frevler“ vgl. ZLH, S. 193; vgl. auch LXX: „Gesetzesbrecher“; VUL: „Bösartige“; H-R: „Der Böse“; HER05: „Die Unrecht verüben“; NVul: „Ungerechte“; van Ess: „Frevler“.</w:t>
      </w:r>
    </w:p>
  </w:footnote>
  <w:footnote w:id="498">
    <w:p>
      <w:pPr>
        <w:pStyle w:val="Funote"/>
        <w:rPr/>
      </w:pPr>
      <w:r>
        <w:rPr>
          <w:rStyle w:val="Funotenzeichen"/>
        </w:rPr>
        <w:footnoteRef/>
      </w:r>
      <w:r>
        <w:rPr/>
        <w:tab/>
        <w:t>es dürfen (werden) nicht stehen Frevler vor deinen Augen - raffiniert gedichtete Zeile. jatsab kann bedeuten: (1) „stehen“; (2) „stehen-bleiben“ i.S.v. „verweilen“; (3) „be-stehen“ (auch (4) i.S.v.: „am Leben bleiben“) und leneged `eneka (W. „vor deinen Augen“) kann sowohl (1) schlicht „vor dir“ meinen als auch (2) „in deinem Urteil“ (vgl. z.B. ZLH, S. 591). Grundeinheit der heb. Poesie ist der sog. „Parallelismus“, eine Art „Gedanken-reim“: Eine Zeile geht in irgendeiner Weise parallel mit einer weitere Zeile. Ein Sonderfall hiervon ist das Stilmittel des „Janusparallelismus“: Durch die Mehrdeutigkeit eines Wortes oder einer syntaktischen Konstruktion geht eine Zeile mit mindestens zwei Zeilen parallel; je nachdem, wie das Wort oder die Konstruktion gedeutet wird. V. 6a geht sogar mit drei Zeilen parallel; vielleicht könnte man dies entsprechend als „Cerberus-Parallelismus“ bezeichnen: * 5a + 6b: „Sie dürfen nicht wohnen bei dir / Sie dürfen nicht bleiben vor dir.“ * 6a + 6b: „Sie bestehen nicht vor deinem Urteil / Du hasst sie.“ * 6a + 7a: „Sie dürfen nach deinem Urteil nicht bestehen (=am Leben bleiben) / Du wirst vernichten Lügner.“</w:t>
      </w:r>
    </w:p>
  </w:footnote>
  <w:footnote w:id="499">
    <w:p>
      <w:pPr>
        <w:pStyle w:val="Funote"/>
        <w:rPr/>
      </w:pPr>
      <w:r>
        <w:rPr>
          <w:rStyle w:val="Funotenzeichen"/>
        </w:rPr>
        <w:footnoteRef/>
      </w:r>
      <w:r>
        <w:rPr/>
        <w:tab/>
        <w:t>Tuer von Unheil (Unholde) - Häufiger Ausdruck für die Feinde eines Psalmisten. Das konkrete Unheil, das diese „Unholde“ tun, sind meist Wort-Sünden (vgl. ThWAT I, S. 155), was diesen Sticho gut zusammenstimmen lässt mit dem folgenden V. 7.</w:t>
      </w:r>
    </w:p>
  </w:footnote>
  <w:footnote w:id="500">
    <w:p>
      <w:pPr>
        <w:pStyle w:val="Funote"/>
        <w:rPr/>
      </w:pPr>
      <w:r>
        <w:rPr>
          <w:rStyle w:val="Funotenzeichen"/>
        </w:rPr>
        <w:footnoteRef/>
      </w:r>
      <w:r>
        <w:rPr/>
        <w:tab/>
        <w:t>verabscheut (verabscheust du,) JHWH - P-Shift; unübersetzbares heb. Stilmittel: In der heb. Lyrik kann aus stilistischen Gründen von einer Zeile auf die nächste von einer Person zu einer anderen gewechselt werden, ohne dass dies einen Bedeutungsunterschied macht - wie z.B. hier von der zweiten („du wirst vernichten“) zur dritten („er verabscheut“). Schon VUL übersetzt daher auch hier richtig mit 2. Pers.: „verabscheust du, JHWH“.</w:t>
      </w:r>
    </w:p>
  </w:footnote>
  <w:footnote w:id="501">
    <w:p>
      <w:pPr>
        <w:pStyle w:val="Funote"/>
        <w:rPr/>
      </w:pPr>
      <w:r>
        <w:rPr>
          <w:rStyle w:val="Funotenzeichen"/>
        </w:rPr>
        <w:footnoteRef/>
      </w:r>
      <w:r>
        <w:rPr/>
        <w:tab/>
        <w:t>in deiner - V. 8ab.9a haben je eine mit be- („in“) präfigierte und mit -ka („deine“) suffigierte Angabe: 8a: „In deiner großen Gnade“, 8b: „In deiner Furcht“, 9a: „In deiner Gerechtigkeit“. Das parallelisiert die drei Stichen (=&gt; grammatischer Parallelismus), in keiner der Zeilen ist aber eine wörtl. Übertragung gut möglich: * Das be in „in der Menge deiner Gnade“ ist ein sog. „Beth rationis impellentis“, mit dem angegeben wird, dass etwas dank etwas geschieht; hier also, dass Gottes Güte ihn zu besagter „Erlaubnis“ veranlasst; sinngemäßer also „dank der Menge deiner Gnade“ * „In deiner Furcht“ meint „in Ehrfurcht vor dir“ * „In deiner Gerechtigkeit“ fungiert als Appell: „du gerechter Gott“.</w:t>
      </w:r>
    </w:p>
  </w:footnote>
  <w:footnote w:id="502">
    <w:p>
      <w:pPr>
        <w:pStyle w:val="Funote"/>
        <w:rPr/>
      </w:pPr>
      <w:r>
        <w:rPr>
          <w:rStyle w:val="Funotenzeichen"/>
        </w:rPr>
        <w:footnoteRef/>
      </w:r>
      <w:r>
        <w:rPr/>
        <w:tab/>
        <w:t>tFN: in (zu) - ´él (meist: „zu, nach“) hat hier wie noch häufiger nicht direktionale, sd. lokative Bed. Hier sogar recht deutlich, da im vorangehenden Vers ja davon die Rede ist, dass der Beter den Tempel betreten darf. Vgl. auch Syr, Ehrlich 1905; NCV; Prinsloo 1998 ;TAF; van Ess: „in deinem Tempel“.</w:t>
      </w:r>
    </w:p>
  </w:footnote>
  <w:footnote w:id="503">
    <w:p>
      <w:pPr>
        <w:pStyle w:val="Funote"/>
        <w:rPr/>
      </w:pPr>
      <w:r>
        <w:rPr>
          <w:rStyle w:val="Funotenzeichen"/>
        </w:rPr>
        <w:footnoteRef/>
      </w:r>
      <w:r>
        <w:rPr/>
        <w:tab/>
        <w:t>um meiner Feinde willen (wegen meiner Feinde) - s. hierzu die nächste FN.</w:t>
      </w:r>
    </w:p>
  </w:footnote>
  <w:footnote w:id="504">
    <w:p>
      <w:pPr>
        <w:pStyle w:val="Funote"/>
        <w:rPr/>
      </w:pPr>
      <w:r>
        <w:rPr>
          <w:rStyle w:val="Funotenzeichen"/>
        </w:rPr>
        <w:footnoteRef/>
      </w:r>
      <w:r>
        <w:rPr/>
        <w:tab/>
        <w:t>V. 9 - Schwierige Stelle. Der „Weg“ ist im AT eine sehr häufige Metapher für die Lebensführung „dein Weg“ wäre dann das gottgemäße Leben, ein Leben, wie es Gott gefällt (vgl. ähnlich z.B. Ps 143,10: „Führe mich auf rechter Bahn“ = „Lehre mich handeln, wie dir das gefällt“). So wird auch dieser Vers i.d.R. verstanden, doch dann ist (wie auch bei den sehr ähnlichen Formulierungen in 27,11 und 69,9) unklar, was hier die Rede von den „Feinden“ soll. Versuchsweise sei daher die alternative Deutung vorgeschlagen, dass hier nicht um Hilfe bei der Führung eines gottgemäßen Lebens gebeten wird, sondern darum, dass Gott den Beter auf einem tatsächlichen Weg behüten möge (nämlich eben dem zu Gottes Tempel, V. 8), was nötig ist, weil ihm Feinde auflauern könnten (ein häufiges Motiv in den Psalmen, zu lauernden und fallenstellenden Feinden s. z.B. Ps 10,8; 17,11f.; 35,7f. u.ö., zur Bewahrung auf dem Weg z.B. 23,4f.; 37,23; 91,11; Spr 3,23 u.ö.; zu Ps 27,11 s. gleich).Genauer: führen hat hier wie öfter die Bed. „jmdn schützend begleiten, jmdn sicher ans Ziel führen“ (vgl. ThWAT V, S. 335). In deiner Gerechtigkeit fungiert als Appell, wie sich das noch häufiger in den Psalmen findet (s. Ps 31,2; 71,2; 119,40; 143,1.11), sinngemäß also eher „JHWH, du Gerechter, behüte mich“. lema`an (meist: „um ... willen“) bezeichnet hier und in Ps 27,11; 69,19 nicht, um wessentwillen etwas geschieht, sondern das, was Motivation für Gottes Handeln sein soll (vgl. Ges18, S. 713) – also eher „wegen meiner Feinde“, d.h. „da mir auf meinem Weg Feinde auflauern“ (hier und Ps 27,11) bzw. „da ich von Feinden bedrängt werde“ (Ps 69,19). Und schließlich das „dein“ in „dein Weg“ ist syntaktisch zu analysieren als ein sog. Genitivus directionis, also „der Weg zu dir“, nämlich zum Tempel. Zur Konstruktion vgl. z.B. 1 Sam 6,9: „Der Weg ihrer Grenze“ = „Der Weg zu ihrer Grenze“; 1 Sam 13,17f: „Der Weg Ophras ... Der Weg Beth-Horons“ = „Der Weg nach Ophra ... der Weg nach Beth-Horon“; Spr 2,19: „ihre Gehenden“ = „die zu ihr Gehenden“. Zum Sinn d. Verses s. die Anmerkungen.</w:t>
      </w:r>
    </w:p>
  </w:footnote>
  <w:footnote w:id="505">
    <w:p>
      <w:pPr>
        <w:pStyle w:val="Funote"/>
        <w:rPr/>
      </w:pPr>
      <w:r>
        <w:rPr>
          <w:rStyle w:val="Funotenzeichen"/>
        </w:rPr>
        <w:footnoteRef/>
      </w:r>
      <w:r>
        <w:rPr/>
        <w:tab/>
        <w:t>seinem (ihrem) - N-Shift; unübersetzbares heb. Stilmittel: In der heb. Lyrik kann aus stilistischen Gründen unvermittelt von einer Zeile auf die andere von einem Numerus zum anderen gewechselt werden, ohne dass dies einen Bedeutungsunterschied machen würde – hier etwa vom Plural („meine Feinde)“ zum Singular („in seinem Mund“).</w:t>
      </w:r>
    </w:p>
  </w:footnote>
  <w:footnote w:id="506">
    <w:p>
      <w:pPr>
        <w:pStyle w:val="Funote"/>
        <w:rPr/>
      </w:pPr>
      <w:r>
        <w:rPr>
          <w:rStyle w:val="Funotenzeichen"/>
        </w:rPr>
        <w:footnoteRef/>
      </w:r>
      <w:r>
        <w:rPr/>
        <w:tab/>
        <w:t>sie sind böse - „Inneres, Eingeweide, Herz“ ist im Heb. häufiger ein Wechselbegriff für die Person selbst. Und Nomina wie „Verderben“ können im Hebräischen auch als prädikative Adjektive verwendet werden; so auch hier. Zur Bed. „böse“ vgl. CDCH, S. 87; Kön, S. 77. Das wörtliche „Ihr Inneres [ist] Verderben“ kann also sinngemäß meinen: „Sie sind (durch und durch) böse“.</w:t>
      </w:r>
    </w:p>
  </w:footnote>
  <w:footnote w:id="507">
    <w:p>
      <w:pPr>
        <w:pStyle w:val="Funote"/>
        <w:rPr/>
      </w:pPr>
      <w:r>
        <w:rPr>
          <w:rStyle w:val="Funotenzeichen"/>
        </w:rPr>
        <w:footnoteRef/>
      </w:r>
      <w:r>
        <w:rPr/>
        <w:tab/>
        <w:t>Grab - Lautspiel: qereb „Inneres“ (10b) - qeber „Grab“. Das „Grab“ ist im Hebräischen eine häufige Metapher für den Tod; vgl. z.B. Ryken 1998, S. 350.</w:t>
      </w:r>
    </w:p>
  </w:footnote>
  <w:footnote w:id="508">
    <w:p>
      <w:pPr>
        <w:pStyle w:val="Funote"/>
        <w:rPr/>
      </w:pPr>
      <w:r>
        <w:rPr>
          <w:rStyle w:val="Funotenzeichen"/>
        </w:rPr>
        <w:footnoteRef/>
      </w:r>
      <w:r>
        <w:rPr/>
        <w:tab/>
        <w:t>sie glätten ihre Zunge glätten - Stehender Ausdruck für „sie sind Heuchler“; vgl. noch Ps 12,3; 55,22; auch Röm 3,13</w:t>
      </w:r>
    </w:p>
  </w:footnote>
  <w:footnote w:id="509">
    <w:p>
      <w:pPr>
        <w:pStyle w:val="Funote"/>
        <w:rPr/>
      </w:pPr>
      <w:r>
        <w:rPr>
          <w:rStyle w:val="Funotenzeichen"/>
        </w:rPr>
        <w:footnoteRef/>
      </w:r>
      <w:r>
        <w:rPr/>
        <w:tab/>
        <w:t>Textkritik: Die Metaphorik des hebräischen Textes von V. 13 ist sehr hart: „Du krönst sie mit Huld wie mit einem Schild“. Da man selten mit Schildern gekrönt wird, macht auch der Vergleich, mit Huld „wie mit einem Schild“ gekrönt zu werden, keinen Sinn. Mit BHS; Gunkel 1968, S. 20; Kissane 1953, S. 19f.; Kraus 1961, S. 36f. ist daher das „du schützt sie“ aus V. 12 nach V. 13 zu verschieben.</w:t>
      </w:r>
    </w:p>
  </w:footnote>
  <w:footnote w:id="510">
    <w:p>
      <w:pPr>
        <w:pStyle w:val="Funote"/>
        <w:rPr/>
      </w:pPr>
      <w:r>
        <w:rPr>
          <w:rStyle w:val="Funotenzeichen"/>
        </w:rPr>
        <w:footnoteRef/>
      </w:r>
      <w:r>
        <w:rPr/>
        <w:tab/>
        <w:t>die deinen Namen lieben - Der „Name Gottes“ steht in der Bibel fast stets für Gott selbst; man bezeichnet damit „Gott im Menschenmund“. Jene, die den „Namen Gottes lieben“ sind deshalb die Verehrer Gottes - die JHWH-Gläubigen. Vgl. z.B. Grether 1934, S. 40.</w:t>
      </w:r>
    </w:p>
  </w:footnote>
  <w:footnote w:id="511">
    <w:p>
      <w:pPr>
        <w:pStyle w:val="Funote"/>
        <w:rPr/>
      </w:pPr>
      <w:r>
        <w:rPr>
          <w:rStyle w:val="Funotenzeichen"/>
        </w:rPr>
        <w:footnoteRef/>
      </w:r>
      <w:r>
        <w:rPr/>
        <w:tab/>
        <w:t>tFN: du wirst segnen (bist es, der segnen wird) - Hier steht ein scheinbar „überflüssiges“ Personalpronomen („Denn du, du segnest“). Möglich wären die Deutungen, (1) dass das Pronomen die Exklusivität der Segner-Rolle JHWHs markieren soll (vgl. BHRG §36.1.1.3i; gut dannB-R: „Denn du bists, der segnet den Bewährten“; Terrien 2003, S. 103: „For it is thou, Lord, who blessest...“), oder (2), dass das Pronomen lediglich der Unterstreichung des Fokuswechsels (vgl. JM §146.a.1+2) dient: Im vorherigen Vers ging es um die bei JHWH Zuflucht Suchenden; nun dagegen geht es um JHWH selbst. In diesem Falle sollte es in der Übersetzung einfach ausgespart werden. Die beiden folgenden Zeilen führen den Satz fort.</w:t>
      </w:r>
    </w:p>
  </w:footnote>
  <w:footnote w:id="512">
    <w:p>
      <w:pPr>
        <w:pStyle w:val="Funote"/>
        <w:rPr/>
      </w:pPr>
      <w:r>
        <w:rPr>
          <w:rStyle w:val="Funotenzeichen"/>
        </w:rPr>
        <w:footnoteRef/>
      </w:r>
      <w:r>
        <w:rPr/>
        <w:tab/>
        <w:t>den Gerechten (die Gerechten) - Ein sog. „generalisierender Singular“, der Pl.-Bed. hat, weshalb es dann auch heißen kann, dass Gott sie schützen werde.</w:t>
      </w:r>
    </w:p>
  </w:footnote>
  <w:footnote w:id="513">
    <w:p>
      <w:pPr>
        <w:pStyle w:val="Funote"/>
        <w:rPr/>
      </w:pPr>
      <w:r>
        <w:rPr>
          <w:rStyle w:val="Funotenzeichen"/>
        </w:rPr>
        <w:footnoteRef/>
      </w:r>
      <w:r>
        <w:rPr/>
        <w:tab/>
        <w:t>krönen wird (begünstigen wird) - Die Rede vom „Krönen“ wird in der Bibel häufiger metaphorisch als buchstäblich verwendet; dass JHWH jemanden mit etwas „krönt“ ist eine Metapher dafür, dass er ihn mit etwas „segnet“ (vgl. z.B. Ryken 1998, S. 185). S. Ps 8,6; Ps 65,12; Ps 103,4.</w:t>
      </w:r>
    </w:p>
  </w:footnote>
  <w:footnote w:id="514">
    <w:p>
      <w:pPr>
        <w:pStyle w:val="Funote"/>
        <w:rPr/>
      </w:pPr>
      <w:r>
        <w:rPr>
          <w:rStyle w:val="Funotenzeichen"/>
        </w:rPr>
        <w:footnoteRef/>
      </w:r>
      <w:r>
        <w:rPr/>
        <w:tab/>
        <w:t>[Status: Zuverlässig]</w:t>
      </w:r>
    </w:p>
  </w:footnote>
  <w:footnote w:id="515">
    <w:p>
      <w:pPr>
        <w:pStyle w:val="Funote"/>
        <w:rPr/>
      </w:pPr>
      <w:r>
        <w:rPr>
          <w:rStyle w:val="Funotenzeichen"/>
        </w:rPr>
        <w:footnoteRef/>
      </w:r>
      <w:r>
        <w:rPr/>
        <w:tab/>
        <w:t>Für den Chorleiter + Zum Seitenspiel + Bassstimmen - Wie bei den meisten Psalmen sind auch hier die Bedeutungen der Begriffe im Titel unklar; die Primärübersetzungen sind die, die sich am häufigsten in den dt. Üss. finden.Die heb. Entsprechung der Üs. „von Bassstimmen“ findet sich auch im Titel von Ps 12,1.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w:t>
      </w:r>
    </w:p>
  </w:footnote>
  <w:footnote w:id="516">
    <w:p>
      <w:pPr>
        <w:pStyle w:val="Funote"/>
        <w:rPr/>
      </w:pPr>
      <w:r>
        <w:rPr>
          <w:rStyle w:val="Funotenzeichen"/>
        </w:rPr>
        <w:footnoteRef/>
      </w:r>
      <w:r>
        <w:rPr/>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517">
    <w:p>
      <w:pPr>
        <w:pStyle w:val="Funote"/>
        <w:rPr/>
      </w:pPr>
      <w:r>
        <w:rPr>
          <w:rStyle w:val="Funotenzeichen"/>
        </w:rPr>
        <w:footnoteRef/>
      </w:r>
      <w:r>
        <w:rPr/>
        <w:tab/>
        <w:t>schwach - Viele Üss. und Lexika: „welk“, aber das wäre überwörtlich (wenn denn „welken“ überhaupt wirklich die Primärbedeutung von amal ist). Besser trifft die Bedeutung sinngemäß wohl ein wörtlich verstandenes „todtraurig“, „so traurig, dass ich dem Tode nahe bin“; s. z.B. Jes 24,4.7: „Es trauert und verdorrt die Erde; es amal und verdorrt die Welt; es amal die Höhen der Erde. ... Es trauert die Rebe, es amal der Wein; es seufzen alle, die fröhlichen Herzens [waren].“; Hos 4,3: „Deshalb wird trauern das Land und es amal alle, die darin wohnen. Die Tiere des Feldes, die Vögel des Himmels und die Fische des Meeres werden dahingerafft.“ u.ö.</w:t>
      </w:r>
    </w:p>
  </w:footnote>
  <w:footnote w:id="518">
    <w:p>
      <w:pPr>
        <w:pStyle w:val="Funote"/>
        <w:rPr/>
      </w:pPr>
      <w:r>
        <w:rPr>
          <w:rStyle w:val="Funotenzeichen"/>
        </w:rPr>
        <w:footnoteRef/>
      </w:r>
      <w:r>
        <w:rPr/>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w:t>
      </w:r>
    </w:p>
  </w:footnote>
  <w:footnote w:id="519">
    <w:p>
      <w:pPr>
        <w:pStyle w:val="Funote"/>
        <w:rPr/>
      </w:pPr>
      <w:r>
        <w:rPr>
          <w:rStyle w:val="Funotenzeichen"/>
        </w:rPr>
        <w:footnoteRef/>
      </w:r>
      <w:r>
        <w:rPr/>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520">
    <w:p>
      <w:pPr>
        <w:pStyle w:val="Funote"/>
        <w:rPr/>
      </w:pPr>
      <w:r>
        <w:rPr>
          <w:rStyle w:val="Funotenzeichen"/>
        </w:rPr>
        <w:footnoteRef/>
      </w:r>
      <w:r>
        <w:rPr/>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521">
    <w:p>
      <w:pPr>
        <w:pStyle w:val="Funote"/>
        <w:rPr/>
      </w:pPr>
      <w:r>
        <w:rPr>
          <w:rStyle w:val="Funotenzeichen"/>
        </w:rPr>
        <w:footnoteRef/>
      </w:r>
      <w:r>
        <w:rPr/>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522">
    <w:p>
      <w:pPr>
        <w:pStyle w:val="Funote"/>
        <w:rPr/>
      </w:pPr>
      <w:r>
        <w:rPr>
          <w:rStyle w:val="Funotenzeichen"/>
        </w:rPr>
        <w:footnoteRef/>
      </w:r>
      <w:r>
        <w:rPr/>
        <w:tab/>
        <w:t>meine Seele (mich) - „Seele“ im Heb. fast stets Wechselbegriff für „Ich“; übersetze: „Rette mich!“</w:t>
      </w:r>
    </w:p>
  </w:footnote>
  <w:footnote w:id="523">
    <w:p>
      <w:pPr>
        <w:pStyle w:val="Funote"/>
        <w:rPr/>
      </w:pPr>
      <w:r>
        <w:rPr>
          <w:rStyle w:val="Funotenzeichen"/>
        </w:rPr>
        <w:footnoteRef/>
      </w:r>
      <w:r>
        <w:rPr/>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524">
    <w:p>
      <w:pPr>
        <w:pStyle w:val="Funote"/>
        <w:rPr/>
      </w:pPr>
      <w:r>
        <w:rPr>
          <w:rStyle w:val="Funotenzeichen"/>
        </w:rPr>
        <w:footnoteRef/>
      </w:r>
      <w:r>
        <w:rPr/>
        <w:tab/>
        <w:t>Totenreich + Scheol: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w:t>
      </w:r>
    </w:p>
  </w:footnote>
  <w:footnote w:id="525">
    <w:p>
      <w:pPr>
        <w:pStyle w:val="Funote"/>
        <w:rPr/>
      </w:pPr>
      <w:r>
        <w:rPr>
          <w:rStyle w:val="Funotenzeichen"/>
        </w:rPr>
        <w:footnoteRef/>
      </w:r>
      <w:r>
        <w:rPr/>
        <w:tab/>
        <w:t>Zum Argument in V. 6, JHWH möge doch den Psalmisten retten, weil er mit dessen Tod ja einen Anbeter verlöre, s. z.B. Ps 30,10; 88,11-13; Jes 38,17f) und das Argument wird in Jes 48,9-11 sogar ähnlich von JHWH selbst angewandt.</w:t>
      </w:r>
    </w:p>
  </w:footnote>
  <w:footnote w:id="526">
    <w:p>
      <w:pPr>
        <w:pStyle w:val="Funote"/>
        <w:rPr/>
      </w:pPr>
      <w:r>
        <w:rPr>
          <w:rStyle w:val="Funotenzeichen"/>
        </w:rPr>
        <w:footnoteRef/>
      </w:r>
      <w:r>
        <w:rPr/>
        <w:tab/>
        <w:t>tFN: Schluchzen trifft es besser als das häufig gefundene „Seufzen“. Sowohl beim Verb als auch beim Nomen passt diese Bedeutung an sämtlichen Stellen wesentlich besser. So z. St. Dahood 1965; Houston/Moore/Waltke 2014; BBE, EVD, NCV, NLT.</w:t>
      </w:r>
    </w:p>
  </w:footnote>
  <w:footnote w:id="527">
    <w:p>
      <w:pPr>
        <w:pStyle w:val="Funote"/>
        <w:rPr/>
      </w:pPr>
      <w:r>
        <w:rPr>
          <w:rStyle w:val="Funotenzeichen"/>
        </w:rPr>
        <w:footnoteRef/>
      </w:r>
      <w:r>
        <w:rPr/>
        <w:tab/>
        <w:t>tFN: überflute (lasse schwimmen) + weiche auf - zur Deutung der Bedeutung des ersten Verbs als „überfluten“ statt „schwimmen lassen“ vgl. Bosworth 2013, S. 39; von Soden 1991, S. 165f; zur Deutung des zweiten Verbs als „aufweichen“ von Soden 1991, S. 166.</w:t>
      </w:r>
    </w:p>
  </w:footnote>
  <w:footnote w:id="528">
    <w:p>
      <w:pPr>
        <w:pStyle w:val="Funote"/>
        <w:rPr/>
      </w:pPr>
      <w:r>
        <w:rPr>
          <w:rStyle w:val="Funotenzeichen"/>
        </w:rPr>
        <w:footnoteRef/>
      </w:r>
      <w:r>
        <w:rPr/>
        <w:tab/>
        <w:t>tFN: jede Nacht statt „die ganze Nacht“; diese iterative Deutung fordert die Verbform (Yiqtol).</w:t>
      </w:r>
    </w:p>
  </w:footnote>
  <w:footnote w:id="529">
    <w:p>
      <w:pPr>
        <w:pStyle w:val="Funote"/>
        <w:rPr/>
      </w:pPr>
      <w:r>
        <w:rPr>
          <w:rStyle w:val="Funotenzeichen"/>
        </w:rPr>
        <w:footnoteRef/>
      </w:r>
      <w:r>
        <w:rPr/>
        <w:tab/>
        <w:t>tFN: [mit meinen Tränen] - Brachylogie aus Zeile 3; vgl. auch Goldingay 2006, S. 138.</w:t>
      </w:r>
    </w:p>
  </w:footnote>
  <w:footnote w:id="530">
    <w:p>
      <w:pPr>
        <w:pStyle w:val="Funote"/>
        <w:rPr/>
      </w:pPr>
      <w:r>
        <w:rPr>
          <w:rStyle w:val="Funotenzeichen"/>
        </w:rPr>
        <w:footnoteRef/>
      </w:r>
      <w:r>
        <w:rPr/>
        <w:tab/>
        <w:t>tFN: [jede Nacht] - Brachylogie aus Zeile 2; vgl. auch Goldingay 2006, S. 138.</w:t>
      </w:r>
    </w:p>
  </w:footnote>
  <w:footnote w:id="531">
    <w:p>
      <w:pPr>
        <w:pStyle w:val="Funote"/>
        <w:rPr/>
      </w:pPr>
      <w:r>
        <w:rPr>
          <w:rStyle w:val="Funotenzeichen"/>
        </w:rPr>
        <w:footnoteRef/>
      </w:r>
      <w:r>
        <w:rPr/>
        <w:tab/>
        <w:t>Schwach geworden (dunkel geworden, geeitert, angeschwollen, hochmütig?) - Bed. unsicher (-&gt; Tris legomenon); sonst nur noch in Ps 31,10f. Für eine Übersicht über ältere Deutungen vgl. Zolli 1951; am sinnvollsten abzuleiten von arab. ghatha („dünn/schwach werden; eitern“; vgl. z.B. Klein 1987, S. 489); daher: „Mein Auge ist schwach geworden (ZLH 635) / geeitert (Lambert 1899, S. 1899, S. 393)“. Zum Sinn vgl. FN j zu Ps 13,5.</w:t>
      </w:r>
    </w:p>
  </w:footnote>
  <w:footnote w:id="532">
    <w:p>
      <w:pPr>
        <w:pStyle w:val="Funote"/>
        <w:rPr/>
      </w:pPr>
      <w:r>
        <w:rPr>
          <w:rStyle w:val="Funotenzeichen"/>
        </w:rPr>
        <w:footnoteRef/>
      </w:r>
      <w:r>
        <w:rPr/>
        <w:tab/>
        <w:t>tFN: meine Augen - W. „mein Auge“; kollektiver Singular, vgl. z.B. Houston/Moore/Waltke 2014, S. 51.</w:t>
      </w:r>
    </w:p>
  </w:footnote>
  <w:footnote w:id="533">
    <w:p>
      <w:pPr>
        <w:pStyle w:val="Funote"/>
        <w:rPr/>
      </w:pPr>
      <w:r>
        <w:rPr>
          <w:rStyle w:val="Funotenzeichen"/>
        </w:rPr>
        <w:footnoteRef/>
      </w:r>
      <w:r>
        <w:rPr/>
        <w:tab/>
        <w:t>Textkritik: ich bin gealtert wegen (sie sind gealtert wegen) - Heb. „sie sind gealtert“; die Rede von den „gealterten Augen“ aber ist recht schwierig. Viele übersetzen daher freier als „sind schwach/matt geworden“ (vgl. auch hier zum Sinn FN j zu Ps 13,5), was aber wohl nicht in der Wortbedeutung liegen kann. LXX, Syr, Aq, Sym, Hier hatten offenbar einheitlich stattdessen den Text „ich bin gealtert“ vorliegen; diese Lesart ist sicher vorzuziehen.</w:t>
      </w:r>
    </w:p>
  </w:footnote>
  <w:footnote w:id="534">
    <w:p>
      <w:pPr>
        <w:pStyle w:val="Funote"/>
        <w:rPr/>
      </w:pPr>
      <w:r>
        <w:rPr>
          <w:rStyle w:val="Funotenzeichen"/>
        </w:rPr>
        <w:footnoteRef/>
      </w:r>
      <w:r>
        <w:rPr/>
        <w:tab/>
        <w:t>Frevler - stehende Wendung im Hebräischen; W.: „alle Tuenden von Frevel“. Erst in diesem Vers wird offenbar, was eigentlich genau das Leid ist, das der Beter die vorigen acht Verse hindurch beklagt hat: Er wird von frevlerischen Feinden bedrängt.</w:t>
      </w:r>
    </w:p>
  </w:footnote>
  <w:footnote w:id="535">
    <w:p>
      <w:pPr>
        <w:pStyle w:val="Funote"/>
        <w:rPr/>
      </w:pPr>
      <w:r>
        <w:rPr>
          <w:rStyle w:val="Funotenzeichen"/>
        </w:rPr>
        <w:footnoteRef/>
      </w:r>
      <w:r>
        <w:rPr/>
        <w:tab/>
        <w:t>tFN: {Ja!,} (denn) - emphatisches ki, im Dt. nicht zu übersetzen.</w:t>
      </w:r>
    </w:p>
  </w:footnote>
  <w:footnote w:id="536">
    <w:p>
      <w:pPr>
        <w:pStyle w:val="Funote"/>
        <w:rPr/>
      </w:pPr>
      <w:r>
        <w:rPr>
          <w:rStyle w:val="Funotenzeichen"/>
        </w:rPr>
        <w:footnoteRef/>
      </w:r>
      <w:r>
        <w:rPr/>
        <w:tab/>
        <w:t>Klang meines Weinens + Bitten + Gebet (Bittgebet) - Die Aufeinanderfolge dieser drei Begriffe verdichtet eine Progression von unartikuliert nach artikuliert: qol („Klang“) bezeichnet primär das rein Akustische (das „Geräusch“) – der „Klang des Weinens“ sind also die unartikulierten Klagelaute –; tehinna („Bitten“) meint den Akt der flehenden Hinwendung im Gebet und täfilla ist eine Psalmgattung – das „Bitt-/Klagegebet“.</w:t>
      </w:r>
    </w:p>
  </w:footnote>
  <w:footnote w:id="537">
    <w:p>
      <w:pPr>
        <w:pStyle w:val="Funote"/>
        <w:rPr/>
      </w:pPr>
      <w:r>
        <w:rPr>
          <w:rStyle w:val="Funotenzeichen"/>
        </w:rPr>
        <w:footnoteRef/>
      </w:r>
      <w:r>
        <w:rPr/>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538">
    <w:p>
      <w:pPr>
        <w:pStyle w:val="Funote"/>
        <w:rPr/>
      </w:pPr>
      <w:r>
        <w:rPr>
          <w:rStyle w:val="Funotenzeichen"/>
        </w:rPr>
        <w:footnoteRef/>
      </w:r>
      <w:r>
        <w:rPr/>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539">
    <w:p>
      <w:pPr>
        <w:pStyle w:val="Funote"/>
        <w:rPr/>
      </w:pPr>
      <w:r>
        <w:rPr>
          <w:rStyle w:val="Funotenzeichen"/>
        </w:rPr>
        <w:footnoteRef/>
      </w:r>
      <w:r>
        <w:rPr/>
        <w:tab/>
        <w:t>[Status: Zuverlässig]</w:t>
      </w:r>
    </w:p>
  </w:footnote>
  <w:footnote w:id="540">
    <w:p>
      <w:pPr>
        <w:pStyle w:val="Funote"/>
        <w:rPr/>
      </w:pPr>
      <w:r>
        <w:rPr>
          <w:rStyle w:val="Funotenzeichen"/>
        </w:rPr>
        <w:footnoteRef/>
      </w:r>
      <w:r>
        <w:rPr/>
        <w:tab/>
        <w:t>Shiggajon - Bedeutung unbekannt. Das Wort findet sich sonst nur noch in Hab 3,1. Viele leiten die Bedeutung vom akkadischen schigû („Klageruf“) ab und übersetzen mit „Klagelied“, doch in Hab 3,1 passt diese Bedeutung nicht.</w:t>
      </w:r>
    </w:p>
  </w:footnote>
  <w:footnote w:id="541">
    <w:p>
      <w:pPr>
        <w:pStyle w:val="Funote"/>
        <w:rPr/>
      </w:pPr>
      <w:r>
        <w:rPr>
          <w:rStyle w:val="Funotenzeichen"/>
        </w:rPr>
        <w:footnoteRef/>
      </w:r>
      <w:r>
        <w:rPr/>
        <w:tab/>
        <w:t>Kuschs, des Benjaminiten - Ein Benjaminiter mit Namen Kusch ist in der Bibel unbekannt. Die Überschrift bezieht sich wohl auf eine nicht mehr erhaltene Davidslegende.</w:t>
      </w:r>
    </w:p>
  </w:footnote>
  <w:footnote w:id="542">
    <w:p>
      <w:pPr>
        <w:pStyle w:val="Funote"/>
        <w:rPr/>
      </w:pPr>
      <w:r>
        <w:rPr>
          <w:rStyle w:val="Funotenzeichen"/>
        </w:rPr>
        <w:footnoteRef/>
      </w:r>
      <w:r>
        <w:rPr/>
        <w:tab/>
        <w:t>er - gemeint sind die Verfolger. Das Heb. kann v.a. in Poesie unvermittelt von einem Numerus zum anderen wechseln („N-Shift“), ohne dass dies einen Bedeutungsunterschied machen würde. Im Dt. muss mit Plural übertragen werden.</w:t>
      </w:r>
    </w:p>
  </w:footnote>
  <w:footnote w:id="543">
    <w:p>
      <w:pPr>
        <w:pStyle w:val="Funote"/>
        <w:rPr/>
      </w:pPr>
      <w:r>
        <w:rPr>
          <w:rStyle w:val="Funotenzeichen"/>
        </w:rPr>
        <w:footnoteRef/>
      </w:r>
      <w:r>
        <w:rPr/>
        <w:tab/>
        <w:t>meine Seele (mich) - „meine Seele“ ist im Heb. fast stets ein Wechselbegriff für „ich“; so auch hier.</w:t>
      </w:r>
    </w:p>
  </w:footnote>
  <w:footnote w:id="544">
    <w:p>
      <w:pPr>
        <w:pStyle w:val="Funote"/>
        <w:rPr/>
      </w:pPr>
      <w:r>
        <w:rPr>
          <w:rStyle w:val="Funotenzeichen"/>
        </w:rPr>
        <w:footnoteRef/>
      </w:r>
      <w:r>
        <w:rPr/>
        <w:tab/>
        <w:t>Oder, sprachlich naheliegender, aber seltener in Üss. und Kommentaren zu finden: Damit er [mich] nicht zerreißt, wie ein Löwe meine Seele (=mich) zerfleischen würde, wenn niemand [da wäre, der] [mich] rettet. Ähnlich z.B. Houston/Moore/Waltke 2014, S. 79: „Otherwise he will tear me apart like a lion / that snatches me away with no one to rescue me.“ Bei der Primärübersetzung wäre eigentlich statt dem Partizip poreq eher das Yiqtol jiproq zu erwarten (so daher z.B. Ehrlich 1905, S. 13; Herkenne 1936, S. 61; Kraus 1961, S. 54); vermutlich sogar noch eher Weqatal.</w:t>
      </w:r>
    </w:p>
  </w:footnote>
  <w:footnote w:id="545">
    <w:p>
      <w:pPr>
        <w:pStyle w:val="Funote"/>
        <w:rPr/>
      </w:pPr>
      <w:r>
        <w:rPr>
          <w:rStyle w:val="Funotenzeichen"/>
        </w:rPr>
        <w:footnoteRef/>
      </w:r>
      <w:r>
        <w:rPr/>
        <w:tab/>
        <w:t>Wenn ich dies getan habe - Umstrittene Stelle. Drei Deutungen sind gut möglich: (1) Entweder ist für zot („dies“) mit Leveen 1966, S. 440 und ws. Wellhausen 1898, S. 5 zimmot („Böses“) zu lesen („Wenn ich Böses getan habe“), (2) oder der Dichter / ein Schreiber hat zot („dies“) stellvertretend für eine Übeltat gesetzt, die er nicht auszusprechen / zu schreiben wagte („Wenn ich du-weißt-schon-was getan habe“ / „Wenn ich X getan habe“; letzteres z.B. bei Terrien 2003, S. 116), wie sich das häufiger in der Bibel findet (vgl. Schorch 2000, S. 244; s. z.B. ganz ähnlich Ijob 31,7), oder (3) zot („dies“) meint hier „Etwas“, „Irgendetwas“ („Wenn ich Irgendetwas getan habe“ so schon Saadia; ähnlich Halévy 1894, S. 2).Die häufigste Deutung - die nämlich, dass mit „dies“ zusammenfassend die folgenden Freveltaten angedeutet werden sollen, die dann in den nächsten drei Zeilen ausgeführt werden - ist wegen V. 4b nicht gut möglich, da diese Zeile auch nicht konkreter ist als 4a.</w:t>
      </w:r>
    </w:p>
  </w:footnote>
  <w:footnote w:id="546">
    <w:p>
      <w:pPr>
        <w:pStyle w:val="Funote"/>
        <w:rPr/>
      </w:pPr>
      <w:r>
        <w:rPr>
          <w:rStyle w:val="Funotenzeichen"/>
        </w:rPr>
        <w:footnoteRef/>
      </w:r>
      <w:r>
        <w:rPr/>
        <w:tab/>
        <w:t>Unrecht an meinen Händen [ist] - Im Alten Israel hing die Vorstellung von Sünde eng mit der der Reinheit zusammen: Untaten beflecken die Hände (Jes 59,3), machen daher Reinigung (1 Joh 1,9) nötig (s. Jak 4,8: „Reinigt die Hände, Sünder!“). Der Unschuldige dagegen hat „reine Hände“ (Ijob 17,9). Sinnvoll daher z.B. STAD: „Wenn ich meine Hände mit Schuld befleckte“. Falls dies nicht mehr verständlich ist, wäre einfach eine Übersetzung à la NL zu empfehlen: „Wenn ich ungerecht war“.</w:t>
      </w:r>
    </w:p>
  </w:footnote>
  <w:footnote w:id="547">
    <w:p>
      <w:pPr>
        <w:pStyle w:val="Funote"/>
        <w:rPr/>
      </w:pPr>
      <w:r>
        <w:rPr>
          <w:rStyle w:val="Funotenzeichen"/>
        </w:rPr>
        <w:footnoteRef/>
      </w:r>
      <w:r>
        <w:rPr/>
        <w:tab/>
        <w:t>dem, der - gemeint sind mit dem Sg. wieder die vielen Verfolger, s. die nächste Zeile und vgl. FN c</w:t>
      </w:r>
    </w:p>
  </w:footnote>
  <w:footnote w:id="548">
    <w:p>
      <w:pPr>
        <w:pStyle w:val="Funote"/>
        <w:rPr/>
      </w:pPr>
      <w:r>
        <w:rPr>
          <w:rStyle w:val="Funotenzeichen"/>
        </w:rPr>
        <w:footnoteRef/>
      </w:r>
      <w:r>
        <w:rPr/>
        <w:tab/>
        <w:t>Schwieriger Vers. Meist wird er gedeutet als Wenn ich meinem Freund mit Bösem vergalt / und [wenn] ich meine Gegner grundlos gerettet habe,.... Die Hauptschwierigkeiten bei dieser Deutung sind, (a) dass die Übersetzung „Freund“, „Verbündeter“ sich für das entsprechende heb. Wort nicht nachweisen lässt und (b) dass die Rettung eines Gegners schwerlich eine Schandtat ist. Schwierigkeit (a) wollen Beyerlin 1970 und Gunkel 1968 lösen, indem sie für scholmi (scheinbar: „mein Freund“) meschalmi („der, der mir's vergilt“) lesen, doch ist dies gar nicht nötig und schon scholmi kann „der, der mir's vergilt“ bedeuten (vgl. bes. Macholz 1979, S. 129; so schon Olshausen 1853, S. 49). Wg. Schwierigkeit (b) lies für ch-l-z („retten“) besser l-ch-z („bedrängen, bedrücken“); so z.B. schon Houbigant 1777, S. 4; heute z.B. BHS und Houston/Moore/Waltke 2014, S. 80.</w:t>
      </w:r>
    </w:p>
  </w:footnote>
  <w:footnote w:id="549">
    <w:p>
      <w:pPr>
        <w:pStyle w:val="Funote"/>
        <w:rPr/>
      </w:pPr>
      <w:r>
        <w:rPr>
          <w:rStyle w:val="Funotenzeichen"/>
        </w:rPr>
        <w:footnoteRef/>
      </w:r>
      <w:r>
        <w:rPr/>
        <w:tab/>
        <w:t>mich - „Seele“ und „Ehre“ sind in den Psalmen häufig nur Wechselbegriffe für „ich“; so auch hier.</w:t>
      </w:r>
    </w:p>
  </w:footnote>
  <w:footnote w:id="550">
    <w:p>
      <w:pPr>
        <w:pStyle w:val="Funote"/>
        <w:rPr/>
      </w:pPr>
      <w:r>
        <w:rPr>
          <w:rStyle w:val="Funotenzeichen"/>
        </w:rPr>
        <w:footnoteRef/>
      </w:r>
      <w:r>
        <w:rPr/>
        <w:tab/>
        <w:t>Der Staub ist hier wie oft ein Synonym für die Unterwelt (vgl. z.B. Bratcher/Reyburn 1991, S. 69). Hier wirkt wohl noch das Bild des reißenden Löwen nach: Wie ein solcher soll der Feind den Sänger verfolgen und zu Boden reißen, so dass dieser fortan [tot] in der Unterwelt leben muss. Vom Sinn her daher richtig T4T: „Lass meine Feinde mich verfolgen, fangen, in den Boden trampeln und mich tot im Schmutz liegen lassen!“Vv. 4-6 insgesamt sind eine Unschuldsbeteuerung in Form einer Selbstverfluchung: „[Ich schwöre, ich habe X nicht getan!] Wenn ich X getan habe, soll mir Y widerfahren!“.</w:t>
      </w:r>
    </w:p>
  </w:footnote>
  <w:footnote w:id="551">
    <w:p>
      <w:pPr>
        <w:pStyle w:val="Funote"/>
        <w:rPr/>
      </w:pPr>
      <w:r>
        <w:rPr>
          <w:rStyle w:val="Funotenzeichen"/>
        </w:rPr>
        <w:footnoteRef/>
      </w:r>
      <w:r>
        <w:rPr/>
        <w:tab/>
        <w:t xml:space="preserve">Die Bedeutung von Selah ist unklar, s. Lexikon / Lemma </w:t>
      </w:r>
      <w:r>
        <w:rPr>
          <w:rtl w:val="true"/>
          <w:lang w:bidi="he-IL"/>
        </w:rPr>
        <w:t>סֶלַה</w:t>
      </w:r>
      <w:r>
        <w:rPr/>
        <w:t>. In der LF sollte es daher besser ausgespart werden.</w:t>
      </w:r>
    </w:p>
  </w:footnote>
  <w:footnote w:id="552">
    <w:p>
      <w:pPr>
        <w:pStyle w:val="Funote"/>
        <w:rPr/>
      </w:pPr>
      <w:r>
        <w:rPr>
          <w:rStyle w:val="Funotenzeichen"/>
        </w:rPr>
        <w:footnoteRef/>
      </w:r>
      <w:r>
        <w:rPr/>
        <w:tab/>
        <w:t>erwache - Hinter diesem häufigen Aufruf steht die Vorstellung, dass - da einerseits ja Gott die ganze Welt lenkt und leitet, andererseits aber offensichtlich gerade ein Unrecht geschieht - Gott aktuell „inaktiv“ sein muss (vgl. näher z.B. Schlaf (Wibilex)). Ob dies „schlafen“ wirklich nur eine Metapher für die Inaktivität Gottes ist, oder ob die Vorstellung tatsächlich wörtlich genommen werden muss, lässt sich heute nicht mehr sagen.</w:t>
      </w:r>
    </w:p>
  </w:footnote>
  <w:footnote w:id="553">
    <w:p>
      <w:pPr>
        <w:pStyle w:val="Funote"/>
        <w:rPr/>
      </w:pPr>
      <w:r>
        <w:rPr>
          <w:rStyle w:val="Funotenzeichen"/>
        </w:rPr>
        <w:footnoteRef/>
      </w:r>
      <w:r>
        <w:rPr/>
        <w:tab/>
        <w:t>Textkritik: Und erwache, mein Gott (Und erwache zu mir hin?) - Die Alternativübersetzung ist der eigentliche Wortlaut des heb. Textes und macht offensichtlich nicht viel Sinn. Lies nach LXX für elaj („zu mir hin“) eli („mein Gott“), wofür nur die masoretische Vokalisierung geändert werden muss (so z.B. Brueggemann/Bellinger 2014; Houston/Moore/Waltke 2014, S. 80), oder deute sogar ohne Umvokalisierung - aber unwahrscheinlicher - elaj als Pluralis majestatis „meine Götter“ (=„mein Gott“, so z.B. Dahood 1965, S. 43; Goldingay 2006, S. 143).</w:t>
      </w:r>
    </w:p>
  </w:footnote>
  <w:footnote w:id="554">
    <w:p>
      <w:pPr>
        <w:pStyle w:val="Funote"/>
        <w:rPr/>
      </w:pPr>
      <w:r>
        <w:rPr>
          <w:rStyle w:val="Funotenzeichen"/>
        </w:rPr>
        <w:footnoteRef/>
      </w:r>
      <w:r>
        <w:rPr/>
        <w:tab/>
        <w:t>[der] du das Recht eingesetzt hast! - Meist: „Berufe ein Gericht ein“ (gedeutet als prekatives Perfekt, so z.B. Buttenwieser 1938, S. 413; Houston/Moore/Waltke 2014, S. 80) oder „Du hast [ja schon] ein Gericht einberufen“. Das ist unwahrscheinlich; die Kombination der Wörter mischpat („Gebot, Gericht“) und tsawah („einsetzen, gebieten“) findet sich in der Bibel häufig und steht dann stets für den Akt der göttlichen Gesetzgebung (s. Num 27,11; 36,13; Dtn 4,5; 6,20; 8,11; 1 Kön 8,58; 2 Kön 17,34; 1Chr 22,13; 2 Chr 33,8; Neh 1,7; Mal 3,22) oder einmal auch der aaronitischen Gesetzgebung (1 Chr 24,19). Sehr wahrscheinlich wird hier also nicht nur an JHWH, den Weltenrichter appelliert, sondern in dieser Zeile auch noch an JHWH, die „Welt-Legislative“: „Du, von dem doch alle Gebote stammen: Halte Gericht!“</w:t>
      </w:r>
    </w:p>
  </w:footnote>
  <w:footnote w:id="555">
    <w:p>
      <w:pPr>
        <w:pStyle w:val="Funote"/>
        <w:rPr/>
      </w:pPr>
      <w:r>
        <w:rPr>
          <w:rStyle w:val="Funotenzeichen"/>
        </w:rPr>
        <w:footnoteRef/>
      </w:r>
      <w:r>
        <w:rPr/>
        <w:tab/>
        <w:t>Und über sie kehre zur Höhe zurück - nämlich, nachdem du erwacht bist, auf deinen himmlischen „Richterthron“ (4Esr 7,33), um dein Richtamt auszuüben; s. die Parallelstellen und vgl. zur Vorstellung z.B. Tag Jahwes (AT) (Wibilex).</w:t>
      </w:r>
    </w:p>
  </w:footnote>
  <w:footnote w:id="556">
    <w:p>
      <w:pPr>
        <w:pStyle w:val="Funote"/>
        <w:rPr/>
      </w:pPr>
      <w:r>
        <w:rPr>
          <w:rStyle w:val="Funotenzeichen"/>
        </w:rPr>
        <w:footnoteRef/>
      </w:r>
      <w:r>
        <w:rPr/>
        <w:tab/>
        <w:t>JHWH richte die Völker - ein sogenannter „P-Shift“: In der heb. Lyrik kann plötzlich die Rede zu Gott abwechseln mit der Rede über Gott, ohne, dass dies einen Bedeutungsunterschied machen würde (daher wird auch in der zweiten Zeile wieder fortgefahren mit der Rede zu Gott). Im Dt. würde man auch hier schreiben: „JHWH, du richtest die Völker“.</w:t>
      </w:r>
    </w:p>
  </w:footnote>
  <w:footnote w:id="557">
    <w:p>
      <w:pPr>
        <w:pStyle w:val="Funote"/>
        <w:rPr/>
      </w:pPr>
      <w:r>
        <w:rPr>
          <w:rStyle w:val="Funotenzeichen"/>
        </w:rPr>
        <w:footnoteRef/>
      </w:r>
      <w:r>
        <w:rPr/>
        <w:tab/>
        <w:t>Zu Schaff mir Recht statt der häufigen Übersetzung „richte mich“ vgl. gut Liedke 1971, S. 66f: Die Bitte zielt darauf, dass die durch ein Unrecht gestörte kosmische Ordnung wieder hergestellt werden soll; nicht darauf, dass der Beter gerne als Angeklagter vor dem kosmischen Gericht stehen würde. Sinngemäß also meint die Bitte etwas wie: „JHWH, der du die Völker richtest: Richte mich her“.</w:t>
      </w:r>
    </w:p>
  </w:footnote>
  <w:footnote w:id="558">
    <w:p>
      <w:pPr>
        <w:pStyle w:val="Funote"/>
        <w:rPr/>
      </w:pPr>
      <w:r>
        <w:rPr>
          <w:rStyle w:val="Funotenzeichen"/>
        </w:rPr>
        <w:footnoteRef/>
      </w:r>
      <w:r>
        <w:rPr/>
        <w:tab/>
        <w:t>gemäß meiner Gerechtigkeit - d.h., wie dies meiner Gerechtigkeit angemessen wäre.</w:t>
      </w:r>
    </w:p>
  </w:footnote>
  <w:footnote w:id="559">
    <w:p>
      <w:pPr>
        <w:pStyle w:val="Funote"/>
        <w:rPr/>
      </w:pPr>
      <w:r>
        <w:rPr>
          <w:rStyle w:val="Funotenzeichen"/>
        </w:rPr>
        <w:footnoteRef/>
      </w:r>
      <w:r>
        <w:rPr/>
        <w:tab/>
        <w:t>[die] auf mir [ist] - vielleicht ein Wortspiel: Dass Unschuld „auf“ jemandem ist, ist auch im Heb. nicht idiomatisch. Vielleicht soll hier mit der Vorstellung von Sündigkeit und Ungerechtigkeit, die „auf“ (Ez 33,10; auch Ez 18,31: „Werft von auf euch alle Übertretungen...“) jemandem lastet (Jes 24,20) wie ein Joch (Klg 1,14), gespielt werden: Solche lasten gerade nicht auf dem Beter; auf ihm lastet nur Unschuld.</w:t>
      </w:r>
    </w:p>
  </w:footnote>
  <w:footnote w:id="560">
    <w:p>
      <w:pPr>
        <w:pStyle w:val="Funote"/>
        <w:rPr/>
      </w:pPr>
      <w:r>
        <w:rPr>
          <w:rStyle w:val="Funotenzeichen"/>
        </w:rPr>
        <w:footnoteRef/>
      </w:r>
      <w:r>
        <w:rPr/>
        <w:tab/>
        <w:t>Böses von Frevlern (böse Frevler, Bosheit von Frevler?) - Was auf den ersten Blick „Böses von Frevlern“ zu bedeuten scheint und daher häufig nach „Bosheit von Frevlern“ emendiert worden ist, heißt wohl einfach „böse Frevler“ (zur Konstruktion vgl. GKC § 132c).</w:t>
      </w:r>
    </w:p>
  </w:footnote>
  <w:footnote w:id="561">
    <w:p>
      <w:pPr>
        <w:pStyle w:val="Funote"/>
        <w:rPr/>
      </w:pPr>
      <w:r>
        <w:rPr>
          <w:rStyle w:val="Funotenzeichen"/>
        </w:rPr>
        <w:footnoteRef/>
      </w:r>
      <w:r>
        <w:rPr/>
        <w:tab/>
        <w:t>sicher stehen lassen - häufige Metapher, vgl. näher FN r zu Ps 30,7: Das „Wanken“ steht in der Bibel für eine Gefährdung, aus der direkt Vernichtung und Tod folgt. Wer dagegen „sicher steht“, „nicht wankt“, ist sicher und geschützt und wird daher ewig bestehen - hier im Gegensatz zu den Frevlern, die ob ihrer Bosheit „enden“ sollen. Sehr schön BB: „Mach ein Ende mit der Bosheit dieser Frevler. / Doch den Gerechten lass bestehen.“, auch z.B. ZÜR: „doch dem Gerechten gib Bestand!“</w:t>
      </w:r>
    </w:p>
  </w:footnote>
  <w:footnote w:id="562">
    <w:p>
      <w:pPr>
        <w:pStyle w:val="Funote"/>
        <w:rPr/>
      </w:pPr>
      <w:r>
        <w:rPr>
          <w:rStyle w:val="Funotenzeichen"/>
        </w:rPr>
        <w:footnoteRef/>
      </w:r>
      <w:r>
        <w:rPr/>
        <w:tab/>
        <w:t>Herz und Nieren - Das Herz ist im heb. Menschenbild Sitz der Gedanken, die Nieren Sitz der Emotionen. Dass Gott „Herz und Nieren prüft“, meint also, dass er das ganze „Innenleben“ des Menschen kennt - dass er ihm „in Herz und Hirn“ sehen kann. Vgl. z.B. ThWAT IV, S. 191 und s. z.B. Ps 26,2; Weish 1,6; Jer 11,20; 17,10.</w:t>
      </w:r>
    </w:p>
  </w:footnote>
  <w:footnote w:id="563">
    <w:p>
      <w:pPr>
        <w:pStyle w:val="Funote"/>
        <w:rPr/>
      </w:pPr>
      <w:r>
        <w:rPr>
          <w:rStyle w:val="Funotenzeichen"/>
        </w:rPr>
        <w:footnoteRef/>
      </w:r>
      <w:r>
        <w:rPr/>
        <w:tab/>
        <w:t>Der gerechte Gott prüft Herz und Nieren... - oder: „[Du], gerechter Gott, prüfst Herz und Nieren.“</w:t>
      </w:r>
    </w:p>
  </w:footnote>
  <w:footnote w:id="564">
    <w:p>
      <w:pPr>
        <w:pStyle w:val="Funote"/>
        <w:rPr/>
      </w:pPr>
      <w:r>
        <w:rPr>
          <w:rStyle w:val="Funotenzeichen"/>
        </w:rPr>
        <w:footnoteRef/>
      </w:r>
      <w:r>
        <w:rPr/>
        <w:tab/>
        <w:t>Textkritik: Mein Schild auf mir (auf) - W. „Mein Schild [ist] auf Gott“; lies statt al („auf“) besser alaj („auf mir“); so z.B. BHS; Kraus 1961, S. 54; Terrien 2003, S. 121; Weiser 1959, S. 90. Erwägenswert auch Herkenne 1936, S. 63; Kissane 1953, S. 28: lies jo`il („hilfreich“), also „mein hilfreicher Schild“.</w:t>
      </w:r>
    </w:p>
  </w:footnote>
  <w:footnote w:id="565">
    <w:p>
      <w:pPr>
        <w:pStyle w:val="Funote"/>
        <w:rPr/>
      </w:pPr>
      <w:r>
        <w:rPr>
          <w:rStyle w:val="Funotenzeichen"/>
        </w:rPr>
        <w:footnoteRef/>
      </w:r>
      <w:r>
        <w:rPr/>
        <w:tab/>
        <w:t>der jeden Tag zürnt - nämlich den Frevlern, wie das der Text sicher voraussetzt und wie das schon Tg und heute z.B. GN, NGÜ, NL, T4T ergänzen.</w:t>
      </w:r>
    </w:p>
  </w:footnote>
  <w:footnote w:id="566">
    <w:p>
      <w:pPr>
        <w:pStyle w:val="Funote"/>
        <w:rPr/>
      </w:pPr>
      <w:r>
        <w:rPr>
          <w:rStyle w:val="Funotenzeichen"/>
        </w:rPr>
        <w:footnoteRef/>
      </w:r>
      <w:r>
        <w:rPr/>
        <w:tab/>
        <w:t>Wenn man sich nicht bekehrt, [sondern] sein Schwert wetzt... - Umstrittener Vers. Nach der obigen Deutung ist das Subjekt der Sätze ab 13a der Frevler und der ganze V. 13 ist die Protasis (=der „Wenn“-Satz) für die Apodosis (=der „Dann“-Satz) V. 14 (so z.B. auch Fokkelman 2000, S. 67; EÜ, wohl auch BB). Möglich sind aber auch viele andere Deutungen:Umstritten ist nämlich genauer (a), wie im lo jaschub (hier: „wenn man sich nicht bekehrt“) gedeutet werden muss, (b), wer Subjekt dieser Sätze ist und (c), wo „wenn man sich nicht bekehrt“ einzuordnen ist.Zu (a): (a1) Die natürlichste Deutung ist die obige als „Wenn man sich nicht bekehrt“. Möglich wären aber auch (a2) „Fürwahr, schon wieder [wetzt er (=der Frevler) sein Schwert]“ (so z.B. Kraus 1961, S. 53; schon Olshausen 1853, S. 52) und (a3) „Ach, wenn doch wieder [er sein Schwert schärfen würde]“ (so m.W. nur Dahood 1965, S. 41).Zu (b): (b1) Die natürlichste Deutung wäre, dass in Vv. 13f. Gott das Subjekt ist (so z.B. Hubbard 1982, S. 269; Macintosh 1982, S. 487). Aber dann ließe sich das „für sich [selbst]“ in V. 14 nicht gut erklären. (b2) Besser ist daher die Deutung, die den „Frevler“ als Subjekt dieser Verse sieht (so z.B. Gerstenberger 1991, S. 63; Nötscher 1959, S. 26). (b3) Daneben vertreten wurde auch, dass der Frevler das Subjekt des Nebensatzes und Gott das Subjekt der restlichen Sätze wäre: „Wenn er (=der Frevler) sich nicht bekehrt, wetzt er (=Gott) sein Schwert.“ (so z.B. Bratcher/Reyburn 1991, S. 73f.; viele Üss.). Aber das ist recht unwahrscheinlich.Zu (c): (c1) Nach der masoretischen Deutung müsste der Nebensatz zum Rest von V. 13 gezogen werden: „Wenn man sich nicht bekehrt, ...“ (so fast alle). Theoretisch möglich wäre aber auch eine Deutung nach dem Muster „er ist auch ein Gott, der jeden Tag zürnt, wenn man sich nicht bekehrt. / ...“ (so z.B. Macintosh 1982, S. 485; auch Craigie 1983; Deissler 1989 und schon Schegg 1845 z.St.)</w:t>
      </w:r>
    </w:p>
  </w:footnote>
  <w:footnote w:id="567">
    <w:p>
      <w:pPr>
        <w:pStyle w:val="Funote"/>
        <w:rPr/>
      </w:pPr>
      <w:r>
        <w:rPr>
          <w:rStyle w:val="Funotenzeichen"/>
        </w:rPr>
        <w:footnoteRef/>
      </w:r>
      <w:r>
        <w:rPr/>
        <w:tab/>
        <w:t>ihn aufrichtet - d.h. wohl: „mit ihm zielt“.</w:t>
      </w:r>
    </w:p>
  </w:footnote>
  <w:footnote w:id="568">
    <w:p>
      <w:pPr>
        <w:pStyle w:val="Funote"/>
        <w:rPr/>
      </w:pPr>
      <w:r>
        <w:rPr>
          <w:rStyle w:val="Funotenzeichen"/>
        </w:rPr>
        <w:footnoteRef/>
      </w:r>
      <w:r>
        <w:rPr/>
        <w:tab/>
        <w:t>zu brennenden - d.h., zu Brandpfeilen.</w:t>
      </w:r>
    </w:p>
  </w:footnote>
  <w:footnote w:id="569">
    <w:p>
      <w:pPr>
        <w:pStyle w:val="Funote"/>
        <w:rPr/>
      </w:pPr>
      <w:r>
        <w:rPr>
          <w:rStyle w:val="Funotenzeichen"/>
        </w:rPr>
        <w:footnoteRef/>
      </w:r>
      <w:r>
        <w:rPr/>
        <w:tab/>
        <w:t>tFN: Wenn (siehe) - zu hinneh mit der Bedeutung „wenn“ vgl. KBL3, S. 242 und s. z.B. 1 Sam 9,7; 2 Sam 18,11; 2 Kön 7,2.</w:t>
      </w:r>
    </w:p>
  </w:footnote>
  <w:footnote w:id="570">
    <w:p>
      <w:pPr>
        <w:pStyle w:val="Funote"/>
        <w:rPr/>
      </w:pPr>
      <w:r>
        <w:rPr>
          <w:rStyle w:val="Funotenzeichen"/>
        </w:rPr>
        <w:footnoteRef/>
      </w:r>
      <w:r>
        <w:rPr/>
        <w:tab/>
        <w:t>und gebiert - Trug (und gebiert Lügen) - umstrittener Satz. Entweder ist ist die Aussage eine ähnliche wie in Vv. 13f.16: Das Planen von Unheil bringt dem Planer selbst Unheil ein, also „ist man schwanger mit Unheil, hat man eine Fehlgeburt“ (so z.B. B-R; GN; Kissane 1953, S. 28; SLT; Terrien 2003, S. 117; Wellhausen 1898, S. 6; Zorell 1928, S. 9; s. Ijob 15,35; Jes 33,11). Möglich ist aber auch, dass „Trug“ hier den selben Status hat wie „Frevel“ und „Bosheit“ und dass der Beter sich in V. 15 also noch einmal über den Frevler, der Böses tut - nämlich z.B., indem er „Lügen gebiert“ (s. ähnlich Jes 59,4), beklagt. Wegen dem Kontext ist aber der ersten Deutung der Vorzug zu geben.</w:t>
      </w:r>
    </w:p>
  </w:footnote>
  <w:footnote w:id="571">
    <w:p>
      <w:pPr>
        <w:pStyle w:val="Funote"/>
        <w:rPr/>
      </w:pPr>
      <w:r>
        <w:rPr>
          <w:rStyle w:val="Funotenzeichen"/>
        </w:rPr>
        <w:footnoteRef/>
      </w:r>
      <w:r>
        <w:rPr/>
        <w:tab/>
        <w:t>[Status: Zuverlässig]</w:t>
      </w:r>
    </w:p>
  </w:footnote>
  <w:footnote w:id="572">
    <w:p>
      <w:pPr>
        <w:pStyle w:val="Funote"/>
        <w:rPr/>
      </w:pPr>
      <w:r>
        <w:rPr>
          <w:rStyle w:val="Funotenzeichen"/>
        </w:rPr>
        <w:footnoteRef/>
      </w:r>
      <w:r>
        <w:rPr/>
        <w:tab/>
        <w:t>Genaue Bedeutung unklar. Die gewählte Übersetzung entspricht der Mehrheitsmeinung.</w:t>
      </w:r>
    </w:p>
  </w:footnote>
  <w:footnote w:id="573">
    <w:p>
      <w:pPr>
        <w:pStyle w:val="Funote"/>
        <w:rPr/>
      </w:pPr>
      <w:r>
        <w:rPr>
          <w:rStyle w:val="Funotenzeichen"/>
        </w:rPr>
        <w:footnoteRef/>
      </w:r>
      <w:r>
        <w:rPr/>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574">
    <w:p>
      <w:pPr>
        <w:pStyle w:val="Funote"/>
        <w:rPr/>
      </w:pPr>
      <w:r>
        <w:rPr>
          <w:rStyle w:val="Funotenzeichen"/>
        </w:rPr>
        <w:footnoteRef/>
      </w:r>
      <w:r>
        <w:rPr/>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575">
    <w:p>
      <w:pPr>
        <w:pStyle w:val="Funote"/>
        <w:rPr/>
      </w:pPr>
      <w:r>
        <w:rPr>
          <w:rStyle w:val="Funotenzeichen"/>
        </w:rPr>
        <w:footnoteRef/>
      </w:r>
      <w:r>
        <w:rPr>
          <w:rtl w:val="true"/>
          <w:lang w:bidi="he-IL"/>
        </w:rPr>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576">
    <w:p>
      <w:pPr>
        <w:pStyle w:val="Funote"/>
        <w:rPr/>
      </w:pPr>
      <w:r>
        <w:rPr>
          <w:rStyle w:val="Funotenzeichen"/>
        </w:rPr>
        <w:footnoteRef/>
      </w:r>
      <w:r>
        <w:rPr/>
        <w:tab/>
        <w:t xml:space="preserve">Textkritik: welche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577">
    <w:p>
      <w:pPr>
        <w:pStyle w:val="Funote"/>
        <w:rPr/>
      </w:pPr>
      <w:r>
        <w:rPr>
          <w:rStyle w:val="Funotenzeichen"/>
        </w:rPr>
        <w:footnoteRef/>
      </w:r>
      <w:r>
        <w:rPr/>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578">
    <w:p>
      <w:pPr>
        <w:pStyle w:val="Funote"/>
        <w:rPr/>
      </w:pPr>
      <w:r>
        <w:rPr>
          <w:rStyle w:val="Funotenzeichen"/>
        </w:rPr>
        <w:footnoteRef/>
      </w:r>
      <w:r>
        <w:rPr/>
        <w:tab/>
        <w:t>Sowohl das Wort für „Kleinkinder“ als auch das für „Säuglinge“ steht für Kinder bis maximal drei Jahren. Die übliche Übersetzung „Kinder und Säuglinge“ ist also ungenau.</w:t>
      </w:r>
    </w:p>
  </w:footnote>
  <w:footnote w:id="579">
    <w:p>
      <w:pPr>
        <w:pStyle w:val="Funote"/>
        <w:rPr/>
      </w:pPr>
      <w:r>
        <w:rPr>
          <w:rStyle w:val="Funotenzeichen"/>
        </w:rPr>
        <w:footnoteRef/>
      </w:r>
      <w:r>
        <w:rPr/>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580">
    <w:p>
      <w:pPr>
        <w:pStyle w:val="Funote"/>
        <w:rPr/>
      </w:pPr>
      <w:r>
        <w:rPr>
          <w:rStyle w:val="Funotenzeichen"/>
        </w:rPr>
        <w:footnoteRef/>
      </w:r>
      <w:r>
        <w:rPr/>
        <w:tab/>
        <w:t xml:space="preserve">zu „um deiner Gegner willen“ vgl. FN ad zu Ps 5,9: </w:t>
      </w:r>
      <w:r>
        <w:rPr>
          <w:rtl w:val="true"/>
          <w:lang w:bidi="he-IL"/>
        </w:rPr>
        <w:t>לְמַעַן</w:t>
      </w:r>
      <w:r>
        <w:rPr/>
        <w:t xml:space="preserve"> </w:t>
      </w:r>
      <w:r>
        <w:rPr/>
        <w:t>dient hier wohl zur Bezeichnung der Motivation, die Gott zu einer Handlung veranlassen soll, also wohl „wegen deiner = wider deine Feinde“</w:t>
      </w:r>
    </w:p>
  </w:footnote>
  <w:footnote w:id="581">
    <w:p>
      <w:pPr>
        <w:pStyle w:val="Funote"/>
        <w:rPr/>
      </w:pPr>
      <w:r>
        <w:rPr>
          <w:rStyle w:val="Funotenzeichen"/>
        </w:rPr>
        <w:footnoteRef/>
      </w:r>
      <w:r>
        <w:rPr/>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„Deiner Finger Werk“.</w:t>
      </w:r>
    </w:p>
  </w:footnote>
  <w:footnote w:id="582">
    <w:p>
      <w:pPr>
        <w:pStyle w:val="Funote"/>
        <w:rPr/>
      </w:pPr>
      <w:r>
        <w:rPr>
          <w:rStyle w:val="Funotenzeichen"/>
        </w:rPr>
        <w:footnoteRef/>
      </w:r>
      <w:r>
        <w:rPr/>
        <w:tab/>
        <w:t>In der biblischen Poesie werden Zitate häufig nicht durch verba dicendi eingeleitet; im Deutschen muss man diese Redeeinleitungen ergänzen. Vgl. dazu ad loc. z.B. GKC §159dd.</w:t>
      </w:r>
    </w:p>
  </w:footnote>
  <w:footnote w:id="583">
    <w:p>
      <w:pPr>
        <w:pStyle w:val="Funote"/>
        <w:rPr/>
      </w:pPr>
      <w:r>
        <w:rPr>
          <w:rStyle w:val="Funotenzeichen"/>
        </w:rPr>
        <w:footnoteRef/>
      </w:r>
      <w:r>
        <w:rPr/>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584">
    <w:p>
      <w:pPr>
        <w:pStyle w:val="Funote"/>
        <w:rPr/>
      </w:pPr>
      <w:r>
        <w:rPr>
          <w:rStyle w:val="Funotenzeichen"/>
        </w:rPr>
        <w:footnoteRef/>
      </w:r>
      <w:r>
        <w:rPr/>
        <w:tab/>
        <w:t>Das „Erinnern“ und „Beachten“ Gottes ist nicht wörtlich zu verstehen, sondern beides sind geprägte Wendungen für ein Handeln Gottes an dem, dessen er sich „erinnert“ oder auf den er „achtet“. Ist es nicht näher bestimmt, meint es meist ein heilsames Handeln; so auch hier. Vgl. zu „Erinnern“ Gen 8,1; 19,29; 30,22; Ex 32,13; Dtn 9,27 u.ö.; zu „Beachten“ Gen 21,1; 50,24f; Ex 3,16; 4,31; 1Sam 2,21 u.ö.</w:t>
      </w:r>
    </w:p>
  </w:footnote>
  <w:footnote w:id="585">
    <w:p>
      <w:pPr>
        <w:pStyle w:val="Funote"/>
        <w:rPr/>
      </w:pPr>
      <w:r>
        <w:rPr>
          <w:rStyle w:val="Funotenzeichen"/>
        </w:rPr>
        <w:footnoteRef/>
      </w:r>
      <w:r>
        <w:rPr/>
        <w:tab/>
        <w:t>„</w:t>
      </w:r>
      <w:r>
        <w:rPr/>
        <w:t>Menschenkind“ gut nach Ridderbos 1972, S. 136, da diese Übersetzung gut zum vorangehenden Halbvers passt.</w:t>
      </w:r>
    </w:p>
  </w:footnote>
  <w:footnote w:id="586">
    <w:p>
      <w:pPr>
        <w:pStyle w:val="Funote"/>
        <w:rPr/>
      </w:pPr>
      <w:r>
        <w:rPr>
          <w:rStyle w:val="Funotenzeichen"/>
        </w:rPr>
        <w:footnoteRef/>
      </w:r>
      <w:r>
        <w:rPr/>
        <w:tab/>
        <w:t>Heb. ben adam, Sohn / Kind des adam. Dass Ps 8 vielfältige Bezüge zum Schöpfungsmythos hat, wurde häufig bemerkt (bis hin zur These, mit dem konsekutiven waw schließe Ps 8 direkt an Gen 1 an); ben adam ist daher ein besonders treffender Ausdruck.</w:t>
      </w:r>
    </w:p>
  </w:footnote>
  <w:footnote w:id="587">
    <w:p>
      <w:pPr>
        <w:pStyle w:val="Funote"/>
        <w:rPr/>
      </w:pPr>
      <w:r>
        <w:rPr>
          <w:rStyle w:val="Funotenzeichen"/>
        </w:rPr>
        <w:footnoteRef/>
      </w:r>
      <w:r>
        <w:rPr/>
        <w:tab/>
        <w:t>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weswegen haben wir nicht diese unsere Welt auch im Besitz?“ (Üs. nach Rießler 1928, S. 271; meine Unterstreichung). - die menschliche Herrschaft ist also sowohl nach Gen 1,28 und 4Ezra 6,59 eben noch nicht eingetreten. Vgl. auch Guthrie / Quinn 2006, bes. S. 236f.; vgl. außerdem die eschatologische Wendung in Heb 2,5-8.</w:t>
      </w:r>
    </w:p>
  </w:footnote>
  <w:footnote w:id="588">
    <w:p>
      <w:pPr>
        <w:pStyle w:val="Funote"/>
        <w:rPr/>
      </w:pPr>
      <w:r>
        <w:rPr>
          <w:rStyle w:val="Funotenzeichen"/>
        </w:rPr>
        <w:footnoteRef/>
      </w:r>
      <w:r>
        <w:rPr/>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589">
    <w:p>
      <w:pPr>
        <w:pStyle w:val="Funote"/>
        <w:rPr/>
      </w:pPr>
      <w:r>
        <w:rPr>
          <w:rStyle w:val="Funotenzeichen"/>
        </w:rPr>
        <w:footnoteRef/>
      </w:r>
      <w:r>
        <w:rPr/>
        <w:tab/>
        <w:t>„</w:t>
      </w:r>
      <w:r>
        <w:rPr/>
        <w:t>Herrlichkeit und Pracht“ sind eigentlich Prädikate, die typischerweise nur von Gott ausgesagt werden (vgl. Ps 145,5.12; Jes 35,2). Ähnlich, wie sie Ps 21,5 dann auf den König angewandt werden, werden sie hier auf den Menschen im Allgemeinen angewendet; dies unterstreicht noch die Aussage in 6a, dass dem Menschen nur wenig zu Gott fehlt.</w:t>
      </w:r>
    </w:p>
  </w:footnote>
  <w:footnote w:id="590">
    <w:p>
      <w:pPr>
        <w:pStyle w:val="Funote"/>
        <w:rPr/>
      </w:pPr>
      <w:r>
        <w:rPr>
          <w:rStyle w:val="Funotenzeichen"/>
        </w:rPr>
        <w:footnoteRef/>
      </w:r>
      <w:r>
        <w:rPr/>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591">
    <w:p>
      <w:pPr>
        <w:pStyle w:val="Funote"/>
        <w:rPr/>
      </w:pPr>
      <w:r>
        <w:rPr>
          <w:rStyle w:val="Funotenzeichen"/>
        </w:rPr>
        <w:footnoteRef/>
      </w:r>
      <w:r>
        <w:rPr/>
        <w:tab/>
        <w:t>Zu „Schafe und Rinder“ als „Kleinvieh und Großvieh“ vgl. ad loc. Craigie 1983, S. 96; Whitekettle 2006, S. 752.</w:t>
      </w:r>
    </w:p>
  </w:footnote>
  <w:footnote w:id="592">
    <w:p>
      <w:pPr>
        <w:pStyle w:val="Funote"/>
        <w:rPr/>
      </w:pPr>
      <w:r>
        <w:rPr>
          <w:rStyle w:val="Funotenzeichen"/>
        </w:rPr>
        <w:footnoteRef/>
      </w:r>
      <w:r>
        <w:rPr/>
        <w:tab/>
        <w:t>„</w:t>
      </w:r>
      <w:r>
        <w:rPr/>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593">
    <w:p>
      <w:pPr>
        <w:pStyle w:val="Funote"/>
        <w:rPr/>
      </w:pPr>
      <w:r>
        <w:rPr>
          <w:rStyle w:val="Funotenzeichen"/>
        </w:rPr>
        <w:footnoteRef/>
      </w:r>
      <w:r>
        <w:rPr/>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594">
    <w:p>
      <w:pPr>
        <w:pStyle w:val="Funote"/>
        <w:rPr/>
      </w:pPr>
      <w:r>
        <w:rPr>
          <w:rStyle w:val="Funotenzeichen"/>
        </w:rPr>
        <w:footnoteRef/>
      </w:r>
      <w:r>
        <w:rPr/>
        <w:tab/>
        <w:t>zu „seine Bahnen zieht“ vgl. Waltke 2010, S. 271: Die Pfade des Meeres steht für die Reiseroute des Leviathans.</w:t>
      </w:r>
    </w:p>
  </w:footnote>
  <w:footnote w:id="595">
    <w:p>
      <w:pPr>
        <w:pStyle w:val="Funote"/>
        <w:rPr/>
      </w:pPr>
      <w:r>
        <w:rPr>
          <w:rStyle w:val="Funotenzeichen"/>
        </w:rPr>
        <w:footnoteRef/>
      </w:r>
      <w:r>
        <w:rPr/>
        <w:tab/>
        <w:t>JHWH</w:t>
      </w:r>
    </w:p>
  </w:footnote>
  <w:footnote w:id="596">
    <w:p>
      <w:pPr>
        <w:pStyle w:val="Funote"/>
        <w:rPr/>
      </w:pPr>
      <w:r>
        <w:rPr>
          <w:rStyle w:val="Funotenzeichen"/>
        </w:rPr>
        <w:footnoteRef/>
      </w:r>
      <w:r>
        <w:rPr/>
        <w:tab/>
        <w:t>JHWH</w:t>
      </w:r>
    </w:p>
  </w:footnote>
  <w:footnote w:id="597">
    <w:p>
      <w:pPr>
        <w:pStyle w:val="Funote"/>
        <w:rPr/>
      </w:pPr>
      <w:r>
        <w:rPr>
          <w:rStyle w:val="Funotenzeichen"/>
        </w:rPr>
        <w:footnoteRef/>
      </w:r>
      <w:r>
        <w:rPr/>
        <w:tab/>
        <w:t>[Status: Zuverlässig]</w:t>
      </w:r>
    </w:p>
  </w:footnote>
  <w:footnote w:id="598">
    <w:p>
      <w:pPr>
        <w:pStyle w:val="Funote"/>
        <w:rPr/>
      </w:pPr>
      <w:r>
        <w:rPr>
          <w:rStyle w:val="Funotenzeichen"/>
        </w:rPr>
        <w:footnoteRef/>
      </w:r>
      <w:r>
        <w:rPr/>
        <w:tab/>
        <w:t>Chorleiter - Heb. menatseach; genaue Bedeutung unklar. Die Primärübersetzung „Chorleiter“ ist mehr oder weniger Konvention. S. noch nächste FN.</w:t>
      </w:r>
    </w:p>
  </w:footnote>
  <w:footnote w:id="599">
    <w:p>
      <w:pPr>
        <w:pStyle w:val="Funote"/>
        <w:rPr/>
      </w:pPr>
      <w:r>
        <w:rPr>
          <w:rStyle w:val="Funotenzeichen"/>
        </w:rPr>
        <w:footnoteRef/>
      </w:r>
      <w:r>
        <w:rPr/>
        <w:tab/>
        <w:t>`almut labben ([Vorzutragen vom] Vorsteher [über das Ritual] „`almut labben“) - rätselhafter Begriff. Auch in den alten Übersetzungen und Deutungen wird unterschiedlich damit umgegangen: Viele Handschriften korrigieren zu `al-mut labben, was auch Tg und Hieronymus vorlag; dies wird dann meist als die Angabe eines bekannten Liedes gesehen, nach dessen Melodie der Psalm zu singen sei: „[zu singen] nach [der Melodie des Liedes] ‚Sterben für den Sohn/Sterben des Sohnes‘“ (so auch viele Üss.). LXX und VUL dagegen interpretieren als tha`alumot labben („[über die] Geheimnisse des Sohnes“). Einige neuere Üss. schließlich korrigieren den Text (=&gt; Textkritik) von `almut nach `alamot (so wohl auch Aq), was sich auch im Titel von Ps 46,1 und auch in 1 Chr 15,20f. findet und ws. soviel wie „Jungfrauenweise“=„hohe Gesangsstimme“ bedeutet („Jungfrauenweise für den Sohn“ =&gt; GN: „für hohe Knabenstimmen“). Dass in den sog. „Psalmenüberschriften“ Angaben zur Melodie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`almut labben nicht die Melodie, sondern der menatseach wäre Vorsteher über das Ritual mit dem Namen `almut labben, bei dem der Psalm vorzuträgen wäre. Doch ist auch dies nur ein „educated guess“ und „Chorleiter“ und „[nach der Melodie]“ sind in dt. Üss. so etabliert, dass die LF doch besser dieser Deutung folgen sollte: „Für den Chorleiter. [Vorzutragen] nach [der Melodie des Liedes] ‚almut labben‘“.</w:t>
      </w:r>
    </w:p>
  </w:footnote>
  <w:footnote w:id="600">
    <w:p>
      <w:pPr>
        <w:pStyle w:val="Funote"/>
        <w:rPr/>
      </w:pPr>
      <w:r>
        <w:rPr>
          <w:rStyle w:val="Funotenzeichen"/>
        </w:rPr>
        <w:footnoteRef/>
      </w:r>
      <w:r>
        <w:rPr/>
        <w:tab/>
        <w:t>Ps 9-10 sind das erste sog. „Akrostichon“ in der Bibel, die Anfangsbuchstaben einiger Zeilen folgen also dem heb. Alphabet (s. die Anmerkungen). Um das direkt sichtbar zu machen, haben wir die obigen Buchstaben gesetzt: Wo „A“ steht, findet sich im heb. Text der erste Buchstabe des heb. Alphabets, wo „B“ steht der zweite usw.</w:t>
      </w:r>
    </w:p>
  </w:footnote>
  <w:footnote w:id="601">
    <w:p>
      <w:pPr>
        <w:pStyle w:val="Funote"/>
        <w:rPr/>
      </w:pPr>
      <w:r>
        <w:rPr>
          <w:rStyle w:val="Funotenzeichen"/>
        </w:rPr>
        <w:footnoteRef/>
      </w:r>
      <w:r>
        <w:rPr/>
        <w:tab/>
        <w:t>ich will JHWH preisen - Viele Üss. nach LXX, Aq und Sym: „Ich will [dich] preisen, JHWH“. Das ist richtig: Der Dichter verwendet hier ein Stilmittel, einen sog. „P-Shift“: In heb. Lyrik kann aus poetischen Gründen von einer Zeile auf die nächste von einer Person zur nächsten gewechselt werden (also z.B. hier: Zeile 1: Rede von Gott (3. Pers.) =&gt; Zeile 2: Rede zu Gott (2. Pers.)), ohne, dass dies einen Bedeutungsunterschied machen würde. Weil dieses Stilmittel im Dt. ungebräuchlich ist, sollte besser auch in der LF so übersetzt werden.</w:t>
      </w:r>
    </w:p>
  </w:footnote>
  <w:footnote w:id="602">
    <w:p>
      <w:pPr>
        <w:pStyle w:val="Funote"/>
        <w:rPr/>
      </w:pPr>
      <w:r>
        <w:rPr>
          <w:rStyle w:val="Funotenzeichen"/>
        </w:rPr>
        <w:footnoteRef/>
      </w:r>
      <w:r>
        <w:rPr/>
        <w:tab/>
        <w:t>deinen Namen (dich) - der „Name“ Gottes steht hier wie meist in den Pss. für Gott selbst, genauer: für „Gott im Menschenmund“. Näher am Sinn wäre daher die Üs. „will dich besingen“ (so z.B. auch EÜ, GN, NeÜ).</w:t>
      </w:r>
    </w:p>
  </w:footnote>
  <w:footnote w:id="603">
    <w:p>
      <w:pPr>
        <w:pStyle w:val="Funote"/>
        <w:rPr/>
      </w:pPr>
      <w:r>
        <w:rPr>
          <w:rStyle w:val="Funotenzeichen"/>
        </w:rPr>
        <w:footnoteRef/>
      </w:r>
      <w:r>
        <w:rPr/>
        <w:tab/>
        <w:t>[mit den Worten]: - Ps 9-10 haben eine interessante Struktur: Im ersten Teil überwiegt der Lobpreis und erst im zweiten Teil die Klage und Bitte. In der Regel ist es bei vergleichbaren Psalmen andersherum. Eshel/Strugnell 2000 z.B. haben aus diesem Grund sogar gemutmaßt, dass ursprünglich Ps 9 auf Ps 10 gefolgt sei. Eine weitere strukturelle Besonderheit: Die beiden längeren Lobpreisteile in Ps 9 folgen jeweils direkt auf eine Willensbekundung (formuliert im Kohortativ!), JHWH zu preisen: Vv. 2f.: Der Beter will JHWH preisen =&gt; Vv. 3-13: Lobpreis =&gt; Vv. 14f.: Bitte, damit der Beter JHWH peisen kann =&gt; Vv. 16-19: Lobpreis. Vorgeschlagen sei daher, dass es sich bei Vv. 3-13.16-19 um Proben des Lobpreises handelt, den der Beter im Falle seiner Errettung Gott darbringen will - wie sich das noch häufiger in den Klagepsalmen findet, s. z.B. schön deutlich Ps 22,24f.. Zu Vv. 16f. so auch Ehrlich 1905, S. 18. Das würde dann z.B. auch erklären, warum sich der Beter in V. 12 auf einmal an mehrere Hörer wenden und sie auffordern kann, in sein Lobpreis einzustimmen.</w:t>
      </w:r>
    </w:p>
  </w:footnote>
  <w:footnote w:id="604">
    <w:p>
      <w:pPr>
        <w:pStyle w:val="Funote"/>
        <w:rPr/>
      </w:pPr>
      <w:r>
        <w:rPr>
          <w:rStyle w:val="Funotenzeichen"/>
        </w:rPr>
        <w:footnoteRef/>
      </w:r>
      <w:r>
        <w:rPr/>
        <w:tab/>
        <w:t>In Vv. 2-3 beginnt nicht nur das erste Wort mit Alef, dem ersten Buchstaben des heb. Alphabets - wie es das in den Anmerkungen beschriebene Muster erwarten lassen würde -, sondern jede Zeile und alle fünf verwendeten Verben beginnen mit diesem Buchstaben.</w:t>
      </w:r>
    </w:p>
  </w:footnote>
  <w:footnote w:id="605">
    <w:p>
      <w:pPr>
        <w:pStyle w:val="Funote"/>
        <w:rPr/>
      </w:pPr>
      <w:r>
        <w:rPr>
          <w:rStyle w:val="Funotenzeichen"/>
        </w:rPr>
        <w:footnoteRef/>
      </w:r>
      <w:r>
        <w:rPr/>
        <w:tab/>
        <w:t>stolpern - häufige Metapher u.a. für das Besiegt-werden; s. z.B. Lev 26,37; 2 Chr 25,8; Ps 27,2 (vgl. V. 3); 64,8; Jes 3,8; 8,15 u.ö.</w:t>
      </w:r>
    </w:p>
  </w:footnote>
  <w:footnote w:id="606">
    <w:p>
      <w:pPr>
        <w:pStyle w:val="Funote"/>
        <w:rPr/>
      </w:pPr>
      <w:r>
        <w:rPr>
          <w:rStyle w:val="Funotenzeichen"/>
        </w:rPr>
        <w:footnoteRef/>
      </w:r>
      <w:r>
        <w:rPr/>
        <w:tab/>
        <w:t>vor dir - W. »von vor deinem Angesicht«. »Vor jmds Angesicht« darf nicht wörtlich verstanden werden, sondern wird in der Bibel in den meisten Fällen als bloße Präposition verwendet (»vor«; vgl. z.B. THAT II, Sp. 443). In vielen Fällen wird aber gerade dann speziell diese Präposition verwendet, wenn von der Niederlage von Feinden vor/durch ihre Gegner die Rede ist (vgl. ebd., Sp. 444); gemeint ist also hier, was der Kontext ohnehin klar macht: Die Feinde des Beters werden bei ihrer Rückkehr stolpern - d.h. »besiegt werden«, s. vorige FN -, und der, der sie besiegt, ist Gott. Das »Preislied« auf Gott setzt also ein mit der Beschreibung desselben als einem für den Beter kämpfenden Streiter.</w:t>
      </w:r>
    </w:p>
  </w:footnote>
  <w:footnote w:id="607">
    <w:p>
      <w:pPr>
        <w:pStyle w:val="Funote"/>
        <w:rPr/>
      </w:pPr>
      <w:r>
        <w:rPr>
          <w:rStyle w:val="Funotenzeichen"/>
        </w:rPr>
        <w:footnoteRef/>
      </w:r>
      <w:r>
        <w:rPr/>
        <w:tab/>
        <w:t>tFN: Als ... mussten - W. auf den ersten Blick: »Wenn meine Feinde zurückweichen, werden/sollen sie stolpern und vor dir zugrunde gehen« (so z.B. Terrien 2003; Zuber 1986). Die folgenden Zeilen zeigen aber klar, dass die hier beschriebene Niederlage der Feinde in der Vergangenheit liegt. Vermutlich handelt es sich daher hier um sog. »prospektive Yiqtols« (dazu vgl. z.B. Joosten 2012, S. 281-283): »Als meine Feinde zurückwichen« setzt die Referenzzeit, und von dieser Referenzzeit aus gesehen liegt das »Stolpern und zugrunde gehen« in der Zukunft; daher wird für »stolpern« und »zugrunde gehen« die (futurische) Verbform Yiqtol verwendet. Wir haben versucht, dies durch eine Übersetzung mit »mussten« nachzubilden; die natürlichere dt. Übersetzung wäre aber die mit durchgehend Vergangenheit: »Als meine Feinde zurückwichen, da strauchelten sie und kamen um vor deinem Angesicht« (SLT).</w:t>
      </w:r>
    </w:p>
  </w:footnote>
  <w:footnote w:id="608">
    <w:p>
      <w:pPr>
        <w:pStyle w:val="Funote"/>
        <w:rPr/>
      </w:pPr>
      <w:r>
        <w:rPr>
          <w:rStyle w:val="Funotenzeichen"/>
        </w:rPr>
        <w:footnoteRef/>
      </w:r>
      <w:r>
        <w:rPr/>
        <w:tab/>
        <w:t>auf dem Thron als gerechter Richter - im Alten Israel galt der König als der »oberste Richter und Garant des Rechts« (König / Königtum (AT) (WiBiLex)); der Übergang von der Streitermetapher zur Metapher vom thronenden Richter ist im Heb. also nicht so hart wie im Dt. S. ähnlich den Übergang von Ps 89,9-11.14 zu 89,15 und von Ps 97,1-2 zu 97,3-5.</w:t>
      </w:r>
    </w:p>
  </w:footnote>
  <w:footnote w:id="609">
    <w:p>
      <w:pPr>
        <w:pStyle w:val="Funote"/>
        <w:rPr/>
      </w:pPr>
      <w:r>
        <w:rPr>
          <w:rStyle w:val="Funotenzeichen"/>
        </w:rPr>
        <w:footnoteRef/>
      </w:r>
      <w:r>
        <w:rPr/>
        <w:tab/>
        <w:t>Nationen - Heb. gojim, oft verwendet für Nationen qua heidnische Nationen; sinngemäßer daher »Heidenvölker« (ähnlich z.B. Bonkamp 1949; Ehrlich 1905; Weber 2001: »Heiden«).</w:t>
      </w:r>
    </w:p>
  </w:footnote>
  <w:footnote w:id="610">
    <w:p>
      <w:pPr>
        <w:pStyle w:val="Funote"/>
        <w:rPr/>
      </w:pPr>
      <w:r>
        <w:rPr>
          <w:rStyle w:val="Funotenzeichen"/>
        </w:rPr>
        <w:footnoteRef/>
      </w:r>
      <w:r>
        <w:rPr/>
        <w:tab/>
        <w:t>niedergemacht (gescholten) - meist übersetzt als »gescholten«. Das ist auch die w. Bed. des Wortes, von dieser Übersetzung ist dennoch entschieden abzuraten: Das »Schelten« mit Gott als Subjekt hat sehr häufig Zerstörung zur Folge: In Ps 80,17 folgt daaraus der Tod - wie es ja auch hier in Parallele zu »ließest zugrunde gehen« steht -; in Jes 17,13 und 30,17 werden Völker durch Gottes Schelte in die Flucht geschlagen, in Ps 76,7; Jes 51,20 werden Mensch und Tier durch die Schelte Gottes ohmächtig, in 2 Sam 22,16; Ps 104,7; 106,9; Jes 50,2 und Nah 1,4 trocknet das Meer aus, weil Gott es schilt. Dieses Schelten mit »zerstörender Wirkung« (THAT I, Sp. 429) kommt vielleicht am besten in der Übersetzung »niedermachen« zum Ausdruck.</w:t>
      </w:r>
    </w:p>
  </w:footnote>
  <w:footnote w:id="611">
    <w:p>
      <w:pPr>
        <w:pStyle w:val="Funote"/>
        <w:rPr/>
      </w:pPr>
      <w:r>
        <w:rPr>
          <w:rStyle w:val="Funotenzeichen"/>
        </w:rPr>
        <w:footnoteRef/>
      </w:r>
      <w:r>
        <w:rPr/>
        <w:tab/>
        <w:t>einen Schlechten (Schlechte) - N-Shift: Aus poetischen Gründen wechselt das Heb. vom einen Satz zum nächsten vom Pl. (»Nationen«) zum Sg. (»einen Schlechten«). Tg fühlt sich wegen diesem Shift sogar zur Explikation veranlasst: »Du hast das Volk [der Philister] gescholten und [Goliath], den Schlechten, zerstört.« Gemeint sind wahrscheinlich in beiden Sätzen mehrere Feinde, daher z.B. Alexander 1850, S. 42: »many a wicked enemy«; auch viele Üss. und schon Saadja übersetzen daher mit Pl. Für einige Bspp. für Shifts innerhalb derselben Zeile vgl. z.B. Gevirtz 1961, S. 157.</w:t>
      </w:r>
    </w:p>
  </w:footnote>
  <w:footnote w:id="612">
    <w:p>
      <w:pPr>
        <w:pStyle w:val="Funote"/>
        <w:rPr/>
      </w:pPr>
      <w:r>
        <w:rPr>
          <w:rStyle w:val="Funotenzeichen"/>
        </w:rPr>
        <w:footnoteRef/>
      </w:r>
      <w:r>
        <w:rPr/>
        <w:tab/>
        <w:t>Ihren Namen hast du ausgelöscht meint wohl: Du hast ihre ganze Linie ausgerottet (zu schem i.S.v. »Linie« vgl. z.B. Brichto 1973, S. 22). Die Aussage wird also immer stärker: »einen Schlechten« (6a) =&gt; »seine ganze Linie« (6b) =&gt; »ganze Städte« (7). Der N-Shift in 6a dient wohl dazu, diese Steigerung noch deutlicher zu machen.</w:t>
      </w:r>
    </w:p>
  </w:footnote>
  <w:footnote w:id="613">
    <w:p>
      <w:pPr>
        <w:pStyle w:val="Funote"/>
        <w:rPr/>
      </w:pPr>
      <w:r>
        <w:rPr>
          <w:rStyle w:val="Funotenzeichen"/>
        </w:rPr>
        <w:footnoteRef/>
      </w:r>
      <w:r>
        <w:rPr/>
        <w:tab/>
        <w:t>Der Feind - [seine] Ruinen = »Die Ruinen des Feindes«. tFN: Die Syntax des Satzes ist nicht ganz einfach; vermutlich ist aber zu analysieren als Casus pendens ohne resumptives Pronomen: Im Heb. kann ein Satzglied von seiner »Stelle« im Satz an den Satzanfang gestellt werden, um es bes. hervorzuheben; meistens wird es dann an seiner »eigentlichen« Stelle durch ein Pronomen wie »seine« vertreten. Dieses kann aber auch entfallen (vgl. IBHS 4.7b; z.St. Gordis 1957, S. 110f.), und dies ist hier der Fall. Für eine weitere erwägenswerte Deutung vgl. Tsumura 1988, S. 235: »Der Feind ist vernichtet - [wie] Ruinen auf ewig / [wie (?)] Städte, die du zerstört hast - was an ihn erinnert...« Etwas schwierig ist dann nur die Zuordnung von »auf ewig«.</w:t>
      </w:r>
    </w:p>
  </w:footnote>
  <w:footnote w:id="614">
    <w:p>
      <w:pPr>
        <w:pStyle w:val="Funote"/>
        <w:rPr/>
      </w:pPr>
      <w:r>
        <w:rPr>
          <w:rStyle w:val="Funotenzeichen"/>
        </w:rPr>
        <w:footnoteRef/>
      </w:r>
      <w:r>
        <w:rPr/>
        <w:tab/>
        <w:t>Gegner statt der häufigen Üs. »Städte« nach Gordis 1957, S. 11; Herkenne 1936, S. 68; s. 1 Sam 28,16; Sir 37,5; vgl. Ges18, S. 1007.</w:t>
      </w:r>
    </w:p>
  </w:footnote>
  <w:footnote w:id="615">
    <w:p>
      <w:pPr>
        <w:pStyle w:val="Funote"/>
        <w:rPr/>
      </w:pPr>
      <w:r>
        <w:rPr>
          <w:rStyle w:val="Funotenzeichen"/>
        </w:rPr>
        <w:footnoteRef/>
      </w:r>
      <w:r>
        <w:rPr/>
        <w:tab/>
        <w:t>Sie (heb. hemmah) z.B. mit BHS, Goldingay 2006 und Kissane 1953 vom Ende von V. 7 an den Anfang von V. 8 verschoben, da es am Ende von V. 7 wenig Sinn macht und auf diese Weise mit V. 8 im Akrostichon (s. FN c) wenigstens eine He-Zeile existiert, nachdem schon die Dalet-Zeile ausgefallen ist. In der Üs. folgen wir Goldingay 2006. LXX und VUL verstehen die Konsonanten des urspr. Textes als hommeh (»lärmend«): »Was an sie erinnert, ist lärmend zugrunde gegangen«; auch im den alten Üss. vorliegenden heb. Text stand das Wort am Ende der beiden Gimel-Doppelzeilen.</w:t>
      </w:r>
    </w:p>
  </w:footnote>
  <w:footnote w:id="616">
    <w:p>
      <w:pPr>
        <w:pStyle w:val="Funote"/>
        <w:rPr/>
      </w:pPr>
      <w:r>
        <w:rPr>
          <w:rStyle w:val="Funotenzeichen"/>
        </w:rPr>
        <w:footnoteRef/>
      </w:r>
      <w:r>
        <w:rPr/>
        <w:tab/>
        <w:t>[jene], die deinen Namen kennen - geläufiger Ausdruck für JHWH-Verehrer: jene, die dich verehren (vgl. z.B. Ehrlich 1905, S. 18; THAT I, Sp. 694f.).</w:t>
      </w:r>
    </w:p>
  </w:footnote>
  <w:footnote w:id="617">
    <w:p>
      <w:pPr>
        <w:pStyle w:val="Funote"/>
        <w:rPr/>
      </w:pPr>
      <w:r>
        <w:rPr>
          <w:rStyle w:val="Funotenzeichen"/>
        </w:rPr>
        <w:footnoteRef/>
      </w:r>
      <w:r>
        <w:rPr/>
        <w:tab/>
        <w:t>Auch die dich suchen ist ein Ausdruck für JHWH-Verehrer: die, die sich zu dir halten (vgl. THAT I, Sp. 464-466).</w:t>
      </w:r>
    </w:p>
  </w:footnote>
  <w:footnote w:id="618">
    <w:p>
      <w:pPr>
        <w:pStyle w:val="Funote"/>
        <w:rPr/>
      </w:pPr>
      <w:r>
        <w:rPr>
          <w:rStyle w:val="Funotenzeichen"/>
        </w:rPr>
        <w:footnoteRef/>
      </w:r>
      <w:r>
        <w:rPr/>
        <w:tab/>
        <w:t>Diese Verse sind ein schönes Beispiel dafür, wie zentral das Stilprinzip der Varianz in der heb. Lyrik ist. Z.B. werden in Vv. 6-8 drei verschiedene Ausdrücke für »ewig« verwendet (um »die Ewigkeit [Gottes] als Antithese zur Sterblichkeit der Menschen nennen« zu können (Eerdmans 1947, S. 122)); z.B. werden in Vv. 9-11 drei verschiedene grammatische Konstruktionen zum Ausdruck von finalen Nebensätzen verwendet (9a: Waw-X-Yiqtol - was in 9b dann noch mal variiert wird durch Yiqtol-X -, 10a Waw-Jussiv, 11a Waw-Yiqtol). In 9a und 9b werden zwei unterschiedliche, aber synonyme Wörter für »richten« und zwei unterschiedliche, aber synonyme Ausdrücke für »gerecht« verwendet. In V. 10 wird »Zuflucht« zweimal unterschiedlich spezifiziert: 10a: »Zuflucht für die Bedrückten«, 10b: »Zuflucht für Zeiten der Bedrängnis«. Von V. 10 auf 11 findet sich wieder ein P-Shift (dazu s. FN d). Und in V. 11 finden sich zwei unterschiedliche stehende Ausdrücke für JHWH-Verehrer.Eine weitere stilistische Besonderheit: JHWH steht drei Mal in Vv. 8-11: Als erstes Wort, als letztes Wort und genau in der Mitte (vgl. Benun 2006, S. 6).</w:t>
      </w:r>
    </w:p>
  </w:footnote>
  <w:footnote w:id="619">
    <w:p>
      <w:pPr>
        <w:pStyle w:val="Funote"/>
        <w:rPr/>
      </w:pPr>
      <w:r>
        <w:rPr>
          <w:rStyle w:val="Funotenzeichen"/>
        </w:rPr>
        <w:footnoteRef/>
      </w:r>
      <w:r>
        <w:rPr/>
        <w:tab/>
        <w:t>der auf dem Zion thront - Der Zion war der Tempelberg in Jerusalem; man stellte sich vor, dass Gott - zumindest »teilweise« - dort im Tempel wohnte. S. näher z.B. Zion / Zionstheologie (WiBiLex).</w:t>
      </w:r>
    </w:p>
  </w:footnote>
  <w:footnote w:id="620">
    <w:p>
      <w:pPr>
        <w:pStyle w:val="Funote"/>
        <w:rPr/>
      </w:pPr>
      <w:r>
        <w:rPr>
          <w:rStyle w:val="Funotenzeichen"/>
        </w:rPr>
        <w:footnoteRef/>
      </w:r>
      <w:r>
        <w:rPr/>
        <w:tab/>
        <w:t>Sucher von Blut = Bluträcher (vgl. Ges18, S. 261). Die »Blutrache« war im Alten Israel eigentlich die Aufgabe des nächsten Verwandten eines Ermordeten, der für diesen Mord dessen Mörder umzubringen hatte (s. z.B. Num 35,18f.; vgl. auch Dtn 19,5f.11f. u.ö. Gott wird als Bluträcher vorgestellt auch in Gen 9,5. Vgl. noch Blutrache (WiBiLex) und zur Stelle gut Herkenne 1936, S. 68).</w:t>
      </w:r>
    </w:p>
  </w:footnote>
  <w:footnote w:id="621">
    <w:p>
      <w:pPr>
        <w:pStyle w:val="Funote"/>
        <w:rPr/>
      </w:pPr>
      <w:r>
        <w:rPr>
          <w:rStyle w:val="Funotenzeichen"/>
        </w:rPr>
        <w:footnoteRef/>
      </w:r>
      <w:r>
        <w:rPr/>
        <w:tab/>
        <w:t>denkt er an sie - Ist Gott Subjekt des »an-jmdn-Denkens«, meint der Ausdruck meist die helfende Zuwendung Gottes zu dem, an den er »denkt« (vgl. THAT I, Sp. 513f.). Das »sie« bezieht sich also wohl nicht zurück auf die »Völker« in V. 12, sondern auf die, die »JHWH suchen« in V. 11, für die das selbe Verb verwendet wird wie für den »Blutsucher« Gott, und die Bed. ist dann: Gott wird für seine Verehrer das sein, was ein Bluträcher für seinen nächsten Verwandten ist: Er wird an ihnen begangenes Unrecht rächen. Als Vergleichspunkt ist wahrscheinlich gedacht, dass Gott, der »wie ein Bluträcher ist«, (1) schlechte Taten rächt und sie rächt, (2) indem er die Gegner seiner Verehrer tötet.Nicht viel Sinn macht dagegen dann die häufige Übersetzung »als ein Bluträcher denkt er an sie« - denn wenn ein Bluträcher in Aktion treten muss, ist es für den Bedürftigen schon zu spät. Doch gerade dagegen richtet sich die nächste Zeile.</w:t>
      </w:r>
    </w:p>
  </w:footnote>
  <w:footnote w:id="622">
    <w:p>
      <w:pPr>
        <w:pStyle w:val="Funote"/>
        <w:rPr/>
      </w:pPr>
      <w:r>
        <w:rPr>
          <w:rStyle w:val="Funotenzeichen"/>
        </w:rPr>
        <w:footnoteRef/>
      </w:r>
      <w:r>
        <w:rPr/>
        <w:tab/>
        <w:t>vergisst nicht - ganz ähnlicher Ausdruck wie »denken an« in der vorigen Zeile: Die Rede vom »Vergessen« Gottes meint meist sein aktives sich-Abwenden von jmdn (s. z.B. 1 Sam 1,11; Ps 13,2; 42,10; 44,25; Jes 49,14; Klg 5,20). Dass Gott die Armen »nicht vergisst« meint also das gleiche wie dass Gott »an sie denkt«, nämlich, dass er ihnen helfend beisteht.</w:t>
      </w:r>
    </w:p>
  </w:footnote>
  <w:footnote w:id="623">
    <w:p>
      <w:pPr>
        <w:pStyle w:val="Funote"/>
        <w:rPr/>
      </w:pPr>
      <w:r>
        <w:rPr>
          <w:rStyle w:val="Funotenzeichen"/>
        </w:rPr>
        <w:footnoteRef/>
      </w:r>
      <w:r>
        <w:rPr/>
        <w:tab/>
        <w:t>der Elenden (Armen) - häufiger Ausdruck für JHWH-Verehrer qua hilfsbedürftige, weil bedrängte, JHWH-Verehrer (vgl. z.B. THAT II, Sp. 345f.). Weil es hier im direkten Zhg. steht mit „denen, die Gott suchen“ und „denen, die seinen Namen kennen“, dürfte eine bloße Übersetzung mit „Arme“ oder „Elende“ zu wenig sein.</w:t>
      </w:r>
    </w:p>
  </w:footnote>
  <w:footnote w:id="624">
    <w:p>
      <w:pPr>
        <w:pStyle w:val="Funote"/>
        <w:rPr/>
      </w:pPr>
      <w:r>
        <w:rPr>
          <w:rStyle w:val="Funotenzeichen"/>
        </w:rPr>
        <w:footnoteRef/>
      </w:r>
      <w:r>
        <w:rPr/>
        <w:tab/>
        <w:t>Sieh auf mein Elend - d.h. ignoriere mich in meinem Elend nicht, sd. hilf mir! Gut HfA: „Siehe doch, wie ich leide unter dem Hass meiner Feinde!“</w:t>
      </w:r>
    </w:p>
  </w:footnote>
  <w:footnote w:id="625">
    <w:p>
      <w:pPr>
        <w:pStyle w:val="Funote"/>
        <w:rPr/>
      </w:pPr>
      <w:r>
        <w:rPr>
          <w:rStyle w:val="Funotenzeichen"/>
        </w:rPr>
        <w:footnoteRef/>
      </w:r>
      <w:r>
        <w:rPr/>
        <w:tab/>
        <w:t>indem du mich emporhebst von den Pforten des Todes - „indem“ gut nach ELB. Im altisraelitischen Weltbild lag die Unterwelt am Fuß des Meeres oder noch darunter; man stieg durch Tore mit großen Riegeln in sie hinab. Soviel zu den „Pforten des Todes“; zum Verständnis des Satzes ist außerdem Folgendes wichtig: In den biblischen Texten sind Leben und Tod nicht immer absolute Gegensätze, sondern die beiden Pole eines Kontinuums: Geht es einem gut, hält man sich auf im Bereich des Lebens; geht es einem dagegen „elend“, gerät man schon damit in die Nähe der „Pforten der Unterwelt“ und Gott muss aktiv werden, indem er den Elenden von dort „emporhebt“ (zum Vorstellungskomplex vgl. sehr gut Campbell 1971, S. 109). Darum bittet der Beter hier; „indem du mich emporhebst von den Pforten des Todes“ meint ungefähr: „indem du etwas gegen dieses mein Elend unternimmst“. Sehr gut daher HfA: „Ich stehe am Rand des Todes! Bring mich in Sicherheit!“ Die häufige Üs. mit Imperativ ist eine freie, aber sinnvolle Übersetzungsentscheidung. Die Üs. von PAT mit Vergangenheit ist darauf zurückzuführen, dass sie den Text nach Aq und Hieronymus vom Partizip zu Vergangenheit korrigieren (so auch BHS; Herkenne 1936; Zorell 1928), was aber klar als kontextuelle Anpassung dieser beiden Übersetzer anzusehen ist.</w:t>
      </w:r>
    </w:p>
  </w:footnote>
  <w:footnote w:id="626">
    <w:p>
      <w:pPr>
        <w:pStyle w:val="Funote"/>
        <w:rPr/>
      </w:pPr>
      <w:r>
        <w:rPr>
          <w:rStyle w:val="Funotenzeichen"/>
        </w:rPr>
        <w:footnoteRef/>
      </w:r>
      <w:r>
        <w:rPr/>
        <w:tab/>
        <w:t>Tore der Tocher Zion - Der „Zion“ ist der Tempelberg in Jerusalem; „Zion“ steht daher oft pars pro toto für Jerusalem selbst. Auch „Tochter Zion“ ist ein häufiger Begriff für Jerusalem; über den Begriff wird zusätzlich die Beziehung Jerusalems zu „ihrem“ „Vater“ JHWH betont (s. näher Tochter Zion (WiBiLex)) - ganz ähnlich, wie auch die Rede vom „Bluträcher JHWH“ in V. 13 eine enge familiäre Beziehung zwischen JHWH und seinen notleidenden Verehrern implizierte (dazu s. dort). „‚An den Toren der Tochter Sion‘ ist Antithese zu den ‚Pforten des Todes‘ (14b) und bezeichnet den Versammlungsplatz an den Toren der altpalästinensischen Städte, hier Jerusalems, also = in aller Öffentlichkeit, wie bei uns ‚auf dem Markt‘.“ (Herkenne 1936, S. 69).</w:t>
      </w:r>
    </w:p>
  </w:footnote>
  <w:footnote w:id="627">
    <w:p>
      <w:pPr>
        <w:pStyle w:val="Funote"/>
        <w:rPr/>
      </w:pPr>
      <w:r>
        <w:rPr>
          <w:rStyle w:val="Funotenzeichen"/>
        </w:rPr>
        <w:footnoteRef/>
      </w:r>
      <w:r>
        <w:rPr/>
        <w:tab/>
        <w:t>Textkritik: Der hebräische, ursprünglich vokallose Konsonantentext war sowohl lesbar als noqesch (»er - nämlich JHWH - hat verstrickt«) als auch als noqasch (»er - nämlich der Böse - hat sich [selbst] verstrickt«). MT vereindeutigt durch Vokalisierung und VUL und Saadja durch Übersetzung zur ersten Bedeutung, LXX, Syr, Aq durch Übersetzung zur zweiten Bedeutung. Fast alle Üss. und Kommentare wählen die zweite Interpretation, aber ob das so sinnvoll ist? Das Motiv des in-seine-eigene-Falle-gehenden Gegners findet sich oft in der Bibel. Auch in Ps 9, nämlich gleich zwei Mal in V. 16. Von 17b sollte man daher doch vielleicht eher nicht noch ein drittes Mal dieses Motiv erwarten, sondern eine Erklärung, inwiefern es auf JHWHs Gerichts-üben zurückzuführen sein soll (17a), dass die Gegner in ihre eigenen Falle gegangen sind - und nach der ersten Bedeutung würde das V. 17b leisten: Die Gegner sind in ihre eigene Falle getappt - so hat JHWH Gericht geübt - denn: Er war es, der sie in ihre eigene Falle tappen ließ. Aus diesem Grund folgen wir hier dem MT.</w:t>
      </w:r>
    </w:p>
  </w:footnote>
  <w:footnote w:id="628">
    <w:p>
      <w:pPr>
        <w:pStyle w:val="Funote"/>
        <w:rPr/>
      </w:pPr>
      <w:r>
        <w:rPr>
          <w:rStyle w:val="Funotenzeichen"/>
        </w:rPr>
        <w:footnoteRef/>
      </w:r>
      <w:r>
        <w:rPr/>
        <w:tab/>
        <w:t xml:space="preserve">{Higgaion Selah} (V. 17) + {Selah} (V. 21) - Zwei Wörter mit unklarer Bedeutung. Higgaion ist offenbar etwas Hörbares, s. Ps 19,15 und Klg 3,62, wo es in Parallele zu „Reden“ steht, und Ps 92,4, wo es offenbar das bezeichnet, was eine Harfe von sich gibt. Hier in Ps 9,17 ist die Funktion von higgaion wohl die selbe wie die von selah - und welche das ist, ist ganz unklar, s. Lexikon / Lemma </w:t>
      </w:r>
      <w:r>
        <w:rPr>
          <w:rtl w:val="true"/>
          <w:lang w:bidi="he-IL"/>
        </w:rPr>
        <w:t>סֶלַה</w:t>
      </w:r>
      <w:r>
        <w:rPr/>
        <w:t>. In der LF sollten beide Begriffe daher besser wie in vielen Üss. ausgespart werden.</w:t>
      </w:r>
    </w:p>
  </w:footnote>
  <w:footnote w:id="629">
    <w:p>
      <w:pPr>
        <w:pStyle w:val="Funote"/>
        <w:rPr/>
      </w:pPr>
      <w:r>
        <w:rPr>
          <w:rStyle w:val="Funotenzeichen"/>
        </w:rPr>
        <w:footnoteRef/>
      </w:r>
      <w:r>
        <w:rPr/>
        <w:tab/>
        <w:t>tFN: {gen} - Die Richtung wird hier merkwürdigerweise sowohl durch le als auch durch direktionales He markiert. Wahrscheinlich ist das bedeutungslos, auffällig war es aber schon den alten Schriftgelehrten; im Midrasch etwa findet sich etwa folgende Deutung: „R. Nechemja hat gesagt: Jedes Wort, das am Anfang kein l hat, erhält am Ende ein h [...]. Da fragen sie ihn: ‚Hier heißt es doch aber: li-scheol-ah?‘ R. Abba ben Sabda hat gesagt: Damit soll ausgedrückt werden, dass die Frevler in die tiefste Tiefe der Hölle müssen.“ (Üs. nach Wünsche 1892, S. 92).</w:t>
      </w:r>
    </w:p>
  </w:footnote>
  <w:footnote w:id="630">
    <w:p>
      <w:pPr>
        <w:pStyle w:val="Funote"/>
        <w:rPr/>
      </w:pPr>
      <w:r>
        <w:rPr>
          <w:rStyle w:val="Funotenzeichen"/>
        </w:rPr>
        <w:footnoteRef/>
      </w:r>
      <w:r>
        <w:rPr/>
        <w:tab/>
        <w:t>Scheol - Heb. Name der Unterwelt. Mit der Hölle hat die Scheol-Vorstellung sehr wenig gemein. Vermutlich stellte man sie sich vor als eine unter der Erde gelegene Stadt, deren Bewohner in der Finsternis zur Passivität und Gottferne verdammt waren (s. näher Jenseitsvorstellungen (AT) (WiBiLex)).</w:t>
      </w:r>
    </w:p>
  </w:footnote>
  <w:footnote w:id="631">
    <w:p>
      <w:pPr>
        <w:pStyle w:val="Funote"/>
        <w:rPr/>
      </w:pPr>
      <w:r>
        <w:rPr>
          <w:rStyle w:val="Funotenzeichen"/>
        </w:rPr>
        <w:footnoteRef/>
      </w:r>
      <w:r>
        <w:rPr/>
        <w:tab/>
        <w:t>zurückkehren - Weil zumindest manchmal nach der Vorstellung im Alten Israel der Mensch in der Scheol entstand. S. z.B. IJob 1,21; 30,23; Ps 139,15; Sir 40,1; zur Vorstellung vgl. z.B. Balog 2012, S. 160-171; Tromp 1969, S. 122-124; zur Stelle Kissane 1953, S. 42. Die meisten Üss. übersetzen freier als „zur Scheol hinabfahren“; das ist hier wohl das Sinnvollste.</w:t>
      </w:r>
    </w:p>
  </w:footnote>
  <w:footnote w:id="632">
    <w:p>
      <w:pPr>
        <w:pStyle w:val="Funote"/>
        <w:rPr/>
      </w:pPr>
      <w:r>
        <w:rPr>
          <w:rStyle w:val="Funotenzeichen"/>
        </w:rPr>
        <w:footnoteRef/>
      </w:r>
      <w:r>
        <w:rPr/>
        <w:tab/>
        <w:t>Gott vergessen [haben] = die keine JHWH-Verehrer sind (vgl THAT II, Sp. 902).</w:t>
      </w:r>
    </w:p>
  </w:footnote>
  <w:footnote w:id="633">
    <w:p>
      <w:pPr>
        <w:pStyle w:val="Funote"/>
        <w:rPr/>
      </w:pPr>
      <w:r>
        <w:rPr>
          <w:rStyle w:val="Funotenzeichen"/>
        </w:rPr>
        <w:footnoteRef/>
      </w:r>
      <w:r>
        <w:rPr/>
        <w:tab/>
        <w:t>Zu vergessen vgl. FN y, zu der Elenden FN z. Der Beter bittet hier exakt um das, wofür er in V. 13 JHWH versprochen hat, ihn nach dessen Hilfe öffentlich zu preisen.</w:t>
      </w:r>
    </w:p>
  </w:footnote>
  <w:footnote w:id="634">
    <w:p>
      <w:pPr>
        <w:pStyle w:val="Funote"/>
        <w:rPr/>
      </w:pPr>
      <w:r>
        <w:rPr>
          <w:rStyle w:val="Funotenzeichen"/>
        </w:rPr>
        <w:footnoteRef/>
      </w:r>
      <w:r>
        <w:rPr/>
        <w:tab/>
        <w:t>Menschlein (Menschen) - Der Dichter wählt bewusst das Wort ´enosch, mit dem oft der Mensch qua schwaches Wesen bezeichnet wird (vgl. z.B. TWOT 136a). Stark daher B-R in V. 20: „Nimmer trotze das Menschlein!“ Ähnlich übrigens schon der Midrasch: „Überall wo ´adam in der Schrift steht, bedeutet es ‚wirklicher Mensch‘, wo [...] ´enosch ´adam steht, ist ein ‚Tor‘ gemeint.“ (Üs. nach Wünsche 1892, S. 92).</w:t>
      </w:r>
    </w:p>
  </w:footnote>
  <w:footnote w:id="635">
    <w:p>
      <w:pPr>
        <w:pStyle w:val="Funote"/>
        <w:rPr/>
      </w:pPr>
      <w:r>
        <w:rPr>
          <w:rStyle w:val="Funotenzeichen"/>
        </w:rPr>
        <w:footnoteRef/>
      </w:r>
      <w:r>
        <w:rPr/>
        <w:tab/>
        <w:t>nicht stark sein - etwas rätselhafter Ausdruck. „Nicht das Menschlein“ impliziert wohl: „sondern du, Gott!“; gedacht ist also wohl an Menschen, die glauben, sich JHWH widersetzen zu können. Sinnvoll daher GN: „Lass nicht zu, dass ein Mensch dir die Stirn bietet!“, NGÜ: „Lass nicht zu, dass Menschen sich dir widersetzen!“ Schön auch wieder WEIN: „der Mensch der Überhebung“.</w:t>
      </w:r>
    </w:p>
  </w:footnote>
  <w:footnote w:id="636">
    <w:p>
      <w:pPr>
        <w:pStyle w:val="Funote"/>
        <w:rPr/>
      </w:pPr>
      <w:r>
        <w:rPr>
          <w:rStyle w:val="Funotenzeichen"/>
        </w:rPr>
        <w:footnoteRef/>
      </w:r>
      <w:r>
        <w:rPr/>
        <w:tab/>
        <w:t>Textkritik: Furcht in sie (ihnen einen Lehrer vor, gib ihnen eine Lehre) - die Konsonanten des ursprünglich vokallosen heb. Textes scheinen „Lehrer“ zu bedeuten (mrh, vokalisiert: moreh); so übersetzen auch LXX, Syr und VUL. MT aber vokalisiert als morah, will das Wort also wohl als mora´ („Furcht“) verstanden wissen, was im Kontext mehr Sinn machen würde. Auch Aq, Theod, Tg, Hieronymus, Saadja und der Midrasch verstehen als/übersetzen mit „Furcht“ und einige Handschriften korrigieren auch die Konsonanten zu mr´. Bei dieser Vielzahl an Zeugen wird man wohl am sinnvollsten davon auszugehen haben, dass morah eine alternative Schreibweise für mora´ ist und die Konsonanten mr´ also sowohl als „Furcht“ als auch als „Lehrer“ verstanden werden konnten (so schon Olshausen 1853, S. 59), wie sich das öfters bei auf -ah oder -a´ endenden Wörtern findet. „Furcht“ ist dann sicher vorzuziehen. R-S und TAF („Gib ihnen eine Lehre“) folgen der Deutung von Ehrlich 1905: morah ist nicht eine falsche Vokalisierung von moreh („Lehrer“), sondern ein feminines Nomen von der selben Wurzel mit der Bedeutung „Lehre“.</w:t>
      </w:r>
    </w:p>
  </w:footnote>
  <w:footnote w:id="637">
    <w:p>
      <w:pPr>
        <w:pStyle w:val="Funote"/>
        <w:rPr/>
      </w:pPr>
      <w:r>
        <w:rPr>
          <w:rStyle w:val="Funotenzeichen"/>
        </w:rPr>
        <w:footnoteRef/>
      </w:r>
      <w:r>
        <w:rPr/>
        <w:tab/>
        <w:t>JHWH</w:t>
      </w:r>
    </w:p>
  </w:footnote>
  <w:footnote w:id="638">
    <w:p>
      <w:pPr>
        <w:pStyle w:val="Funote"/>
        <w:rPr/>
      </w:pPr>
      <w:r>
        <w:rPr>
          <w:rStyle w:val="Funotenzeichen"/>
        </w:rPr>
        <w:footnoteRef/>
      </w:r>
      <w:r>
        <w:rPr/>
        <w:tab/>
        <w:t>JHWH</w:t>
      </w:r>
    </w:p>
  </w:footnote>
  <w:footnote w:id="639">
    <w:p>
      <w:pPr>
        <w:pStyle w:val="Funote"/>
        <w:rPr/>
      </w:pPr>
      <w:r>
        <w:rPr>
          <w:rStyle w:val="Funotenzeichen"/>
        </w:rPr>
        <w:footnoteRef/>
      </w:r>
      <w:r>
        <w:rPr/>
        <w:tab/>
        <w:t>JHWH</w:t>
      </w:r>
    </w:p>
  </w:footnote>
  <w:footnote w:id="640">
    <w:p>
      <w:pPr>
        <w:pStyle w:val="Funote"/>
        <w:rPr/>
      </w:pPr>
      <w:r>
        <w:rPr>
          <w:rStyle w:val="Funotenzeichen"/>
        </w:rPr>
        <w:footnoteRef/>
      </w:r>
      <w:r>
        <w:rPr/>
        <w:tab/>
        <w:t>[Status: Zuverlässig]</w:t>
      </w:r>
    </w:p>
  </w:footnote>
  <w:footnote w:id="641">
    <w:p>
      <w:pPr>
        <w:pStyle w:val="Funote"/>
        <w:rPr/>
      </w:pPr>
      <w:r>
        <w:rPr>
          <w:rStyle w:val="Funotenzeichen"/>
        </w:rPr>
        <w:footnoteRef/>
      </w:r>
      <w:r>
        <w:rPr/>
        <w:tab/>
        <w:t>Ps 10 ist nicht eigentlich ein eigenständiger Psalm, sondern bildet zusammen mit Ps 9 das erste sog. „Akrostichon“ in der Bibel, die Anfangsbuchstaben einiger Zeilen folgen also dem heb. Alphabet (s. die Anmerkungen zu Psalm 9). Um das direkt sichtbar zu machen, haben wir die obigen Buchstaben gesetzt: Wo „A“ steht, findet sich im heb. Text der erste Buchstabe des heb. Alphabets, wo „B“ steht der zweite usw.</w:t>
      </w:r>
    </w:p>
  </w:footnote>
  <w:footnote w:id="642">
    <w:p>
      <w:pPr>
        <w:pStyle w:val="Funote"/>
        <w:rPr/>
      </w:pPr>
      <w:r>
        <w:rPr>
          <w:rStyle w:val="Funotenzeichen"/>
        </w:rPr>
        <w:footnoteRef/>
      </w:r>
      <w:r>
        <w:rPr/>
        <w:tab/>
        <w:t>fern stehen + dich verbergen - Zwei bib. Metaphern: Not wird erfahren als Abwesenheit Gottes; Gott hilft dem Notleidenden nicht, sondern „verbirgt sich“ und „hält sich fern“ von ihm. Zu „fern“ s. ähnlich Ps 10,1; 35,22; 38,22; 71,12; Jes 59,9.11 u.ö. und vgl. z.B. TWAT II, Sp. 770; dem entspricht die Rede vom „sich-Verbergen“ Gottes, s. noch Ps 55,2.</w:t>
      </w:r>
    </w:p>
  </w:footnote>
  <w:footnote w:id="643">
    <w:p>
      <w:pPr>
        <w:pStyle w:val="Funote"/>
        <w:rPr/>
      </w:pPr>
      <w:r>
        <w:rPr>
          <w:rStyle w:val="Funotenzeichen"/>
        </w:rPr>
        <w:footnoteRef/>
      </w:r>
      <w:r>
        <w:rPr/>
        <w:tab/>
        <w:t>den Elenden (Armen) - häufiger Ausdruck für JHWH-Verehrer qua hilfsbedürftige, weil bedrängte, JHWH-Verehrer (vgl. z.B. THAT II, Sp. 345f.).</w:t>
      </w:r>
    </w:p>
  </w:footnote>
  <w:footnote w:id="644">
    <w:p>
      <w:pPr>
        <w:pStyle w:val="Funote"/>
        <w:rPr/>
      </w:pPr>
      <w:r>
        <w:rPr>
          <w:rStyle w:val="Funotenzeichen"/>
        </w:rPr>
        <w:footnoteRef/>
      </w:r>
      <w:r>
        <w:rPr/>
        <w:tab/>
        <w:t>tFN: In [seinem] Hochmut (Stolz) verfolgt der Schlechte (im Hochmut des Schlechten verfolgt er, durch den Hochmut des Schlechten brennt) - Jede dieser drei Deutungen ist sprachlich gleichermaßen möglich. Die Konsonanten g´wt lassen sich entweder vokalisieren als ga´awath (wie das MT gemacht hat) oder als ge´ut; der Bedeutungsunterschied der beiden Wörter ist minimal. Und ga´awath lässt sich entweder deuten als das erste Glied in einer Genitivverbindung (also „im Hochmut des Schlechten“) oder das -at ist eine Variante der Endung -ah (so z.B. Gordis 1957, S. 112; Rendsburg 1991, S. 89) und also ist wie bei der Deutung als ge´ut aufzulösen: „Im Hochmut verfolgt der Schlechte“. Außerdem möglich ist die Deutung von jidlaq nicht als dalaq II („verfolgen“), sondern als dalaq I („brennen“), also „durch den Hochmut des Schlechten brennt der Elende“. Aber das wäre nicht idiomatisch, so daher fast kein Exeget - dafür aber einige Üss: H-R, HER05, MEN: „Des Frevlers Frechheit ängstigt den Armen“; B-R, NeÜ, Herkenne 1936: „Durch den Hochmt der Gottlosen fiebert der Arme“; EÜ, R-S, Alexander 1850: „Durch den Hochmut des Schlechten leidet der Arme“, dies wohl auch HfA, NL.</w:t>
      </w:r>
    </w:p>
  </w:footnote>
  <w:footnote w:id="645">
    <w:p>
      <w:pPr>
        <w:pStyle w:val="Funote"/>
        <w:rPr/>
      </w:pPr>
      <w:r>
        <w:rPr>
          <w:rStyle w:val="Funotenzeichen"/>
        </w:rPr>
        <w:footnoteRef/>
      </w:r>
      <w:r>
        <w:rPr/>
        <w:tab/>
        <w:t>V. 2b lässt sich entweder verstehen als „die Schlechten fangen den Elenden durch die von ihnen erdachten Ränke“ oder wieder wie in Ps 9,16f. als „die Schlechten verfangen sich in den Ränken, die sie [selbst] erdacht haben“. In diesem Kontext - der Schilderung der Übeltaten schlechter Menschen - ist sicher erstere Deutung vorzuziehen. Der Wechsel vom Sg. („der Schlechte“ + „der Elende“) zum Pl. („sie werden gefangen“, „die sie erdacht haben“) ist als N-Shift zu erklären: aus poetischen Gründen kann in bib. Lyrik von einer Zeile auf die nächste von einem Numerus zum nächsten gewechselt werden, ohne, dass dies einen Bedeutungsunterschied machen würde. Hier ohnehin unproblematisch, da „der Schlechte“ und „der Elende“ sicher generalisierende Singularnomina mit Pluralbedeutung sind: Gemeint sind schon in der ersten Zeile mehrere Schlechte und Elende.</w:t>
      </w:r>
    </w:p>
  </w:footnote>
  <w:footnote w:id="646">
    <w:p>
      <w:pPr>
        <w:pStyle w:val="Funote"/>
        <w:rPr/>
      </w:pPr>
      <w:r>
        <w:rPr>
          <w:rStyle w:val="Funotenzeichen"/>
        </w:rPr>
        <w:footnoteRef/>
      </w:r>
      <w:r>
        <w:rPr/>
        <w:tab/>
        <w:t>tFN: der Schlechte rühmt seine Seele für [ihre] Lust - schwieriger Satz. Das Verb halal fordert ein Objekt; auf den ersten Blick findet sich hier aber keines, denn was folgt, ist `al-ta´awath napscho. Die Präposition `al zeigt an, dass das Folgende nicht das Objekt des Rühmens ist, sondern das, wofür das Objekt gerühmt wird (so oft im Hitpael, für Piel s. Esra 3,11; Ps 119,164; so richtig schon Kissane 1953, S. 43). Wahrscheinlich muss man also den Satz analysieren wie folgt: `al-ta´awath ist das, wofür der Schlechte das Gerühmte rühmt, nämlich „für Lust“. ta´awath ist nicht das erste Glied in einer Genitivkonstruktion „die Lust seiner Seele“, sondern die Endung -at ist nur eine alternative Endung von ta´awah (dazu vgl. wieder Rendsburg 1991, S. 89f.), daher ist napscho nicht als Genitiv „seiner Seele“ zu analysieren, sondern als das gesuchte Objekt von halal: „Er rühmt für Lust seine Seele“. Alternativ sind viele verschiedene Textkorrekturvorschläge gemacht worden; am besten sicher Kissane 1953, S. 39: „Der Schlechte rühmt Bos[heit], / der Halsabschneider und segnet sein Verlangen.“</w:t>
      </w:r>
    </w:p>
  </w:footnote>
  <w:footnote w:id="647">
    <w:p>
      <w:pPr>
        <w:pStyle w:val="Funote"/>
        <w:rPr/>
      </w:pPr>
      <w:r>
        <w:rPr>
          <w:rStyle w:val="Funotenzeichen"/>
        </w:rPr>
        <w:footnoteRef/>
      </w:r>
      <w:r>
        <w:rPr/>
        <w:tab/>
        <w:t>Abschneider = Erpresser; das Verb batsa` („abschneiden“) findet sich oft in der Bed. „erpressen“ in der Bibel. Schön Herkenne 1936: „Halsabschneider“.</w:t>
      </w:r>
    </w:p>
  </w:footnote>
  <w:footnote w:id="648">
    <w:p>
      <w:pPr>
        <w:pStyle w:val="Funote"/>
        <w:rPr/>
      </w:pPr>
      <w:r>
        <w:rPr>
          <w:rStyle w:val="Funotenzeichen"/>
        </w:rPr>
        <w:footnoteRef/>
      </w:r>
      <w:r>
        <w:rPr/>
        <w:tab/>
        <w:t>flucht - barak hier wie oft nicht in der Bed. „segnet“, sd. „flucht“; vgl. z.B. Schorch 2000, S. 101f. So fast alle Üss.</w:t>
      </w:r>
    </w:p>
  </w:footnote>
  <w:footnote w:id="649">
    <w:p>
      <w:pPr>
        <w:pStyle w:val="Funote"/>
        <w:rPr/>
      </w:pPr>
      <w:r>
        <w:rPr>
          <w:rStyle w:val="Funotenzeichen"/>
        </w:rPr>
        <w:footnoteRef/>
      </w:r>
      <w:r>
        <w:rPr/>
        <w:tab/>
        <w:t>flucht, verachtet (V. 3) + bricht zusammen, sinkt nieder (V. 10) - zur Konstruktion vgl. Müller 2013b, S. 62f.: Zwei Verben werden ohne Konjunktion aneinander angeschlossen, um den Ausdruck noch stärker zu machen (vgl. S. 68).</w:t>
      </w:r>
    </w:p>
  </w:footnote>
  <w:footnote w:id="650">
    <w:p>
      <w:pPr>
        <w:pStyle w:val="Funote"/>
        <w:rPr/>
      </w:pPr>
      <w:r>
        <w:rPr>
          <w:rStyle w:val="Funotenzeichen"/>
        </w:rPr>
        <w:footnoteRef/>
      </w:r>
      <w:r>
        <w:rPr/>
        <w:tab/>
        <w:t>[denkt:] - Zu Einleitungen wörtl. Rede ohne ein verbum dicendi/sentiendi wie „sagt“ oder „denkt“ vgl. z.B. Gordis 1949, S. 174-176; zwei Bspp: Pred 8,2: „Ich [sage]:...“; Hos 14,8: „Ephraim [soll sagen:]...“</w:t>
      </w:r>
    </w:p>
  </w:footnote>
  <w:footnote w:id="651">
    <w:p>
      <w:pPr>
        <w:pStyle w:val="Funote"/>
        <w:rPr/>
      </w:pPr>
      <w:r>
        <w:rPr>
          <w:rStyle w:val="Funotenzeichen"/>
        </w:rPr>
        <w:footnoteRef/>
      </w:r>
      <w:r>
        <w:rPr/>
        <w:tab/>
        <w:t>Er sucht nicht = kurz für „Gott rächt schlechte Taten nicht“, s. Ps 9,13 und dazu FN w. Gut daher Bonkamp 1949: „Er wird nicht rächen“; EÜ, Gordis 1957, S. 121, HER05: „Gott straft nicht“; H-R, Weber 2001: „Er wird nicht ahnden“. In V. 4 auch möglich: „Im Hochmut seiner Nase sucht der Frevler nicht“, nämlich Gott (zu „Gott suchen“ als Ausdruck für die Verehrung JHWHs vgl. FN t zu Ps 9,11). Das Zitat unseres Verses in 10,13 zeigt aber, dass „Er sucht nicht!“ hier die Gedanken des Schlechten sind (so richtig Gordis 1957, S. 113).</w:t>
      </w:r>
    </w:p>
  </w:footnote>
  <w:footnote w:id="652">
    <w:p>
      <w:pPr>
        <w:pStyle w:val="Funote"/>
        <w:rPr/>
      </w:pPr>
      <w:r>
        <w:rPr>
          <w:rStyle w:val="Funotenzeichen"/>
        </w:rPr>
        <w:footnoteRef/>
      </w:r>
      <w:r>
        <w:rPr/>
        <w:tab/>
        <w:t>Es gibt keinen Gott ist keine theoretische Leugnung der Existenz Gottes an sich, die im Alten Israel schwer vorstellbar wäre, sondern eine praktische: Der Schlechte lebt, als gäbe es keinen (rächenden!) Gott. „Für den hochnäsigen Frevler ist Gott eine quantité négligeable, dem kein Recht etwas zu ahnden zusteht.“ (Herkenne 1936, S. 70).</w:t>
      </w:r>
    </w:p>
  </w:footnote>
  <w:footnote w:id="653">
    <w:p>
      <w:pPr>
        <w:pStyle w:val="Funote"/>
        <w:rPr/>
      </w:pPr>
      <w:r>
        <w:rPr>
          <w:rStyle w:val="Funotenzeichen"/>
        </w:rPr>
        <w:footnoteRef/>
      </w:r>
      <w:r>
        <w:rPr/>
        <w:tab/>
        <w:t>Profan - „Die Wege sind profan“ = „seine Wege sind nicht Gottes Weg“, d.h. er lebt nicht so, wie dies Gottes Weisung entsprechen würde. Sinnvoll Kissane 1953: „His ways are impious at all times“. tFN: Für diese Deutung hat man entweder mit Goldingay 2006, S. 164 davon auszugehen, dass zu chalal („profanieren“) eine Nebenform chul existierte, von der das Wort gebildet ist, oder mit Kissane 1953, S. 41 zu emendieren nach jechallu von chalal. stark? - Sehr viele orientieren sich an Tg („seine Wege gedeihen“) und mutmaßen, Tg habe das heb. Wort auf die aram. Wurzel chjl („stärken“) zurückgeführt, die nur hier und in Ijob 20,21 auch für das Heb. anzunehmen sei. Das ist recht zweifelhaft. Erstens übersetzt auch Tg nicht mit chjl, was ein Indiz dafür ist, dass auch im Aramäischen „starke Wege“ nicht idiomatisch sind, zweitens bedeutet das aram. chajel nicht „stark sein“, sondern nur „stärken“, drittens muss das Wort in Ijob 20,21 dann auch noch in einer anderen Bed., nämlich „Bestand haben“, genommen werden, wo es sich auch dann nur schwer in den Kontext fügt (vgl. ähnlich Goldingay 2006, S. 164). Auch mit den anderen alten Üss. lässt sich diese Deutung nicht stützen: LXX, Syr, VUL verbinden wie wir mit chalal („entweihen“) („Profan sind seine Wege“), Hieronymus, Aq, Quinta und Saadja mit chjl („kreisen, sich winden“) (H: „Seine Wege kreisen alle Zeit“, Aq+Q: „Seine Wege schmerzen“, S: „Immer von Neuem beginnen seine Pläne“). Letzterer Deutung folgt übrigens auch Eerdmans 1947: „His ways are wavering“.</w:t>
      </w:r>
    </w:p>
  </w:footnote>
  <w:footnote w:id="654">
    <w:p>
      <w:pPr>
        <w:pStyle w:val="Funote"/>
        <w:rPr/>
      </w:pPr>
      <w:r>
        <w:rPr>
          <w:rStyle w:val="Funotenzeichen"/>
        </w:rPr>
        <w:footnoteRef/>
      </w:r>
      <w:r>
        <w:rPr/>
        <w:tab/>
        <w:t>Hoch [sind] deine Gesetze, fern von ihm - d.h. wieder: Um Gott und seine Weisung schert sich der Schlechte nicht im Geringsten. Schön EÜ: „Hoch droben und fern von sich wähnt er deine Gerichte.“</w:t>
      </w:r>
    </w:p>
  </w:footnote>
  <w:footnote w:id="655">
    <w:p>
      <w:pPr>
        <w:pStyle w:val="Funote"/>
        <w:rPr/>
      </w:pPr>
      <w:r>
        <w:rPr>
          <w:rStyle w:val="Funotenzeichen"/>
        </w:rPr>
        <w:footnoteRef/>
      </w:r>
      <w:r>
        <w:rPr/>
        <w:tab/>
        <w:t>schnauben nur hier in dieser Bed.; gemeint ist wohl das niedergemacht-Werden Gedrückter durch ihre Unterdrücker. Vgl. das ähnliche Wort scha´ap in Ps 56,2f.; 75,4; Ez 36,3. Am besten EÜ, ZÜR: „All seine Gegner faucht/fährt er an“; sinnvoll auch HER05, NL, PAT: „er verspottet seine Feinde“, H-R, MEN, R-S: „er höhnt seine Gegner aus“.</w:t>
      </w:r>
    </w:p>
  </w:footnote>
  <w:footnote w:id="656">
    <w:p>
      <w:pPr>
        <w:pStyle w:val="Funote"/>
        <w:rPr/>
      </w:pPr>
      <w:r>
        <w:rPr>
          <w:rStyle w:val="Funotenzeichen"/>
        </w:rPr>
        <w:footnoteRef/>
      </w:r>
      <w:r>
        <w:rPr/>
        <w:tab/>
        <w:t>wanken - 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hier dagegen wird es gerade auf die Nichtexistenz Gottes zurückgeführt.</w:t>
      </w:r>
    </w:p>
  </w:footnote>
  <w:footnote w:id="657">
    <w:p>
      <w:pPr>
        <w:pStyle w:val="Funote"/>
        <w:rPr/>
      </w:pPr>
      <w:r>
        <w:rPr>
          <w:rStyle w:val="Funotenzeichen"/>
        </w:rPr>
        <w:footnoteRef/>
      </w:r>
      <w:r>
        <w:rPr/>
        <w:tab/>
        <w:t>So dass (weil; [ich], der) [ich] nicht (nie) [sein werde] im Unglück. - die Üs. folgt im Großen und Ganzen Alexander 1850, versteht aber ´ascher als Einleitung eines adverbialen Nebensatzes (vgl. Ges18, S. 111f.). Alternativ hat für diese Zeile fast jeder Exeget einen eigenen Textkorrekturvorschlag vorgelegt.</w:t>
      </w:r>
    </w:p>
  </w:footnote>
  <w:footnote w:id="658">
    <w:p>
      <w:pPr>
        <w:pStyle w:val="Funote"/>
        <w:rPr/>
      </w:pPr>
      <w:r>
        <w:rPr>
          <w:rStyle w:val="Funotenzeichen"/>
        </w:rPr>
        <w:footnoteRef/>
      </w:r>
      <w:r>
        <w:rPr/>
        <w:tab/>
        <w:t>unter seiner Zunge - das „unter“ ist wohl nicht bedeutsam (anders Gordis 1957, S. 115: „Not ‚on his tongue,‘ but ‚under his tongue,‘ i.e., as a delicacy“): Unter seiner Zunge liegen „Mühsal und Unheil“ also gerade die (spürbaren) Effekte seiner List und Gewalttätigkeit (gut daher NGÜ: „Was sie von sich geben, bringt anderen Unheil und Schaden“). „Sein Mund ist voll von X“ und „Unter seiner Zunge ist X“ sind also wohl Synonyme: Was er auch von sich gibt, ist schlecht, gemein und schädlich.</w:t>
      </w:r>
    </w:p>
  </w:footnote>
  <w:footnote w:id="659">
    <w:p>
      <w:pPr>
        <w:pStyle w:val="Funote"/>
        <w:rPr/>
      </w:pPr>
      <w:r>
        <w:rPr>
          <w:rStyle w:val="Funotenzeichen"/>
        </w:rPr>
        <w:footnoteRef/>
      </w:r>
      <w:r>
        <w:rPr/>
        <w:tab/>
        <w:t>Dörfer wird gern korrigiert, zum Sinn aber gut Gordis 1957, S. 116: „chtsrjm is an unwalled settlement (defined as such in Lev 25,31), a peaceful village where violence is not normally expected and hence not guarded against. nqj is its parallel, meaning ‚innocent‘ in its etymological sense, ‚doing no harm,‘ actually ‚unarmed.‘ [...] The passage emphasizes the enormity of the crime, against which no precautions have been taken.“</w:t>
      </w:r>
    </w:p>
  </w:footnote>
  <w:footnote w:id="660">
    <w:p>
      <w:pPr>
        <w:pStyle w:val="Funote"/>
        <w:rPr/>
      </w:pPr>
      <w:r>
        <w:rPr>
          <w:rStyle w:val="Funotenzeichen"/>
        </w:rPr>
        <w:footnoteRef/>
      </w:r>
      <w:r>
        <w:rPr/>
        <w:tab/>
        <w:t>tFN: Verfolgten (V. 8) + Verfolger (V. 10) + Verfolgte (V. 14) - unsicheres Wort, in der Bibel nur in Ps 10 zu finden. Zusätzlich verkompliziert wird die Sache dadurch, dass es in zwei verschiedenen Formen vorliegt: im Sg. chelkah in Vv. 8.14 und im dann ungewöhnlichen Pl. chelka´im in V. 10. Und noch mal verkomplizierend kommt hinzu, dass sich dieser ungewöhnliche Plural mehrere Male in den Qumran-Texten findet (s. 1QH XI 25f.; XII 25.35; 4Q432 Frg 4 II,1) und dort offensichtlich eine Bezeichnung für Übeltäter ist, während hier in Vv. 8.14 offensichtlich mit dem Sg. der Elende gemeint ist. Wir folgen der Deutung von Komlós 1957: Weil das Wort in 1QH XI 26; hier und übrigens auch in 4Q432 Frg 4 II,1 im Zhg. mit Netzen genannt wird, leitet er ab vom heb. chkh („Haken“); die chelka´im sind dann die „Hakenden“, also die Verfolger; der chelkah dagegen der „Gehakte“, also der Verfolgte. Zu einem ähnlichen Ergebnis kommt Bonkamp 1949, S. 76 FN 16, der das Wort vom akkadischen hallku („Flüchtling“) ableiten will. Die übliche Deutung als „Unglücklicher“ nach einer Ableitung vom arabischen chalaka („schwarz sein“, so z.B. Wallenstein 1954, S. 214; Ges18, S. 355) ist vor dem Hintergrund der Qumran-Stellen nicht gut möglich, weil zwar noch einzusehen wäre, wie aus „schwarz“ die Bedeutung „Unglücklicher“ oder „Böser“ entstehen soll, aber nur schwerlich, wie daraus beide Bedeutungen gleichzeitig entstanden sein sollen. Zu einem weiteren, aber unwahrscheinlichen Vorschlag vgl. Simpson 1969.</w:t>
      </w:r>
    </w:p>
  </w:footnote>
  <w:footnote w:id="661">
    <w:p>
      <w:pPr>
        <w:pStyle w:val="Funote"/>
        <w:rPr/>
      </w:pPr>
      <w:r>
        <w:rPr>
          <w:rStyle w:val="Funotenzeichen"/>
        </w:rPr>
        <w:footnoteRef/>
      </w:r>
      <w:r>
        <w:rPr/>
        <w:tab/>
        <w:t>in sein (mit seinem) Netz zieht - ein plötzlicher Übergang von der Löwenmetapher zur Fischermetapher, nachdem von V. 8 auf V. 9 schon ebenso plötzlich von der Räubermetapher zur Löwenmetapher gewechselt wurde. Solche schnellen Metaphern-wechsel sind im Heb. normal und der Text also nicht problematisch, während sie im Dt. etwas kurios wirken - vgl. nur in Ps 9,4-13 die Darstellung Gottes als Streiter (V. 4), als königlicher Richter (Vv. 5f.), wieder als Streiter (V. 7), wieder als Richter (V. 9), als Zuflucht (Vv. 10f.) und als Bluträcher (V. 13). Auch hier wird im nächsten Vers wieder zur Löwenmetapher und in V. 11 wieder zur Fischermetapher zurückgewechselt. Zur Fischermetapher für Vernichtung s. noch Jer 16,16; Am 4,2; Hab 1,15f.; die Fischermetapher passt in der heb. „Metaphernwelt“ besser zur Löwenmetapher als im Dt.</w:t>
      </w:r>
    </w:p>
  </w:footnote>
  <w:footnote w:id="662">
    <w:p>
      <w:pPr>
        <w:pStyle w:val="Funote"/>
        <w:rPr/>
      </w:pPr>
      <w:r>
        <w:rPr>
          <w:rStyle w:val="Funotenzeichen"/>
        </w:rPr>
        <w:footnoteRef/>
      </w:r>
      <w:r>
        <w:rPr/>
        <w:tab/>
        <w:t>V. 10 - Die meisten gehen davon aus, dass die chelka´im in V. 10 die selben sind wie der „Verfolgte“ in Vv. 8.14 (vgl. dazu FN u; aus diesem Grund muss dann anders übersetzt werden. Für unsere Deutung muss mit Komlós 1957, S. 246, der ursprünglich vokallose Konsonantentext ein wenig anders vokalisiert werden. Nach der anderen Deutung der chelka´im ist entweder zu übersetzen: „Der bricht zusammen, sinkt nieder / und es fallen die Unglücklichen/Verfolgten in seine (=des Schlechten) Klauen/durch seine Macht“, oder (schöner): „Er duckt sich und bückt sich [wie ein Löwe vor dem Sprung] / und der Unglückliche fällt in seine Klauen“ (so z.B. Olshausen 1853; Terrien 2003). Letzters auch schon bei Saadja: „Die[se] Worte [...] stellen das Verhalten des Löwen dar. Wenn sich derselbe nämlich zum Sprunge vorbereitet, so duckt er sich erst, um sich zu sammeln [...]. Ebenso der Frevler. Siehst du ihn sich vor dir erniedrigen und dich mit Sanftmuth anreden, so hüte dich vor ihm, denn dies ist Verstellung [...].“ (Üs. nach Margulies 1884).</w:t>
      </w:r>
    </w:p>
  </w:footnote>
  <w:footnote w:id="663">
    <w:p>
      <w:pPr>
        <w:pStyle w:val="Funote"/>
        <w:rPr/>
      </w:pPr>
      <w:r>
        <w:rPr>
          <w:rStyle w:val="Funotenzeichen"/>
        </w:rPr>
        <w:footnoteRef/>
      </w:r>
      <w:r>
        <w:rPr/>
        <w:tab/>
        <w:t>Gott vergisst (V. 11) + Vergiss (V. 12) - Die Rede vom »Vergessen« Gottes meint meist sein aktives sich-Abwenden von jmdn (s. z.B. 1 Sam 1,11; Ps 13,2; 42,10; 44,25; Jes 49,14; Klg 5,20). In V. 11 schert sich der Schlechte also wieder überhaupt nicht um die Existenz Gottes und seiner Weisung; er lebt, als würde Gott seine Freveltaten einfach ignorieren. Darum ruft der Elende, weil von dem Schlechten gedrückte, Psalmist in V. 12 Gott auf, doch nun endlich einzuschreiten: Steh auf!, d.h., werde aktiv! Heb deine Hand, d.h. mach' jetzt was! Vergiss nicht!, d.h. wende dich dem Elenden gnädig zu!</w:t>
      </w:r>
    </w:p>
  </w:footnote>
  <w:footnote w:id="664">
    <w:p>
      <w:pPr>
        <w:pStyle w:val="Funote"/>
        <w:rPr/>
      </w:pPr>
      <w:r>
        <w:rPr>
          <w:rStyle w:val="Funotenzeichen"/>
        </w:rPr>
        <w:footnoteRef/>
      </w:r>
      <w:r>
        <w:rPr/>
        <w:tab/>
        <w:t>Dass Gott sein Gesicht verbirgt, ist eine häufige Metapher für den Gnadenentzug JHWHs (s. FN u zu Ps 30,8); in unserem Kontext ist es aber besser nicht als Metapher zu nehmen, sondern als alternative Formulierung für den nächsten Satz: »Gott sieht nicht«. S. zu dieser Bedeutung z.B. Ex 3,6 oder ganz ähnlich wie hier Ps 51,11.</w:t>
      </w:r>
    </w:p>
  </w:footnote>
  <w:footnote w:id="665">
    <w:p>
      <w:pPr>
        <w:pStyle w:val="Funote"/>
        <w:rPr/>
      </w:pPr>
      <w:r>
        <w:rPr>
          <w:rStyle w:val="Funotenzeichen"/>
        </w:rPr>
        <w:footnoteRef/>
      </w:r>
      <w:r>
        <w:rPr/>
        <w:tab/>
        <w:t>Sieht nicht auf immer - d.h., schert sich nicht um das Geschehen auf der Welt, so dass man ihn in seinem Handeln getrost ignorieren kann.Man beachte die Häufung an Verben in Vv. 9b-11: Die Klage über das Verhalten der Schlechten kommt hier zu ihrer Klimax, die einzelnen Anklagen überstürzen sich regelrecht im Gebet des Psalmisten.</w:t>
      </w:r>
    </w:p>
  </w:footnote>
  <w:footnote w:id="666">
    <w:p>
      <w:pPr>
        <w:pStyle w:val="Funote"/>
        <w:rPr/>
      </w:pPr>
      <w:r>
        <w:rPr>
          <w:rStyle w:val="Funotenzeichen"/>
        </w:rPr>
        <w:footnoteRef/>
      </w:r>
      <w:r>
        <w:rPr/>
        <w:tab/>
        <w:t>Textkritik: Mein Gott (Gott) - Der MT hat „Gott“; Aq, Sym, Syr und (nach einigen Handschriften) auch LXX lag aber offenbar ein heb. Text vor, in dem „mein Gott“ stand. Kissane 1953, S. 40 etwa hält das für ursprünglicher, und da MT nur von VUL und Hieronymus gestützt wird, während Tg auch „Gott“ streicht, sollte man sich dem wohl besser anschließen.</w:t>
      </w:r>
    </w:p>
  </w:footnote>
  <w:footnote w:id="667">
    <w:p>
      <w:pPr>
        <w:pStyle w:val="Funote"/>
        <w:rPr/>
      </w:pPr>
      <w:r>
        <w:rPr>
          <w:rStyle w:val="Funotenzeichen"/>
        </w:rPr>
        <w:footnoteRef/>
      </w:r>
      <w:r>
        <w:rPr/>
        <w:tab/>
        <w:t>Sehr schwieriger Satz. Am sinnvollsten ist der Deutungsvorschlag von von Lengerke 1847, S. 48: Gott soll [es, nämlich Mühsal und Leid,] in seine Hände „geben“, d.h. sammeln. Vgl. Ps 56,9: „Sammle meine Tränen in deinem Schlauch. Stehen sie nicht in deinem Buch?“ - d.h.: Gott soll über das Leid des Elenden „Buch führen“. Und vgl. Jes 49,16: „In meine Hände habe ich dich geritzt“. Gott soll Mühsal und Leid also nicht ignorieren, sondern „untersuchen“, und dann im Kopf - oder hier: in der Hand - behalten. Zu übersetzen wäre dann: „indem du [es] in deiner Hand sammelst“ oder freier etwas wie „Schließlich beachtest du Leid und verzeichnest es gar.“ Genauer: Der Satz besteht nur aus zwei Worten: latet, dem Wort natan („geben“) in der Verbform Liqtol, und bejadecha, also „deine Hand“ plus die Präposition be („in, aus, mit, durch,...“). Ein Verb im Liqtol ist „sowohl atemporal als auch apersonal“ (A-C §3.4.1); jeweils aus dem Kontext muss daher erschlossen werden, wer das Subjekt des Verbs ist, wann die mit dem Verb bezeichnete Handlung stattfindet und welche Art von Nebensatz mit dem Verb gebildet werden soll (hier am wahrscheinlichsten: Final („damit“), konsekutiv („so dass“) oder spezifikativ („indem“)). Möglich ist daher neben der obigen jede der folgenden Deutungen des Nebensatzes: Gott soll Mühsal und Leid „untersuchen“ - d.h., darauf reagieren - * „indem er [es] [dem Leidenden ab- und] in seine Hand gibt“. So z.B. NGÜ: „du nimmst das Schicksal [der Leidenden] in deine Hände.“ * „indem er [sie] (nämlich die Schlechten) in seine Hand gibt“, nämlich um sie zu bestrafen. So LXX, Sym, Syr; heute niemand mehr. * „indem er mit seiner Hand gibt“, d.h. den Leidenden sozusagen als Entschädigung für die Mühsal mit Wohltaten segnet. So z.B. TAF: „um [besser: indem] mit Deiner Hand zu geben“; so wohl auch GN: „Du siehst all das Leiden und Unheil und du kannst helfen.“ So schon Tg, auch NKJV. * oder: „indem er mit seiner Hand gibt“, d.h. dem Schlechten seine Übeltaten vergilt. So wohl NL: „Du merkst es und du bestrafst sie.“ Beides kombiniert FREE: „Du schaust auf Mühsal und Gram, um zu vergelten durch deine Hand.“ * sehr interessant, aber auch sehr unwahrscheinlich B-R und R-S, die den Nebensatz nicht zum vorigen, sondern zum nächsten Satz ziehen: B-R: „es in deine Hand zu geben [besser: indem er es in deine Hand gibt, so YLT] überläßts der Elende dir“; R-S: „indem er sich in deine Hand gibt, verlässt sich auf dich der Verfolgte.“ * auch interessant, aber nicht sehr wahrscheinlich: latet bejadeka ist gleichbedeutend mit dem dt. und engl. Idiom „etwas selbst in die Hand nehmen“: „Du schaust auf Mühsal und Leid, um [dann die Sache selbst] in die Hand zu nehmen“. So BB, Weber 2001 und einige engl. Bibeln, z.B. CEB, CJB, HCSB, wohl auch NCV, NIRV. * Vielleicht könnte man auch an Sir 2,22 denken: „Wir wollen lieber in die Hände des Herrn fallen als in die Hände der Menschen“ - und dann davon ausgehen, dass V. 14 im Kontrast zu V. 10 stehen soll, wo der Elende in die Klauen der Schlechten gefallen ist: „indem du [sie (=die Elenden)] [aus den Klauen der Schlechten] in deine Hand gibst“. Aber dafür wäre das Objekt - die Elenden - wohl zu weit weg; zuletzt wurden sie in V. 12 genannt. Oder das Objekt ist der Verfolgte in der nächsten Zeile; solche rückwirkenden Brachylogien finden sich häufiger im Heb. Diese Deutung hätte den schönen Nebeneffekt, dass die viermalige Rede von den „Händen“ in Vv. 10-15 über Kreuz läuft: Der Elende ist in die Klauen der Verfolger gefallen (V. 10), Gott soll ihn stattdessen in seine Hand geben (V. 14). Gott soll seine Hand heben, also aktiv werden (V. 12), aber die Arme der Schlechten zerbrechen, also ihre Aktivität unterbinden (V. 15).</w:t>
      </w:r>
    </w:p>
  </w:footnote>
  <w:footnote w:id="668">
    <w:p>
      <w:pPr>
        <w:pStyle w:val="Funote"/>
        <w:rPr/>
      </w:pPr>
      <w:r>
        <w:rPr>
          <w:rStyle w:val="Funotenzeichen"/>
        </w:rPr>
        <w:footnoteRef/>
      </w:r>
      <w:r>
        <w:rPr/>
        <w:tab/>
        <w:t>tFN - Die Verbformen in V. 14 (Qatal - Yiqtol - Yiqtol - Qatal) müssen nicht mit Zuber 1986 als (bedeutungsloser) T-Shift zu erklärt werden. V. 14a ist eine gnomische Aussage, 14b ein Wunsch. In 14c ist das Yiqtol ein abilitives Yiqtol und das Qatal in 14d mit der Wortstellung X-Qatal ist ein unmarkierter Nebensatz mit kausaler Sinnrichtung.</w:t>
      </w:r>
    </w:p>
  </w:footnote>
  <w:footnote w:id="669">
    <w:p>
      <w:pPr>
        <w:pStyle w:val="Funote"/>
        <w:rPr/>
      </w:pPr>
      <w:r>
        <w:rPr>
          <w:rStyle w:val="Funotenzeichen"/>
        </w:rPr>
        <w:footnoteRef/>
      </w:r>
      <w:r>
        <w:rPr/>
        <w:tab/>
        <w:t>Suche wieder i.S.v. „räche“, vgl. wieder FN w zu Ps 9,13. Gut Bonkamp 1949: „Räche sein Unrecht!“; Terrien 2003: „Pursue his crime!“, Weber 2001: „Ahnde seinen Frevel!“</w:t>
      </w:r>
    </w:p>
  </w:footnote>
  <w:footnote w:id="670">
    <w:p>
      <w:pPr>
        <w:pStyle w:val="Funote"/>
        <w:rPr/>
      </w:pPr>
      <w:r>
        <w:rPr>
          <w:rStyle w:val="Funotenzeichen"/>
        </w:rPr>
        <w:footnoteRef/>
      </w:r>
      <w:r>
        <w:rPr/>
        <w:tab/>
        <w:t>sein = „ihr“, das des Schlechten und Bösen. Theoretisch könnte man alternativ auflösen: „Zerbrich den Arm des Bösen! / Und vom Schlechten suche sein Böses (=Und suche das Böse des Schlechten), bis...“. So wollten schon die Masoreten den Vers verstanden wissen, aber das ist von der Zahl der Worte, die dann auf die einzelnen Zeilen fallen würden, recht unwahrscheinlich.</w:t>
      </w:r>
    </w:p>
  </w:footnote>
  <w:footnote w:id="671">
    <w:p>
      <w:pPr>
        <w:pStyle w:val="Funote"/>
        <w:rPr/>
      </w:pPr>
      <w:r>
        <w:rPr>
          <w:rStyle w:val="Funotenzeichen"/>
        </w:rPr>
        <w:footnoteRef/>
      </w:r>
      <w:r>
        <w:rPr/>
        <w:tab/>
        <w:t>V. 15b ist entweder so zu verstehen, dass „finden“ der Korrespondenzbegriff von „suchen“ ist („Räche so lange, bis nichts mehr zu rächen ist (weil die Übeltaten ausgegolten sind)!“). So z.B. BB: „Verfolge das Unrecht, das er begangen hat, bis du nichts mehr davon findest.“ Oder - wegen V. 16 in der Tat wahrscheinlicher -: „Räche dich so lange an den Schlechten, bis sie überhaupt nicht mehr existieren!“. So z.B. H-R: „Ahnde bis zur Vernichtung des Bösewichts Sünde!“, STAD: „Strafe den Bösen, damit er verschwinde“. Textkritik: LXX und Syr übersetzen impersonal (=erste Übersetzungsalternative). Entweder ändern sie dafür den Text oder lesen die 2. Pers. als impersonal, wie sich das bisweilen findet (vgl. GKC §144c; so z.B. Gordis 1957, S. 118). Dem folgt auch eine ganze Reihe Üss. Die zweite Übersetzungsalternative ist als Übersetzung auch ohne Textänderungen möglich und wird so von Ehrlich 1905 und R-S vertreten. Beides ist ganz unwahrscheinlich; darasch ist in Ps 9-10 ein Leitwort, mit dem das Rächen Gottes bezeichnet wird.</w:t>
      </w:r>
    </w:p>
  </w:footnote>
  <w:footnote w:id="672">
    <w:p>
      <w:pPr>
        <w:pStyle w:val="Funote"/>
        <w:rPr/>
      </w:pPr>
      <w:r>
        <w:rPr>
          <w:rStyle w:val="Funotenzeichen"/>
        </w:rPr>
        <w:footnoteRef/>
      </w:r>
      <w:r>
        <w:rPr/>
        <w:tab/>
        <w:t>Nationen - Heb. gojim, oft verwendet für Nationen qua heidnische Nationen; sinngemäßer daher „Heidenvölker“ (ähnlich z.B. Bonkamp 1949; Ehrlich 1905; Weber 2001: „Heiden“).</w:t>
      </w:r>
    </w:p>
  </w:footnote>
  <w:footnote w:id="673">
    <w:p>
      <w:pPr>
        <w:pStyle w:val="Funote"/>
        <w:rPr/>
      </w:pPr>
      <w:r>
        <w:rPr>
          <w:rStyle w:val="Funotenzeichen"/>
        </w:rPr>
        <w:footnoteRef/>
      </w:r>
      <w:r>
        <w:rPr/>
        <w:tab/>
        <w:t>die Bereitung ihres Herzens (bereite ihr Herz) meint wahrscheinlich das Gebet; die Zeile ist damit eine synonyme Formulierung der vorigen Zeile. S.u. So auch R-S: „ihres Herzens Sorgen neige hin Dein Ohr“. Textkritik: Heb. takin libam. takin ist ein Verb in der 2. Pers., das neben MT auch Tg, Aq und Hieronymus vorliegen hatten („du wirst/sollst bereiten/hast bereitet ihre Herzen“); LXX, Sym, Syr und VUL übersetzen aber mit einem Nomen, nämlich entweder „die Bereitung ihres Herzens“ (LXX, Syr), „die Aussage ihres Herzens“ (Sym) oder „das Begehren ihres Herzens“ (VUL). Alle vier lassen sich zurückführen auf hakin libam, „das Bereiten ihres Herzens“. Dem wird man besser folgen müssen: Fast alle Kommentare und Üss. übersetzen mit „stärke ihre Herzen“ oder „richte ihre Herzen auf“. Aber die Wendung „das Herz bereiten“ findet sich in der Bibel häufig und mit einer stabilen Bedeutung: kun meint entweder „zurichten“ oder „ausrichten“ und „das Herz zu-/ausrichten“ meint daher stets entweder, dass ein Herz zum Gebet „zugerichtet“, also vorbereitet ist (s. Ps 57,8; 108,2), oder dass ein Herz auf Gott oder seine Gebote „ausgerichtet“ ist (s. 1 Sam 7,3; 2 Chr 12,14; 19,3; 20,33; 30,19; Esra 7,10; Ps 78,8; 112,7; vom ausgerichtet-sein im Gebet: Ijob 11,13). Eine parallele Formulierung zum MT unserer Stelle findet sich in 1 Chr 29,18: „Richte ihr Herz zu dir!“. Diese Bedeutung hätte MT auch hier, es fügt sich aber in dieser Bedeutung nur schwerlich in den Kontext. Das tabin („nimm ihr Herz wahr“) in einigen Handschriften ist wohl darauf zurückzuführen, dass die Schreiber das schlecht passende Wort korrigieren wollten. Besser daher als hakin: Die „Ausrichtung ihres Herzens“ meint wie in Ijob 11,13 das Gebet; „Auf die Ausrichtung ihres Herzens lass dein Ohr horchen“ und „du hörst das Verlangen der Elenden“ sind also synonyme Formulierungen. So auch der Midrasch, wo unsere Stelle kommentiert wird wie folgt: „R. Josua (Samuel) bar Nachman hat gesagt: Wenn der Mensch sein Herz auf das Gebet richtet, so kann er versichert sein, dass sein Gebet erhört wird [...].“ (Üs. nach Wünsche 1892, S. 98). Auf anderem Wege zu einem ähnlichen Ergebnis kommt Gordis 1957, S. 119, der sehr unwahrscheinlich ein Substantiv takin mit der Bedeutung „Inhalt“ ansetzt („dem Inhalt ihres Herzens lausche“) und BHS und Kissane 1953, S. 41, die hegjon („Nachsinnen, Beten“) lesen wollen („dem Beten ihres Herzens lausche“), was aber die alten Übersetzungen nicht gut erklärt.</w:t>
      </w:r>
    </w:p>
  </w:footnote>
  <w:footnote w:id="674">
    <w:p>
      <w:pPr>
        <w:pStyle w:val="Funote"/>
        <w:rPr/>
      </w:pPr>
      <w:r>
        <w:rPr>
          <w:rStyle w:val="Funotenzeichen"/>
        </w:rPr>
        <w:footnoteRef/>
      </w:r>
      <w:r>
        <w:rPr/>
        <w:tab/>
        <w:t>Menschlein aus Erde - Die letzte Zeile ist sehr nahe an den den letzten beiden Zeilen von Ps 9. Wieder wählt der Dichter bewusst das Wort ´enosch, mit dem oft der Mensch qua schwaches Wesen bezeichnet wird (vgl. z.B. TWOT 136a). Das „aus der Erde“ soll dies noch zusätzlich unterstreichen.</w:t>
      </w:r>
    </w:p>
  </w:footnote>
  <w:footnote w:id="675">
    <w:p>
      <w:pPr>
        <w:pStyle w:val="Funote"/>
        <w:rPr/>
      </w:pPr>
      <w:r>
        <w:rPr>
          <w:rStyle w:val="Funotenzeichen"/>
        </w:rPr>
        <w:footnoteRef/>
      </w:r>
      <w:r>
        <w:rPr/>
        <w:tab/>
        <w:t>[Status: Zuverlässig]</w:t>
      </w:r>
    </w:p>
  </w:footnote>
  <w:footnote w:id="676">
    <w:p>
      <w:pPr>
        <w:pStyle w:val="Funote"/>
        <w:rPr/>
      </w:pPr>
      <w:r>
        <w:rPr>
          <w:rStyle w:val="Funotenzeichen"/>
        </w:rPr>
        <w:footnoteRef/>
      </w:r>
      <w:r>
        <w:rPr/>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Deutung folgen sollte.</w:t>
      </w:r>
    </w:p>
  </w:footnote>
  <w:footnote w:id="677">
    <w:p>
      <w:pPr>
        <w:pStyle w:val="Funote"/>
        <w:rPr/>
      </w:pPr>
      <w:r>
        <w:rPr>
          <w:rStyle w:val="Funotenzeichen"/>
        </w:rPr>
        <w:footnoteRef/>
      </w:r>
      <w:r>
        <w:rPr/>
        <w:tab/>
        <w:t>ihr sind vermutlich nicht verängstigte Freunde des Psalmisten (so die meisten Kommentatoren), sondern eine Gruppe von Feinden der Gruppe, die durch den Psalmisten repräsentiert wird: „Ihr sagt zu mir: Flieht auf ‚euren Berg‘.“ Umstritten ist, ob das folgende Zitat dieser Gruppe von V. 1 bis V. 3 geht, oder ob in V. 2 wieder der Sprecher wechselt und ab hier wieder der Psalmist spricht (so z.B. Gerstenberger 1991, S. 77f.). Aber in der Wendung ki hinneh („denn siehe,...“) hat ki („denn“, „Oh!“, „Ach!“) nie die selbe Funktion wie hinneh (also die eines Fokuspartikels: „Oh! Siehe!, ...“) und muss also als „denn“ verstanden werden. Würde demnach in V. 2 wieder der Psalmist sprechen, würde er ja sein Vertrauen in Gott damit begründen, dass die Frevler schon ihre Bogen spannen. Das liegt sicher fern. Die Sprecher sind also immer noch die selben und sie begründen in V. 2 ihre Aufforderung von V. 1 (für ähnliche mit ki hinneh eingeleitete Begründungen s. z.B. schön deutlich Jer 50,9 auf V. 8; Ps 59,4 auf V. 3; 83,3 auf V. 2). Ab V. 4 dagegen beginnt offenbar die Erwiderung auf 3b: „Was tut JHWH?“ - „Richten.“ (so gut Mannati 1979, S. 225). Die beiden Abschnitte des Psalms sind also sehr wahrscheinlich: Vv. 1b-3 - Vv. 4-7.</w:t>
      </w:r>
    </w:p>
  </w:footnote>
  <w:footnote w:id="678">
    <w:p>
      <w:pPr>
        <w:pStyle w:val="Funote"/>
        <w:rPr/>
      </w:pPr>
      <w:r>
        <w:rPr>
          <w:rStyle w:val="Funotenzeichen"/>
        </w:rPr>
        <w:footnoteRef/>
      </w:r>
      <w:r>
        <w:rPr/>
        <w:tab/>
        <w:t>zu mir (zu meiner Seele) (V. 1) + hasst er (hasst seine Seele) (V. 5) - Heb. „zu meiner nefesch“ bzw. „hasst seine nefesch (‚Seele‘)“. Eine wörtl. Üs. von nefesch ist fast nie zu empfehlen, weil es im heb. Menschenbild einen Gegensatz von Körper und Seele so nicht gab; nefesch meint hier wie meist den ganzen Menschen/Gott und wird daher hier wie häufig als Wechselbegriff für „Ich“/„Er“ verwendet.</w:t>
      </w:r>
    </w:p>
  </w:footnote>
  <w:footnote w:id="679">
    <w:p>
      <w:pPr>
        <w:pStyle w:val="Funote"/>
        <w:rPr/>
      </w:pPr>
      <w:r>
        <w:rPr>
          <w:rStyle w:val="Funotenzeichen"/>
        </w:rPr>
        <w:footnoteRef/>
      </w:r>
      <w:r>
        <w:rPr/>
        <w:tab/>
        <w:t>Wie [könnt] ihr [da] zu mir sagen - W. „Wie (´ek) sagt ihr zu mir...?“; das Fragewort ´ek dient hier wie häufig zur Einleitung eines ablehnenden Ausrufs: „Wie könnt ihr nur...!?“ (s. z.B. Gen 26,9; 39,9; Ri 16,15 u.ö). Die obige Übersetzung versucht, diesen Ton einzufangen. Ähnlich viele Üss.</w:t>
      </w:r>
    </w:p>
  </w:footnote>
  <w:footnote w:id="680">
    <w:p>
      <w:pPr>
        <w:pStyle w:val="Funote"/>
        <w:rPr/>
      </w:pPr>
      <w:r>
        <w:rPr>
          <w:rStyle w:val="Funotenzeichen"/>
        </w:rPr>
        <w:footnoteRef/>
      </w:r>
      <w:r>
        <w:rPr/>
        <w:tab/>
        <w:t>auf euren Berg - nämlich den Zion, den Berg, auf dem Gott in seinem Tempel wohnt und der daher eine sichere Zuflucht ist (vgl. z.B. Zion/Zionstheologie (WiBiLex) und s. z.B. Ps 46,1-8; 48,13-15; zum ähnlichen Motiv des Tempels als Zufluchtsort s. z.B. Ps 27,4f.; 61,4f.).</w:t>
      </w:r>
    </w:p>
  </w:footnote>
  <w:footnote w:id="681">
    <w:p>
      <w:pPr>
        <w:pStyle w:val="Funote"/>
        <w:rPr/>
      </w:pPr>
      <w:r>
        <w:rPr>
          <w:rStyle w:val="Funotenzeichen"/>
        </w:rPr>
        <w:footnoteRef/>
      </w:r>
      <w:r>
        <w:rPr/>
        <w:tab/>
        <w:t>[wie] ein Vogel, d.h. »wie ein Angsthase« (vgl. Spr 27,8; Hos 11,11). Sehr schön Delekat 1967, S. 154: »Flieh ins Gebirge wie ein Hasenfuss!«»Vogel« ist ein »generischer Singular« mit Pl.-Bed.; übersetze: »wie Vögel«.</w:t>
      </w:r>
    </w:p>
  </w:footnote>
  <w:footnote w:id="682">
    <w:p>
      <w:pPr>
        <w:pStyle w:val="Funote"/>
        <w:rPr/>
      </w:pPr>
      <w:r>
        <w:rPr>
          <w:rStyle w:val="Funotenzeichen"/>
        </w:rPr>
        <w:footnoteRef/>
      </w:r>
      <w:r>
        <w:rPr/>
        <w:tab/>
        <w:t>Textkritik: Flieht auf euren Berg [wie] ein Vogel ([wie] Vögel; flieh auf euren Berg, Vogel!, flieh/flieht ins Gebirge wie ein Vogel/wie Vögel! - Der heb. Teil der Bibel wurde ursprünglich ohne Vokale geschrieben; jüdische Schriftgelehrte trugen diese Vokale im Mittelalter nach. An dieser Stelle liegt der heb. Text daher in zwei us. Versionen vor: Der Konsonantentext bedeutet »Flieht (mask. pl.)«, die Schriftgelehrten wollten das korrigieren und haben durch die Vokale angezeigt, dass sie den Text verstanden wissen wollen als »Flieh (fem. sg.)«. Darauf folgen im Heb. die Konsonanten hrkm (»auf euren Berg«) und zpwr, das sich entweder als Sg. oder als »generischer« Sg. mit Pl.-Bed. und entweder als Vokativ (»du Vogel / ihr Vögel«) oder als adverbialer Akkusativ des Vergleichs (»[wie] ein Vogel / [wie] Vögel«) verstehen lässt. Die alten Übersetzungen übersetzen fast einheitlich: »Flieh (sg.) ins Gebirge wie ein Vogel«. Auch hier findet sich also meist die Deutung des Verbs als Sg., außerdem fehlt stets das »euer« und stets steht ein »wie«. Das könnte bedeuten, dass den alten Versionen statt den Konsonanten hrkm zpwr (»auf euren Berg [wie] ein Vogel«) die Konsonanten hr kmw zpwr (»ins Gebirge wie ein Vogel«) vorlagen. Die Unterschiede lassen sich aber auch als eine freiere, kontextuelle Übertragung erkären: Die singularische Übertragung des Verbs wäre dem »zu meiner Seele« in V. 1 geschuldet; »auf euren Berg/auf euer Gebirge« wurde als alternativer Ausdruck für »ins Gebirge« gefasst, weil das Gebirge in der Bibel oft der Ort ist, an den in Notsituationen geflohen wird, und das »wie« soll nur den adverbialen Akkusativ des Vergleichs ausdrücklich machen. Ähnlich erklärt z.B. CTAT IV, S. 42f. die Unterschiede; dieser Deutung folgen auch wir und betrachten als ursprünglich: »FliehT auf EUREN Berg [WIE] ein Vogel«. So z.B. auch B-R, MEN, SLT, STAD, TAF, TUR.</w:t>
      </w:r>
    </w:p>
  </w:footnote>
  <w:footnote w:id="683">
    <w:p>
      <w:pPr>
        <w:pStyle w:val="Funote"/>
        <w:rPr/>
      </w:pPr>
      <w:r>
        <w:rPr>
          <w:rStyle w:val="Funotenzeichen"/>
        </w:rPr>
        <w:footnoteRef/>
      </w:r>
      <w:r>
        <w:rPr/>
        <w:tab/>
        <w:t>Denn siehe leitet hier die Begründung der vorangehenden Aufforderung ein (s. ähnlich z.B. Jer 50,9 auf V. 8; Ps 59,4 auf V. 3; 83,3 auf V. 2); sinngemäßer daher: »Denn siehe die Bösen wollen [ja] den Bogen spannen«.</w:t>
      </w:r>
    </w:p>
  </w:footnote>
  <w:footnote w:id="684">
    <w:p>
      <w:pPr>
        <w:pStyle w:val="Funote"/>
        <w:rPr/>
      </w:pPr>
      <w:r>
        <w:rPr>
          <w:rStyle w:val="Funotenzeichen"/>
        </w:rPr>
        <w:footnoteRef/>
      </w:r>
      <w:r>
        <w:rPr/>
        <w:tab/>
        <w:t>tFN: wollen legen - W. »legen/haben gelegt.« Zeilen 1 und 2 von V. 2 verwenden unterschiedliche Verbformen. Nach der Logik muss man zuerst den Bogen spannen, bevor man den Pfeil auf die Sehne legen kann; laut den Verbformen von V. 2 ist es hier aber umgekehrt: »Sie werden/wollen den Bogen spannen, / sie haben den Pfeil auf die Sehne gelegt«. Das ist am besten zu erklären als T-Shift (so auch Zuber 1986, S. 26; schon von Lengerke 1847, S. 50): Aus poetischen Gründen kann in der bibl. Poesie von einer Zeile auf die nächste von einem Tempus zum nächsten gewechselt werden, ohne, dass das einen Bedeutungsunterschied machen würde (vgl. z.B. Berlin 1979, S. 23). Auch von den meisten Üss. wird daher richtig der Unterschied zwischen den beiden Verbformen eingeebnet.</w:t>
      </w:r>
    </w:p>
  </w:footnote>
  <w:footnote w:id="685">
    <w:p>
      <w:pPr>
        <w:pStyle w:val="Funote"/>
        <w:rPr/>
      </w:pPr>
      <w:r>
        <w:rPr>
          <w:rStyle w:val="Funotenzeichen"/>
        </w:rPr>
        <w:footnoteRef/>
      </w:r>
      <w:r>
        <w:rPr/>
        <w:tab/>
        <w:t>im Dunkel, also feige im Schutz der Nacht.</w:t>
      </w:r>
    </w:p>
  </w:footnote>
  <w:footnote w:id="686">
    <w:p>
      <w:pPr>
        <w:pStyle w:val="Funote"/>
        <w:rPr/>
      </w:pPr>
      <w:r>
        <w:rPr>
          <w:rStyle w:val="Funotenzeichen"/>
        </w:rPr>
        <w:footnoteRef/>
      </w:r>
      <w:r>
        <w:rPr/>
        <w:tab/>
        <w:t>Fundamente - gemeint ist wohl, »daß die Frevler sogar Fundamente und Siedlungen vernichten« (Loretz 2002, S. 112). Genauer: »Fundamente« wird von fast allen Exegeten und z.B. auch BB, GN, HfA, NeÜ, NGÜ, NL als Metapher für die »Grundlage der Gesellschaft«, nämlich die gesellschaftliche Ordnung oder die wichtigen Bürger als die »Stützen der Gesellschaft«, gedeutet; verwiesen wird dafür auf Ps 82,5; Jes 19,10; Ez 30,4. Das ist ganz unwahrscheinlich. In Jes 19,10 ist vermutlich schetiteha (»Weber«) zu vokalisieren (vgl. BHS; Eitan 1925; heute z.B. Smith 2007, S. 357). Ez 30,4 und Ps 82,5 verwenden andere Wörter als Ps 11. Auch unabhängig davon geht es in Ez 30,4 sicher nicht um »Fundamente der Gesellschaft«, sondern um Urbizid, die vollständige Schleifung einer Stadt (dazu vgl. kürzlich Wright 2015). In Ps 82,5 schließlich ist von den mosde ´arets (»Säulen der Erde«) die Rede, die hier sicher wie sonst auch die Fundamente, auf denen nach dem bib. Weltbild entweder die Erde über der Unterwelt oder der Himmel auf der Erde ruht, meinen (s. zu dieser und ähnlichen Wendungen Dtn 32,22; 2Sam 22,8.16 und Ps 18,7.15; Spr 8,29; Jes 28,18; Jer 31,37; Mi 6,2 und vgl. z.B. Muszyński 1975, S. 105f.). Damit wäre »Fundamente« als Bild für »wichtige Bürger« oder »staatliche Ordnung« also singulär und ist daher besser mit Loretz 2002, S. 112 wörtlich zu verstehen und ebenso wie Ez 30,4 auf den Brauch des Urbizids zu beziehen: Die Bösen wollen nicht nur die Gerechten niedermähen (V. 2), sondern auch ihre gesamte Stadt schleifen (V. 3a).</w:t>
      </w:r>
    </w:p>
  </w:footnote>
  <w:footnote w:id="687">
    <w:p>
      <w:pPr>
        <w:pStyle w:val="Funote"/>
        <w:rPr/>
      </w:pPr>
      <w:r>
        <w:rPr>
          <w:rStyle w:val="Funotenzeichen"/>
        </w:rPr>
        <w:footnoteRef/>
      </w:r>
      <w:r>
        <w:rPr/>
        <w:tab/>
        <w:t>der Gerechte = JHWH (so schon Ehrlich 1905; z.B. auch Auffret 1981, S. 406; Mannati 1979, S. 225): V. 7 wird sicher JHWH als „der Gerechte“ bezeichnet und es ist unwahrscheinlich, dass innerhalb dieser nur sieben Verse JHWH mit einem Begriff charakterisiert wird, mit dem zuvor schon seine Verehrer charakterisiert wurden. Für Gottes Verehrer ist in Ps 11 der Begriff jaschar („aufrecht“) reserviert. Die Übersetzung „Was kann der Gerechte tun?“ ist wegen der Verbform nicht zulässig (so richtig Kissane 1953, S. 47); gefragt wird nach dem tatsächlichen Tun des „gerechten“ Gottes: Wo bleibt denn sein gerechtes Handeln?</w:t>
      </w:r>
    </w:p>
  </w:footnote>
  <w:footnote w:id="688">
    <w:p>
      <w:pPr>
        <w:pStyle w:val="Funote"/>
        <w:rPr/>
      </w:pPr>
      <w:r>
        <w:rPr>
          <w:rStyle w:val="Funotenzeichen"/>
        </w:rPr>
        <w:footnoteRef/>
      </w:r>
      <w:r>
        <w:rPr/>
        <w:tab/>
        <w:t>der in seinem heiligen Tempel ist + der im Himmel seinen Thron hat - erklärlich durch einen faszinierenden Aspekt des altorientalischen Götterglaubens: JHWH und andere Götter hatten nach der Vorstellung ihrer alten Verehrer klar einen Körper, waren also nicht „reiner Geist“. Sie waren aber nicht an diesen ihren eigentlichen Körper gebunden, sondern konnten sich sozusagen „aufsplitten“ und zusätzlich auch andere Orte, Kultbilder, Gebäude etc. zu „Zweit-körpern“ erwählen. „Der Psalmist glaubt in Übereinstimmung mit einem Denkschema, das sich auch anderswo im Alten Orient findet, dass Gott physisch sowohl an einem Ort auf der Erde als auch im Himmel anwesend sein konnte.“ (Sommer 2009, S. 44 zu Ps 20; zu Ps 11,4 vgl. S. 235 FN 22).</w:t>
      </w:r>
    </w:p>
  </w:footnote>
  <w:footnote w:id="689">
    <w:p>
      <w:pPr>
        <w:pStyle w:val="Funote"/>
        <w:rPr/>
      </w:pPr>
      <w:r>
        <w:rPr>
          <w:rStyle w:val="Funotenzeichen"/>
        </w:rPr>
        <w:footnoteRef/>
      </w:r>
      <w:r>
        <w:rPr/>
        <w:tab/>
        <w:t>Seine Augen blicken - das Objekt auch dieses Satzes sind die „Menschenkinder“. Die Aneinanderreihung zweier alternativer Ausdrücke für dieses blickende Prüfen soll die Aussage noch steigern und emphatischer machen.</w:t>
      </w:r>
    </w:p>
  </w:footnote>
  <w:footnote w:id="690">
    <w:p>
      <w:pPr>
        <w:pStyle w:val="Funote"/>
        <w:rPr/>
      </w:pPr>
      <w:r>
        <w:rPr>
          <w:rStyle w:val="Funotenzeichen"/>
        </w:rPr>
        <w:footnoteRef/>
      </w:r>
      <w:r>
        <w:rPr/>
        <w:tab/>
        <w:t>Augen - hier wird ein anderes Wort für „Augen“ verwendet als in Zeile c. Früher wurde es oft mit „Augenlider“ oder „Wimpern“ wiedergegeben, aber vgl. Dahood 1969, S. 351f. u.a.: Alternativer Begriff für „Auge“. Sinnvoll EÜ, LUT, MEN, PAT, R-S, SLT, TUR, van Ess, ZÜR: „Seine Blicke prüfen die Menschenkinder“.</w:t>
      </w:r>
    </w:p>
  </w:footnote>
  <w:footnote w:id="691">
    <w:p>
      <w:pPr>
        <w:pStyle w:val="Funote"/>
        <w:rPr/>
      </w:pPr>
      <w:r>
        <w:rPr>
          <w:rStyle w:val="Funotenzeichen"/>
        </w:rPr>
        <w:footnoteRef/>
      </w:r>
      <w:r>
        <w:rPr/>
        <w:tab/>
        <w:t>V. 4 - Ein sog. „Casus pendens“ mit einem starken rhetorischen Effekt: Im Heb. kann ein Wort oder Satzglied (hier: die ganzen Zeilen a und b) von seiner „eigentlichen Stelle“ im Satz an den Satzanfang verschoben und dann an dieser seiner eigentlichen Stelle durch ein Pronomen vertreten werden (hier: das „seine“ vor „Augen“). Eigentlich also: „Die Augen JHWHs, der im Tempel ist, prüfen...“Auf diese Weise beginnen beide Strophen mit dem Wort „JHWH“, der Psalmist kann das Wort „JHWH“ seinen Gegenrednern in V. 4 zweimal wie einen Vorwurf entgegenschmettern, bevor er zu seiner eigentlichen Aussage kommt, und Gottes Gegenwart in seinem Tempel im Zion kann noch mal gesteigert werden mit seinem himmlischen Thronen, wie auch das „blicken“ noch mal durch „prüfen“ gesteigert wurde. „Ihr Würmer wagt es, JHWH die Stirn zu bieten? Dem auf dem Zion, dem im Himmel? Ihm, der die Menschenkinder sieht, der sie prüft!?“</w:t>
      </w:r>
    </w:p>
  </w:footnote>
  <w:footnote w:id="692">
    <w:p>
      <w:pPr>
        <w:pStyle w:val="Funote"/>
        <w:rPr/>
      </w:pPr>
      <w:r>
        <w:rPr>
          <w:rStyle w:val="Funotenzeichen"/>
        </w:rPr>
        <w:footnoteRef/>
      </w:r>
      <w:r>
        <w:rPr/>
        <w:tab/>
        <w:t>V. 5 - Möglich auch: „JHWH prüft als ein Gerechter“, d.h. „er prüft gerecht“ (so B-R). Oder: „JHWH - den Gerechten und den Bösen prüft er, / und den Gewalt Liebenden hasst seine Seele.“ (so die meisten Kommentatoren und Übersetzer; bes. Michel 1997, S. 60-65). Oder: „JHWH - den Gerechten prüft er, und den Bösen und den Gewalt Liebenden hasst seine Seele.“ Unsere Üs. folgt Alexander 1850; ähnlich auch Delekat 1967, S. 156 und Eerdmans 1947. „Gerecht“ ist in V. 7 sicher auf JHWH zu beziehen und es ist unwahrscheinlich, dass in den nur sieben Versen dieses Psalms Gott mit dem selben Wort charakterisiert wird, mit dem zuvor auch seine Anhänger charakterisiert wurden. V. 5 führt also die Aussage in V. 4 weiter und macht sie zur Drohung: „JHWHs Augen blicken, sie prüfen die Menschenkinder. JHWH prüft - und wer sich dabei als Böser oder als Gewaltliebhaber ergibt, den hasst er.“</w:t>
      </w:r>
    </w:p>
  </w:footnote>
  <w:footnote w:id="693">
    <w:p>
      <w:pPr>
        <w:pStyle w:val="Funote"/>
        <w:rPr/>
      </w:pPr>
      <w:r>
        <w:rPr>
          <w:rStyle w:val="Funotenzeichen"/>
        </w:rPr>
        <w:footnoteRef/>
      </w:r>
      <w:r>
        <w:rPr/>
        <w:tab/>
        <w:t>wird (soll) - Ein Jussiv („soll“). Unzulässig daher: „Er lässt regnen“. Der Jussiv hat hier vermutlich kommissive Sinnrichtung und wird so als Drohung verwendet; im Dt. entspricht dem: „Er wird regnen lassen.“</w:t>
      </w:r>
    </w:p>
  </w:footnote>
  <w:footnote w:id="694">
    <w:p>
      <w:pPr>
        <w:pStyle w:val="Funote"/>
        <w:rPr/>
      </w:pPr>
      <w:r>
        <w:rPr>
          <w:rStyle w:val="Funotenzeichen"/>
        </w:rPr>
        <w:footnoteRef/>
      </w:r>
      <w:r>
        <w:rPr/>
        <w:tab/>
        <w:t>Textkritik: Schlingen (Kohle?) - Die „Schlingen“ werden von fast allen Kommentatoren nach Sym korrigiert zu „Kohle“; so schon der Midrasch. Alle anderen alten Übersetzungen hatten aber offensichtlich das selbe Wort vorliegen, das sich auch im heb. Text findet; das „Kohle“ von Sym. ist also sicher selbst eine Korrektur. Delitzsch 1894, S. 133 und Eerdmans 1947, S. 130 wollen daher diese „Schlingen“ als einen metaphorischen Ausdruck für „Blitze“ verstehen, aber das ist sicher abzulehnen (so richtig schon Olshausen 1853, S. 71). Und CTAT IV, S. 47 will dem Wort pachim („Schlingen“) die allgemeinere Bed. „Unglück, Leid“ geben, aber auch das ist abzulehnen. Vielleicht also so: „Schlingen“ sind in Ps 124,7; Spr 7,23; Pred 9,12; Am 3,5 speziell Fanggeräte für Vögel. Wir könnten also hier das häufige Motiv der „Umkehrung der Verhältnisse“ vor uns haben: Nicht die Israeliten sollen „wie Vögel fliehen“ (V. 1), sondern JHWH wird dafür sorgen, dass im Gegenteil ihre Feinde wie Vögel werden: Wie diese durch Vogelfallen „besiegt“ werden, wird JHWH die Feinde der Israeliten besiegen, nämlich durch Feuer, Schwefel und Sturmwind.</w:t>
      </w:r>
    </w:p>
  </w:footnote>
  <w:footnote w:id="695">
    <w:p>
      <w:pPr>
        <w:pStyle w:val="Funote"/>
        <w:rPr/>
      </w:pPr>
      <w:r>
        <w:rPr>
          <w:rStyle w:val="Funotenzeichen"/>
        </w:rPr>
        <w:footnoteRef/>
      </w:r>
      <w:r>
        <w:rPr/>
        <w:tab/>
        <w:t>Zu Feuer und Schwefel vgl. Gen 19,24 und Ez 38,22, wo Gott seine Feinde vernichtet, indem er Feuer und Schwefel vom Himmel regnen lässt. Auch „Wind“ kommt nach bibl. Vorstellung oder nach bibl. Idiom vom Himmel herab; in Jon 1,4 z.B. kann daher Gott einen Wind auf das Meer „hinabwerfen“.</w:t>
      </w:r>
    </w:p>
  </w:footnote>
  <w:footnote w:id="696">
    <w:p>
      <w:pPr>
        <w:pStyle w:val="Funote"/>
        <w:rPr/>
      </w:pPr>
      <w:r>
        <w:rPr>
          <w:rStyle w:val="Funotenzeichen"/>
        </w:rPr>
        <w:footnoteRef/>
      </w:r>
      <w:r>
        <w:rPr/>
        <w:tab/>
        <w:t>der Anteil ihres Bechers, d.h. ihr Los. S. ähnlich Ps 16,5; Jer 49,12; Ez 23,31-33; Hab 2,16. „Zugrunde liegt dabei die Vorstellung vom Hausvater, der seinen Gästen beim Mahle ihre Trinkportion in den Becher eingießt.“ (Herkenne 1936, S. 73). Bes. in späteren Schriften wird dieser Becher oft explizit näher bestimmt als „Zorneskelch“: Was den Empfängern dieses „Zorneskelches“ zukommt, ist der Zorn JHWHs. Das ist auch hier gemeint.</w:t>
      </w:r>
    </w:p>
  </w:footnote>
  <w:footnote w:id="697">
    <w:p>
      <w:pPr>
        <w:pStyle w:val="Funote"/>
        <w:rPr/>
      </w:pPr>
      <w:r>
        <w:rPr>
          <w:rStyle w:val="Funotenzeichen"/>
        </w:rPr>
        <w:footnoteRef/>
      </w:r>
      <w:r>
        <w:rPr/>
        <w:tab/>
        <w:t>wird - Eigentlich ein Plural-Verb, da „der Aufrechte“ ein „generischer Singular“ mit Pl.-Bed. ist. Sinngemäß also: „Werden Aufrechte sein Gesicht sehen“.</w:t>
      </w:r>
    </w:p>
  </w:footnote>
  <w:footnote w:id="698">
    <w:p>
      <w:pPr>
        <w:pStyle w:val="Funote"/>
        <w:rPr/>
      </w:pPr>
      <w:r>
        <w:rPr>
          <w:rStyle w:val="Funotenzeichen"/>
        </w:rPr>
        <w:footnoteRef/>
      </w:r>
      <w:r>
        <w:rPr/>
        <w:tab/>
        <w:t>sein Gesicht sehen meint wohl: Von ihm gesegnet werden. Das „Sehen von Gottes Gesicht“ ist etwas innerweltlich Geschehendes (s. Ps 17,15), also nichts, was erst nach einer „Auferstehung“ o.Ä. geschehen würde. Wahrscheinlich handelt es sich also um den Korrespondenz-ausdruck von „JHWH lässt sein Gesicht über jmdn leuchten“, das gleichfalls für JHWHs Segen steht (s. z.B. Num 6,25; Ps 41,17; 67,2; 80,4.8.20; 119,135): JHWH lässt sein Angesicht über jmdm leuchten ≙ Jmd sieht das Angesicht JHWHs. Zum ersten Ausdruck vgl. bes. Smith 1988b, zum zweiten z.B. Aaronitischer Segen (WiBiLex). Gemeint ist sowohl: „Aufrechte werden sein Gesicht sehen“, d.h. „Er wird seinen Anhängern schon helfen“, als auch: „[Nur] Aufrechte werden sein Gesicht sehen“, d.h. „euch Bösen steht ein schlimmes Geschick bevor“.</w:t>
      </w:r>
    </w:p>
  </w:footnote>
  <w:footnote w:id="699">
    <w:p>
      <w:pPr>
        <w:pStyle w:val="Funote"/>
        <w:rPr/>
      </w:pPr>
      <w:r>
        <w:rPr>
          <w:rStyle w:val="Funotenzeichen"/>
        </w:rPr>
        <w:footnoteRef/>
      </w:r>
      <w:r>
        <w:rPr/>
        <w:tab/>
        <w:t>[Status: Zuverlässig]</w:t>
      </w:r>
    </w:p>
  </w:footnote>
  <w:footnote w:id="700">
    <w:p>
      <w:pPr>
        <w:pStyle w:val="Funote"/>
        <w:rPr/>
      </w:pPr>
      <w:r>
        <w:rPr>
          <w:rStyle w:val="Funotenzeichen"/>
        </w:rPr>
        <w:footnoteRef/>
      </w:r>
      <w:r>
        <w:rPr/>
        <w:tab/>
        <w:t>Chorleiter - Heb. menatseach; genaue Bedeutung unklar. Die Primärübersetzung „Chorleiter“ ist mehr oder weniger Konvention. S. noch nächste FN.</w:t>
      </w:r>
    </w:p>
  </w:footnote>
  <w:footnote w:id="701">
    <w:p>
      <w:pPr>
        <w:pStyle w:val="Funote"/>
        <w:rPr/>
      </w:pPr>
      <w:r>
        <w:rPr>
          <w:rStyle w:val="Funotenzeichen"/>
        </w:rPr>
        <w:footnoteRef/>
      </w:r>
      <w:r>
        <w:rPr/>
        <w:tab/>
        <w:t>`al-hascheminit ([vorzutragen] von Bassstimmen; [Vorzutragen vom] Vorsteher über [das Ritual] „hascheminit“) - rätselhafter Begriff, der sich auch im Titel von Ps 6,1 findet.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 Dass in den sog. „Psalmenüberschriften“ Angaben zur Vortragsweise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hascheminit nicht die Melodie, sondern der menatseach wäre Vorsteher über das Ritual mit dem Namen hascheminit, bei dem der Psalm vorzuträgen wäre. Doch ist auch dies nur ein „educated guess“ und „Chorleiter“ und die Deutung von hascheminit als Angabe zur Vortragsweise des Psalms sind in dt. Üss. so etabliert, dass die LF doch besser dieser Deutung folgen sollte: „Für den Chorleiter. [Vorzutragen] von Bassstimmen“.</w:t>
      </w:r>
    </w:p>
  </w:footnote>
  <w:footnote w:id="702">
    <w:p>
      <w:pPr>
        <w:pStyle w:val="Funote"/>
        <w:rPr/>
      </w:pPr>
      <w:r>
        <w:rPr>
          <w:rStyle w:val="Funotenzeichen"/>
        </w:rPr>
        <w:footnoteRef/>
      </w:r>
      <w:r>
        <w:rPr/>
        <w:tab/>
        <w:t>Hilf! - Kürzestmöglicher Hilferuf; selbst der Empfänger der Rettung Gottes wird hier nicht genannt, was so ungewöhnlich ist, dass LXX ergänzt: „Hilf mir!“. Gut daher der Vorschlag einer stiltreuen Übersetzung von Ruiz 2013, S. 129 FN 13: „Hilfe!“</w:t>
      </w:r>
    </w:p>
  </w:footnote>
  <w:footnote w:id="703">
    <w:p>
      <w:pPr>
        <w:pStyle w:val="Funote"/>
        <w:rPr/>
      </w:pPr>
      <w:r>
        <w:rPr>
          <w:rStyle w:val="Funotenzeichen"/>
        </w:rPr>
        <w:footnoteRef/>
      </w:r>
      <w:r>
        <w:rPr/>
        <w:tab/>
        <w:t>Textkritik: gehen zugrunde - Heb. pasu; das Wort findet sich einzig hier in der Bibel; die Bed. ist daher unklar. Tg aber hat sapu und auch die Übersetzung von LXX legt nahe, dass in dem ihr vorliegenden Text sapu stand; ein recht häufiges Wort mit der Bed. „zugrunde gehen“. Weil außerdem einige Handschriften den Text korrigieren zu patsu, muss man davon ausgehen, dass im MT ein Schreibfehler vorliegt und der urspr. Text in der Tat sapu gelautet hat; so auch BHS; Ges18, S. 877; KBL3, S. 705.</w:t>
      </w:r>
    </w:p>
  </w:footnote>
  <w:footnote w:id="704">
    <w:p>
      <w:pPr>
        <w:pStyle w:val="Funote"/>
        <w:rPr/>
      </w:pPr>
      <w:r>
        <w:rPr>
          <w:rStyle w:val="Funotenzeichen"/>
        </w:rPr>
        <w:footnoteRef/>
      </w:r>
      <w:r>
        <w:rPr/>
        <w:tab/>
        <w:t>jeder seinem Nächsten - d.h. „alle lügen einander an“; zur Konstruktion vgl. Bar-Asher Siegal 2012. Gut daher HfA, NGÜ: „Jeder belügt jeden.“</w:t>
      </w:r>
    </w:p>
  </w:footnote>
  <w:footnote w:id="705">
    <w:p>
      <w:pPr>
        <w:pStyle w:val="Funote"/>
        <w:rPr/>
      </w:pPr>
      <w:r>
        <w:rPr>
          <w:rStyle w:val="Funotenzeichen"/>
        </w:rPr>
        <w:footnoteRef/>
      </w:r>
      <w:r>
        <w:rPr/>
        <w:tab/>
        <w:t>Mit glatter Lippe - stehender Ausdruck für „heuchlerisch“, s. noch Ps 5,10; 55,22; Röm 3,13 und vgl. z.B. ThWAT II, S. 1012.</w:t>
      </w:r>
    </w:p>
  </w:footnote>
  <w:footnote w:id="706">
    <w:p>
      <w:pPr>
        <w:pStyle w:val="Funote"/>
        <w:rPr/>
      </w:pPr>
      <w:r>
        <w:rPr>
          <w:rStyle w:val="Funotenzeichen"/>
        </w:rPr>
        <w:footnoteRef/>
      </w:r>
      <w:r>
        <w:rPr/>
        <w:tab/>
        <w:t>mit Herz und Herz - Entweder zu erklären als „mit doppeltem Herzen, dem einen in der Brust und dem andern, davon verschiedenen und deshalb falschen, auf der Zunge“ (Olshausen 1853, S. 72) oder „mit doppelter, zweideutiger Gesinnung“ (Herkenne 1936, S. 74), also: „unaufrichtig“. Der Sinn ist also: „Jeder belügt jeden; spricht doppelzüngig, unaufrichtig!“</w:t>
      </w:r>
    </w:p>
  </w:footnote>
  <w:footnote w:id="707">
    <w:p>
      <w:pPr>
        <w:pStyle w:val="Funote"/>
        <w:rPr/>
      </w:pPr>
      <w:r>
        <w:rPr>
          <w:rStyle w:val="Funotenzeichen"/>
        </w:rPr>
        <w:footnoteRef/>
      </w:r>
      <w:r>
        <w:rPr/>
        <w:tab/>
        <w:t>Ich werde ich mich erheben, d.h. werde aktiv, anstatt, wie bisher, nichts gegen die Sünden der Glattlippigen und Doppelzüngigen zu unternehmen.</w:t>
      </w:r>
    </w:p>
  </w:footnote>
  <w:footnote w:id="708">
    <w:p>
      <w:pPr>
        <w:pStyle w:val="Funote"/>
        <w:rPr/>
      </w:pPr>
      <w:r>
        <w:rPr>
          <w:rStyle w:val="Funotenzeichen"/>
        </w:rPr>
        <w:footnoteRef/>
      </w:r>
      <w:r>
        <w:rPr/>
        <w:tab/>
        <w:t>möge (wird) JHWH sprechen (spricht JHWH?) - Wichtige Stelle; das Verb wird leider selten kommentiert. Das Verb „sprechen“ steht in der Verbform „Yiqtol“, nicht gesagt wird also, dass JHWH etwas gesagt habe oder aktuell etwas sagt, sondern dass er etwas sagen soll (Alexander 1850)/wird (Eerdmans 1947) oder immer wieder etwas sagt (am besten Kissane 1953, S. 51: „Hier wird wahrscheinlich keine wirkliche Prophezeiung zitiert, sondern nur der traditionelle Glaube an die Rache [Gottes] in der Form einer Prophetie ausgedrückt“). S. dazu die Anmerkungen. Vgl. allerdings auch Zuber 1985, S. 131-133, der mit Jes 1,11.18; 40,1.25; 41,21 fünf weitere Stellen mit einem ähnlich schwer erklärbaren „sagen“ im Yiqtol sammelt (evt. auch Jes 33,10, wo aber 1QJesa Qatal hat und also ein Schreibfehler im MT vorliegen könnte).</w:t>
      </w:r>
    </w:p>
  </w:footnote>
  <w:footnote w:id="709">
    <w:p>
      <w:pPr>
        <w:pStyle w:val="Funote"/>
        <w:rPr/>
      </w:pPr>
      <w:r>
        <w:rPr>
          <w:rStyle w:val="Funotenzeichen"/>
        </w:rPr>
        <w:footnoteRef/>
      </w:r>
      <w:r>
        <w:rPr/>
        <w:tab/>
        <w:t>[den, der] danach seufzt (gegen den man schnaubt, will seinen Zeugen in Sicherheit bringen, will ihm zum Heil einen Zeugen stellen) - Die us. Alternativübersetzungen gehen alle auf Vorschläge zur Deutung derselben zwei Worte zurück. Die Primärübersetzung ist aber doch die wahrscheinlichste. Zu „gegen den man schnaubt“ s. Ps 10,5 und dazu FN o; so z.B. Koenen 1996, S. 6. In Ps 10,5 wird aber wird eine andere Präposition verwendet. Zu „seinen Zeugen in Sicherheit bringen“ vgl. v.a. Miller 1979, zu „ihm einen Zeugen stellen“ Janzen 2004; besagter „Zeuge“ würde aber in diesem Psalm auftauchen wie ein Deus ex machina. „Der danach seufzt“ dagegen lässt sich gut aus dem „ächzenden Armen“ in V. 6a erklären; vgl. dazu v.a. Hab 2,3.</w:t>
      </w:r>
    </w:p>
  </w:footnote>
  <w:footnote w:id="710">
    <w:p>
      <w:pPr>
        <w:pStyle w:val="Funote"/>
        <w:rPr/>
      </w:pPr>
      <w:r>
        <w:rPr>
          <w:rStyle w:val="Funotenzeichen"/>
        </w:rPr>
        <w:footnoteRef/>
      </w:r>
      <w:r>
        <w:rPr/>
        <w:tab/>
        <w:t>??? - Heb. ba`alil; Bed. heute und schon den alten Üss. ganz unklar. In die LF sollte daher eine verbreitete und unauffällige Üs. übernommen werden; am besten: „Silber, das veredelt wurde im Schmelztiegel, / das mit Erde siebenfach geläutert wurde.“ (ähnlich z.B. ZÜR). Gemeint ist dann Folgendes: Silber wurde im Alten Israel v.a. aus Blei-Silbererz gewonnen, indem es vom Blei getrennt wurde. Geschmolzenes Blei hat eine geringere Oberflächenspannung als Silber; schmolz man daher die Blei-Silbermischung in einer sog. „Kupelle“ - einem mit Lehm, Knochenasche oder einer anderen porösen Substanz ausgekleideten Schmelztiegel -, wurde das Blei von dieser Auskleidung aufgesogen, während das Silber als eine kleine geschmolzene Kugel am Boden der Kupelle zurückblieb. Dieser Vorgang wird in unserem Vers sieben Mal wiederholt; was übrig bleibt, ist also denkbar reines Silber. Dass Gottes „Aussagen“ mit diesem Silber verglichen werden, bringt sie in einen starken Kontrast zu den anmaßenden Lügenreden, die in Vv. 2-5 beklagt werden.</w:t>
      </w:r>
    </w:p>
  </w:footnote>
  <w:footnote w:id="711">
    <w:p>
      <w:pPr>
        <w:pStyle w:val="Funote"/>
        <w:rPr/>
      </w:pPr>
      <w:r>
        <w:rPr>
          <w:rStyle w:val="Funotenzeichen"/>
        </w:rPr>
        <w:footnoteRef/>
      </w:r>
      <w:r>
        <w:rPr/>
        <w:tab/>
        <w:t>Du, JHWH findet sich häufig zur Einleitung einer Bitte, nachdem zuvor in einem anderen „Modus“ gesprochen wurde (s. Ps 22,20; 40,12; 41,11; 59,6; 109,21), und ist daher wahrscheinlich eine Art „stärkerer Vokativ“, der Gott signalisieren soll, dass der Beter sich jetzt wieder mit einer Bitte an ihn richtet. Im Dt. entspräche dem eher ein „JHWH! Behüte...“</w:t>
      </w:r>
    </w:p>
  </w:footnote>
  <w:footnote w:id="712">
    <w:p>
      <w:pPr>
        <w:pStyle w:val="Funote"/>
        <w:rPr/>
      </w:pPr>
      <w:r>
        <w:rPr>
          <w:rStyle w:val="Funotenzeichen"/>
        </w:rPr>
        <w:footnoteRef/>
      </w:r>
      <w:r>
        <w:rPr/>
        <w:tab/>
        <w:t>Sowohl sie als auch ihn in V. 8 bezieht sich am wahrscheinlichsten auf die Armen in V. 6. Wegen diesem Numerus-Wechsel wurde früher häufig der Text korrigiert, doch das ist unnötig: N-Shift: Aus poetischen Gründen kann in der heb. Lyrik von einer Zeile auf die andere von einem Numerus zum nächsten gewechselt werden, ohne, dass dies einen Bedeutungsunterschied machen würde. In Ps 12 findet sich noch häufiger: V. 2a: „der Fromme“ - 2b: „die Treuen“; V. 6a: „die Elenden und Armen“ - 6c: „der, der danach seufzt / auf den man schnaubt“ (vgl. gut Ruiz 2013, S. 129.130).</w:t>
      </w:r>
    </w:p>
  </w:footnote>
  <w:footnote w:id="713">
    <w:p>
      <w:pPr>
        <w:pStyle w:val="Funote"/>
        <w:rPr/>
      </w:pPr>
      <w:r>
        <w:rPr>
          <w:rStyle w:val="Funotenzeichen"/>
        </w:rPr>
        <w:footnoteRef/>
      </w:r>
      <w:r>
        <w:rPr/>
        <w:tab/>
        <w:t>hoch ist (wird) - d.h. „hoch im Kurs steht“ oder „immer schlimmer wird“. „Verachtenswertes“ findet sich nur hier in der Bibel; die Bed. ist also etwas unsicher, heute aber recht unumstritten.</w:t>
      </w:r>
    </w:p>
  </w:footnote>
  <w:footnote w:id="714">
    <w:p>
      <w:pPr>
        <w:pStyle w:val="Funote"/>
        <w:rPr/>
      </w:pPr>
      <w:r>
        <w:rPr>
          <w:rStyle w:val="Funotenzeichen"/>
        </w:rPr>
        <w:footnoteRef/>
      </w:r>
      <w:r>
        <w:rPr/>
        <w:tab/>
        <w:t>V. 9 wird gern mit einem „auch, wenn“ an V. 8 angeschlossen: „Du, JHWH, mögest sie vor diesem Geschlecht beschützen, / auch, wenn ringsum die Bösen einherschreiten.“ Das hat keine Basis im Text und ist abzulehnen (so richtig Rong 2012, S. 158). Allenfalls vielleicht möglich, aber nicht sehr wahrscheinlich: „... vor diesem Geschlecht, / [die] sich ringsum als Böse ergehen.“ (so Scoralick 2013, S. 189). Ganz untypisch kehrt also der Psalm nach seiner Bitte an Gott noch einmal zur Schilderung der schlimmen Situation zurück, was durch die Wiederholung des Begriffs „Menschenkinder“ aus dem Beginn des Psalms zusätzlich unterstrichen wird. Früher hat das viele Textkorrektur-Vorschläge veranlasst; definitiv am sinnvollsten Zorell 1929, S. 100: kerum [kerom] zullut („Schneide ab/vernichte [die] Gemeinheit!“).</w:t>
      </w:r>
    </w:p>
  </w:footnote>
  <w:footnote w:id="715">
    <w:p>
      <w:pPr>
        <w:pStyle w:val="Funote"/>
        <w:rPr/>
      </w:pPr>
      <w:r>
        <w:rPr>
          <w:rStyle w:val="Funotenzeichen"/>
        </w:rPr>
        <w:footnoteRef/>
      </w:r>
      <w:r>
        <w:rPr/>
        <w:tab/>
        <w:t>[Status: Zuverlässig]</w:t>
      </w:r>
    </w:p>
  </w:footnote>
  <w:footnote w:id="716">
    <w:p>
      <w:pPr>
        <w:pStyle w:val="Funote"/>
        <w:rPr/>
      </w:pPr>
      <w:r>
        <w:rPr>
          <w:rStyle w:val="Funotenzeichen"/>
        </w:rPr>
        <w:footnoteRef/>
      </w:r>
      <w:r>
        <w:rPr/>
        <w:tab/>
        <w:t>Genaue Bedeutung unklar. Die gewählte Übersetzung ist mehr oder weniger Konvention, obwohl es nicht an alternativen Übersetzungsvorschlägen mangelt.</w:t>
      </w:r>
    </w:p>
  </w:footnote>
  <w:footnote w:id="717">
    <w:p>
      <w:pPr>
        <w:pStyle w:val="Funote"/>
        <w:rPr/>
      </w:pPr>
      <w:r>
        <w:rPr>
          <w:rStyle w:val="Funotenzeichen"/>
        </w:rPr>
        <w:footnoteRef/>
      </w:r>
      <w:r>
        <w:rPr/>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718">
    <w:p>
      <w:pPr>
        <w:pStyle w:val="Funote"/>
        <w:rPr/>
      </w:pPr>
      <w:r>
        <w:rPr>
          <w:rStyle w:val="Funotenzeichen"/>
        </w:rPr>
        <w:footnoteRef/>
      </w:r>
      <w:r>
        <w:rPr/>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719">
    <w:p>
      <w:pPr>
        <w:pStyle w:val="Funote"/>
        <w:rPr/>
      </w:pPr>
      <w:r>
        <w:rPr>
          <w:rStyle w:val="Funotenzeichen"/>
        </w:rPr>
        <w:footnoteRef/>
      </w:r>
      <w:r>
        <w:rPr/>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720">
    <w:p>
      <w:pPr>
        <w:pStyle w:val="Funote"/>
        <w:rPr/>
      </w:pPr>
      <w:r>
        <w:rPr>
          <w:rStyle w:val="Funotenzeichen"/>
        </w:rPr>
        <w:footnoteRef/>
      </w:r>
      <w:r>
        <w:rPr/>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721">
    <w:p>
      <w:pPr>
        <w:pStyle w:val="Funote"/>
        <w:rPr/>
      </w:pPr>
      <w:r>
        <w:rPr>
          <w:rStyle w:val="Funotenzeichen"/>
        </w:rPr>
        <w:footnoteRef/>
      </w:r>
      <w:r>
        <w:rPr/>
        <w:tab/>
        <w:t>Pläne (Auflehnung?, Schmerzen?, Kummer?, Sorgen?) - Bedeutung umstritten; vgl. Anmerkung zum Text b. Am Besten ist die Zeile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722">
    <w:p>
      <w:pPr>
        <w:pStyle w:val="Funote"/>
        <w:rPr/>
      </w:pPr>
      <w:r>
        <w:rPr>
          <w:rStyle w:val="Funotenzeichen"/>
        </w:rPr>
        <w:footnoteRef/>
      </w:r>
      <w:r>
        <w:rPr/>
        <w:tab/>
        <w:t>in meine Seele - dazu s. vorige FN.</w:t>
      </w:r>
    </w:p>
  </w:footnote>
  <w:footnote w:id="723">
    <w:p>
      <w:pPr>
        <w:pStyle w:val="Funote"/>
        <w:rPr/>
      </w:pPr>
      <w:r>
        <w:rPr>
          <w:rStyle w:val="Funotenzeichen"/>
        </w:rPr>
        <w:footnoteRef/>
      </w:r>
      <w:r>
        <w:rPr/>
        <w:tab/>
        <w:t>Wobei Kummer in meinem Herzen ist (Wie lange wird sein/muss ich legen Kummer in meinem Herz) - Beide Auflösungen sind hier gleichermaßen möglich; die eingeklammerte erfordert allerdings die Ergänzung (-&gt;Brachylogie) von „wird sein“ und „muss ich legen“ aus der vorigen Zeile, was aber nicht problematisch ist. Dass diese Zeile die einzige in Vv. 2f ist, in der das einleitende „Bis wann“ fehlt, ist aber so auffällig, dass die primäre Übersetzung doch etwas wahrscheinlicher ist.</w:t>
      </w:r>
    </w:p>
  </w:footnote>
  <w:footnote w:id="724">
    <w:p>
      <w:pPr>
        <w:pStyle w:val="Funote"/>
        <w:rPr/>
      </w:pPr>
      <w:r>
        <w:rPr>
          <w:rStyle w:val="Funotenzeichen"/>
        </w:rPr>
        <w:footnoteRef/>
      </w:r>
      <w:r>
        <w:rPr/>
        <w:tab/>
        <w:t>[sogar] am Tag (täglich?, den ganzen Tag?, Tag [und Nacht]?, am Tag?)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725">
    <w:p>
      <w:pPr>
        <w:pStyle w:val="Funote"/>
        <w:rPr/>
      </w:pPr>
      <w:r>
        <w:rPr>
          <w:rStyle w:val="Funotenzeichen"/>
        </w:rPr>
        <w:footnoteRef/>
      </w:r>
      <w:r>
        <w:rPr/>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726">
    <w:p>
      <w:pPr>
        <w:pStyle w:val="Funote"/>
        <w:rPr/>
      </w:pPr>
      <w:r>
        <w:rPr>
          <w:rStyle w:val="Funotenzeichen"/>
        </w:rPr>
        <w:footnoteRef/>
      </w:r>
      <w:r>
        <w:rPr/>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727">
    <w:p>
      <w:pPr>
        <w:pStyle w:val="Funote"/>
        <w:rPr/>
      </w:pPr>
      <w:r>
        <w:rPr>
          <w:rStyle w:val="Funotenzeichen"/>
        </w:rPr>
        <w:footnoteRef/>
      </w:r>
      <w:r>
        <w:rPr/>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„Sieh her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728">
    <w:p>
      <w:pPr>
        <w:pStyle w:val="Funote"/>
        <w:rPr/>
      </w:pPr>
      <w:r>
        <w:rPr>
          <w:rStyle w:val="Funotenzeichen"/>
        </w:rPr>
        <w:footnoteRef/>
      </w:r>
      <w:r>
        <w:rPr/>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729">
    <w:p>
      <w:pPr>
        <w:pStyle w:val="Funote"/>
        <w:rPr/>
      </w:pPr>
      <w:r>
        <w:rPr>
          <w:rStyle w:val="Funotenzeichen"/>
        </w:rPr>
        <w:footnoteRef/>
      </w:r>
      <w:r>
        <w:rPr/>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730">
    <w:p>
      <w:pPr>
        <w:pStyle w:val="Funote"/>
        <w:rPr/>
      </w:pPr>
      <w:r>
        <w:rPr>
          <w:rStyle w:val="Funotenzeichen"/>
        </w:rPr>
        <w:footnoteRef/>
      </w:r>
      <w:r>
        <w:rPr/>
        <w:tab/>
        <w:t>Ich habe ihn übermocht (Ich habe ihn ausgetilgt?, Ich habe es geschafft?) - Bedeutung umstritten; s. Anmerkung zum Text h. Nach unserer Deutung ist das Wort vom Hebräischen jakal abzuleiten, das sowohl »überlegen sein« als auch »siegen« bedeuten kann; die Zeile greift damit gleichzeitig den Gedanken aus Zeile 3c (»Bis wann wird mein Feind mir überlegen sein?«) und Zeile 4c (»damit ich nicht sterbe«) wieder auf. Im Deutschen laufen beide Bedeutungen wohl am besten zusammen im Wort »übermögen«, doch ist das vielleicht schon zu alt für die LF (?) - in diesem Fall vielleicht besser: »Ich habe ihn überwältigt«.</w:t>
      </w:r>
    </w:p>
  </w:footnote>
  <w:footnote w:id="731">
    <w:p>
      <w:pPr>
        <w:pStyle w:val="Funote"/>
        <w:rPr/>
      </w:pPr>
      <w:r>
        <w:rPr>
          <w:rStyle w:val="Funotenzeichen"/>
        </w:rPr>
        <w:footnoteRef/>
      </w:r>
      <w:r>
        <w:rPr/>
        <w:tab/>
        <w:t>Zum Wanken vgl. FN r zu Ps 30,7: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Ps 30,7f) Gottes.</w:t>
      </w:r>
    </w:p>
  </w:footnote>
  <w:footnote w:id="732">
    <w:p>
      <w:pPr>
        <w:pStyle w:val="Funote"/>
        <w:rPr/>
      </w:pPr>
      <w:r>
        <w:rPr>
          <w:rStyle w:val="Funotenzeichen"/>
        </w:rPr>
        <w:footnoteRef/>
      </w:r>
      <w:r>
        <w:rPr/>
        <w:tab/>
        <w:t>Die Funktion der Verbformen in V. 6 (Jussiv + Kohortativ) und von V. 6 insgesamt ist umstritten; s. Anmerkung zum Text i. Nach unserer Deutung sind sie als Kommissive, also als Versprechen, zu verstehen: Wenn JHWH dem Beter hilft, wird er ihn dafür auch dereinst besingen. Das „Er hat an mir [Gutes] getan!“ ist dann ein Ausschnitt aus dem Gesang, den der Beter im Gegenzug für JHWHs Hilfe bieten wird. Solche Proben von im Falle der Erhörung abzuleistenden Dankgesängen sollen Gott zur Erhörung motivieren und finden sich häufiger in den Klagepsalmen, s. z.B. Ps 22,24f.; 59,17f.; wohl auch große Teile von Ps 9.</w:t>
      </w:r>
    </w:p>
  </w:footnote>
  <w:footnote w:id="733">
    <w:p>
      <w:pPr>
        <w:pStyle w:val="Funote"/>
        <w:rPr/>
      </w:pPr>
      <w:r>
        <w:rPr>
          <w:rStyle w:val="Funotenzeichen"/>
        </w:rPr>
        <w:footnoteRef/>
      </w:r>
      <w:r>
        <w:rPr/>
        <w:tab/>
        <w:t>Mein Herz (Ich) - Das „Herz“ - wie auch viele andere „Teile“ des Menschen, z.B. seine „Seele“, sein „Kopf“ etc. - werden im Hebräischen sehr häufig fast wie reine Personalpronomen verwendet. So sicher auch hier; „Mein Herz soll jubeln“ = „Ich will jubeln“.</w:t>
      </w:r>
    </w:p>
  </w:footnote>
  <w:footnote w:id="734">
    <w:p>
      <w:pPr>
        <w:pStyle w:val="Funote"/>
        <w:rPr/>
      </w:pPr>
      <w:r>
        <w:rPr>
          <w:rStyle w:val="Funotenzeichen"/>
        </w:rPr>
        <w:footnoteRef/>
      </w:r>
      <w:r>
        <w:rPr/>
        <w:tab/>
        <w:t>JHWH (dich) + Er hat (Du hast) - Vor allem in der biblischen Poesie kann ein hebräischer Autor ohne erkennbare Gründe von einer Zeile auf die andere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735">
    <w:p>
      <w:pPr>
        <w:pStyle w:val="Funote"/>
        <w:rPr/>
      </w:pPr>
      <w:r>
        <w:rPr>
          <w:rStyle w:val="Funotenzeichen"/>
        </w:rPr>
        <w:footnoteRef/>
      </w:r>
      <w:r>
        <w:rPr/>
        <w:tab/>
        <w:t>[Status: Zuverlässig]</w:t>
      </w:r>
    </w:p>
  </w:footnote>
  <w:footnote w:id="736">
    <w:p>
      <w:pPr>
        <w:pStyle w:val="Funote"/>
        <w:rPr/>
      </w:pPr>
      <w:r>
        <w:rPr>
          <w:rStyle w:val="Funotenzeichen"/>
        </w:rPr>
        <w:footnoteRef/>
      </w:r>
      <w:r>
        <w:rPr/>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Konvention folgen sollte.</w:t>
      </w:r>
    </w:p>
  </w:footnote>
  <w:footnote w:id="737">
    <w:p>
      <w:pPr>
        <w:pStyle w:val="Funote"/>
        <w:rPr/>
      </w:pPr>
      <w:r>
        <w:rPr>
          <w:rStyle w:val="Funotenzeichen"/>
        </w:rPr>
        <w:footnoteRef/>
      </w:r>
      <w:r>
        <w:rPr/>
        <w:tab/>
        <w:t>Es gibt keinen Gott - Gemeint ist kein theoretischer Atheismus, der im Alten Israel schwerlich vorstellbar ist. Der „Narr“ vertritt einen praktischen Atheismus: Er lebt und handelt so, als gäbe es keinen Gott, wie dann auch in den nächsten Zeilen näher ausgeführt wird.</w:t>
      </w:r>
    </w:p>
  </w:footnote>
  <w:footnote w:id="738">
    <w:p>
      <w:pPr>
        <w:pStyle w:val="Funote"/>
        <w:rPr/>
      </w:pPr>
      <w:r>
        <w:rPr>
          <w:rStyle w:val="Funotenzeichen"/>
        </w:rPr>
        <w:footnoteRef/>
      </w:r>
      <w:r>
        <w:rPr/>
        <w:tab/>
        <w:t>begehen, verbrechen Übeltat - Die beiden Verben benötigen eigentlich kein Objekt; das erste bedeutet schon allein „verderblich handeln“, das zweite „abscheulich handeln“. Sowohl die Aneinanderreihung der beiden fast synonymen Verben als auch die eigentlich unnötige Hinzufügung des Substantivs (das zwar auch neutral als „Tat“ verwendet werden kann, oft aber speziell die Bedeutung „Übeltat“ hat. In Ps 53,2 ist dies noch zusätzlich vereindeutigt worden zu „Untat“) sollen den Ausdruck noch intensiver machen.Sinnvoll daher NL: „Sie sind durch und durch schlecht und ihre Taten sind böse“.</w:t>
      </w:r>
    </w:p>
  </w:footnote>
  <w:footnote w:id="739">
    <w:p>
      <w:pPr>
        <w:pStyle w:val="Funote"/>
        <w:rPr/>
      </w:pPr>
      <w:r>
        <w:rPr>
          <w:rStyle w:val="Funotenzeichen"/>
        </w:rPr>
        <w:footnoteRef/>
      </w:r>
      <w:r>
        <w:rPr/>
        <w:tab/>
        <w:t>: - Vv. 3-4 schildern das Ergebnis von Gottes Prüfung: Die gesamte Menschheit hat sie nicht bestanden.Dass Gott in V. 4 von sich selbst in der 3. Pers. spricht, kommt häufiger vor (vgl. dazu z.B. Malone 2009). Zu ähnlichen nicht durch ein Verb des Sagens eingeleiteten Zitaten vgl. z.B. Gordis 1949, S. 167-173.</w:t>
      </w:r>
    </w:p>
  </w:footnote>
  <w:footnote w:id="740">
    <w:p>
      <w:pPr>
        <w:pStyle w:val="Funote"/>
        <w:rPr/>
      </w:pPr>
      <w:r>
        <w:rPr>
          <w:rStyle w:val="Funotenzeichen"/>
        </w:rPr>
        <w:footnoteRef/>
      </w:r>
      <w:r>
        <w:rPr/>
        <w:tab/>
        <w:t>[Die] mein Volk fressen? / Sie fressen Brot - Oft übersetzt als »Die mein Volk fressen, wie man Brot isst«, aber dann wären die beiden unterschiedlichen Verbformen (Zeile 2: Partizip, Zeile 3: Qatal) unerklärlich (richtig Eerdmans 1947, S. 135). Unsere Üs. folgt daher deClaissé-Walford/Jacobson/Tanner 2014, S. 165; Eerdmans 1947, S. 134; vgl. auch schon Olshausen 1853, S. 79. Charakterisiert werden die Übeltäter hier also erstens darüber, dass sie »mein Volk fressen« (d.h. ausbeuten, s. ähnlich Spr 30,14; Jer 10,25; Mi 3,3; Hab 3,14), obwohl sie das nicht mal nötig hätten, da sie ja Brot zu fressen haben (d.h. keine Not leiden müssen), und zweitens darüber, dass sie Brot zu essen haben - dass es ihnen also gut geht -, aber nicht einmal dafür JHWH anrufen, also danken. Sowohl in ihrem Verhalten ihren Mitmenschen als auch Gott gegenüber sind sie durch und durch schlecht. Die Üs. von EÜ (»Sie verschlingen mein Volk. Sie essen das Brot JHWHs, doch seinen Namen rufen sie nicht an«) folgt einem unnötigen Textkorrekturvorschlag von Kissane 1953 (s. auch schon Duhm, Gunkel).</w:t>
      </w:r>
    </w:p>
  </w:footnote>
  <w:footnote w:id="741">
    <w:p>
      <w:pPr>
        <w:pStyle w:val="Funote"/>
        <w:rPr/>
      </w:pPr>
      <w:r>
        <w:rPr>
          <w:rStyle w:val="Funotenzeichen"/>
        </w:rPr>
        <w:footnoteRef/>
      </w:r>
      <w:r>
        <w:rPr/>
        <w:tab/>
        <w:t>erschraken sie einen Schrecken - Figura etymologica, die den ganzen Ausdruck noch intensiver macht: „Da erschraken sie sehr“.</w:t>
      </w:r>
    </w:p>
  </w:footnote>
  <w:footnote w:id="742">
    <w:p>
      <w:pPr>
        <w:pStyle w:val="Funote"/>
        <w:rPr/>
      </w:pPr>
      <w:r>
        <w:rPr>
          <w:rStyle w:val="Funotenzeichen"/>
        </w:rPr>
        <w:footnoteRef/>
      </w:r>
      <w:r>
        <w:rPr/>
        <w:tab/>
        <w:t>: - Auch V. 6 ist wahrscheinlich ein Zitat JHWHs. Erst aus diesem Vers kann ja abgeleitet werden, dass Gott mit den Armen ist, wohingegen es Vv. 3-4 noch hieß, dass die gesamte Menschheit bei Gottes Prüfung durchgefallen ist.</w:t>
      </w:r>
    </w:p>
  </w:footnote>
  <w:footnote w:id="743">
    <w:p>
      <w:pPr>
        <w:pStyle w:val="Funote"/>
        <w:rPr/>
      </w:pPr>
      <w:r>
        <w:rPr>
          <w:rStyle w:val="Funotenzeichen"/>
        </w:rPr>
        <w:footnoteRef/>
      </w:r>
      <w:r>
        <w:rPr/>
        <w:tab/>
        <w:t>Zion - Der Berg in Jerusalem, auf dem Gott in seinem Tempel wohnt. Hilfe von Gott kommt daher „vom Zion“ (vgl. z.B. Zion/Zionstheologie (WiBiLex).</w:t>
      </w:r>
    </w:p>
  </w:footnote>
  <w:footnote w:id="744">
    <w:p>
      <w:pPr>
        <w:pStyle w:val="Funote"/>
        <w:rPr/>
      </w:pPr>
      <w:r>
        <w:rPr>
          <w:rStyle w:val="Funotenzeichen"/>
        </w:rPr>
        <w:footnoteRef/>
      </w:r>
      <w:r>
        <w:rPr/>
        <w:tab/>
        <w:t>Möge es doch vom Zion Rettung für Israel geben! - W.: „Wer wird geben vom Zion Rettung für Israel!?“, die heb. Wendung „Wer wird geben X“ ist ein Idiom für „Es möge sein, dass... X“, „Oh dass doch X wäre!“ (vgl. Lande 1949, S. 90f.).</w:t>
      </w:r>
    </w:p>
  </w:footnote>
  <w:footnote w:id="745">
    <w:p>
      <w:pPr>
        <w:pStyle w:val="Funote"/>
        <w:rPr/>
      </w:pPr>
      <w:r>
        <w:rPr>
          <w:rStyle w:val="Funotenzeichen"/>
        </w:rPr>
        <w:footnoteRef/>
      </w:r>
      <w:r>
        <w:rPr/>
        <w:tab/>
        <w:t>Jakob - Alternativer Begriff für Israel, da Jakob nach Gen 25 der Stammvater der Israeliten war.</w:t>
      </w:r>
    </w:p>
  </w:footnote>
  <w:footnote w:id="746">
    <w:p>
      <w:pPr>
        <w:pStyle w:val="Funote"/>
        <w:rPr/>
      </w:pPr>
      <w:r>
        <w:rPr>
          <w:rStyle w:val="Funotenzeichen"/>
        </w:rPr>
        <w:footnoteRef/>
      </w:r>
      <w:r>
        <w:rPr/>
        <w:tab/>
        <w:t>[b.Mak 24a geht sogar noch weiter: „Wann immer Rabbi Gamaliel [den Vers Ps 15,5] erreichte, weinte er und sagte: ‚Wer all diese Gebote hält, wird nie wanken; hält er nur eins von ihnen, wird er wanken!‘ Da sagte man ihm: ‚Steht etwa geschrieben: ‚Wer all diese Gebote hält?‘ Es steht geschrieben: ‚Wer diese Gebote hält‘ – das gilt selbst für den, der nur eins von ihnen hält.‘“: Die Gebote in Ps 15 wären so fundamental, das selbst jener, der nur eins von ihnen einhält, auf ewig „nicht wanken“ wird.]</w:t>
      </w:r>
    </w:p>
  </w:footnote>
  <w:footnote w:id="747">
    <w:p>
      <w:pPr>
        <w:pStyle w:val="Funote"/>
        <w:rPr/>
      </w:pPr>
      <w:r>
        <w:rPr>
          <w:rStyle w:val="Funotenzeichen"/>
        </w:rPr>
        <w:footnoteRef/>
      </w:r>
      <w:r>
        <w:rPr/>
        <w:tab/>
        <w:t>[Zum Gedanken vgl. z.B. Ps 1: Auch hier werden in Vv. 1f. negative und positive Bedingungen (Vv. 1-2) für Gottes Segen (V. 3) aufgezählt. Zur Formulierung vgl. die sehr nahen Parallelen Ps 24; Jes 33,14-16; Mic 6,6-8.]</w:t>
      </w:r>
    </w:p>
  </w:footnote>
  <w:footnote w:id="748">
    <w:p>
      <w:pPr>
        <w:pStyle w:val="Funote"/>
        <w:rPr/>
      </w:pPr>
      <w:r>
        <w:rPr>
          <w:rStyle w:val="Funotenzeichen"/>
        </w:rPr>
        <w:footnoteRef/>
      </w:r>
      <w:r>
        <w:rPr/>
        <w:tab/>
        <w:t>[Status: Zuverlässig]</w:t>
      </w:r>
    </w:p>
  </w:footnote>
  <w:footnote w:id="749">
    <w:p>
      <w:pPr>
        <w:pStyle w:val="Funote"/>
        <w:rPr/>
      </w:pPr>
      <w:r>
        <w:rPr>
          <w:rStyle w:val="Funotenzeichen"/>
        </w:rPr>
        <w:footnoteRef/>
      </w:r>
      <w:r>
        <w:rPr/>
        <w:tab/>
        <w:t>Mit dem Zelt könnte das mischkan gemeint sein, eine Art zeltförmiger transportabler Tempel, den die Israeliten mit sich durch die Wüste führten und der als „Wohnstatt“ Gottes diente (mischkan kommt von schakan, „wohnen“; zum Zelt s. z.B. Ex 25,8f.; Ex 26), oder das Zelt, das David stattdessen zum selben Zweck in Jerusalem errichtete (s. z.B. 1 Chr 15,1; 2 Chr 1,3f.). Der Tg und viele Handschriften haben wohl deshalb auch den Plural „Zelte“ statt den Singular. Später wurden diese Zelte abgelöst durch den Tempel, den Salomo auf dem „heiligen Berg“ Zion als neue Wohnstatt Gottes erbaute. Auch in Ps 27,4-6 werden „Tempel“ und „Zelt“ in einem Atemzug verwendet; vielleicht konnte „Zelt“ später also auch poetisch für den „Tempel“ stehen.</w:t>
      </w:r>
    </w:p>
  </w:footnote>
  <w:footnote w:id="750">
    <w:p>
      <w:pPr>
        <w:pStyle w:val="Funote"/>
        <w:rPr/>
      </w:pPr>
      <w:r>
        <w:rPr>
          <w:rStyle w:val="Funotenzeichen"/>
        </w:rPr>
        <w:footnoteRef/>
      </w:r>
      <w:r>
        <w:rPr/>
        <w:tab/>
        <w:t>Textkritik: Und ({und}) - „Und“ findet sich nicht im Codex Leningradensis, aber in vielen Handschriften, LXX, Syr, VUL und Hier und ist damit wohl urprünglich.</w:t>
      </w:r>
    </w:p>
  </w:footnote>
  <w:footnote w:id="751">
    <w:p>
      <w:pPr>
        <w:pStyle w:val="Funote"/>
        <w:rPr/>
      </w:pPr>
      <w:r>
        <w:rPr>
          <w:rStyle w:val="Funotenzeichen"/>
        </w:rPr>
        <w:footnoteRef/>
      </w:r>
      <w:r>
        <w:rPr/>
        <w:tab/>
        <w:t>Wahres sagt (denkt) in seinem Herzen (ausspricht, [was] wahrhaft in seinem Herzen [ist]) - etwas schwierige Zeile, die leider nur selten kommentiert wird. Das Herz ist in der heb. Anthropologie seltener Sitz der Emotionen als des Verstandes; einfacher könnte man also schlicht schreiben: »wer Wahres denkt«. Weil der Psalm hier ethische Regeln aufstellt, würde hier also gesagt, dass Irrtümer ethisch falsch sind. Zu dieser weisheitlichen Vorstellung s. die Anmerkungen zu Ps 14; sinngemäß richtig also Saadja: »Wer die Wahrheit bekennt in seinem Herzen«.Alternativ könnte man wie in unserer Alternativübersetzung (nach Olshausen) deuten als »Wer ausspricht, [was] wahrhaft in seinem Herzen [ist]« (so schon Raschi; auch MEN: »wer die Wahrheit redet, wie's ihm ums Herz ist«); die Rede wäre dann von der Aufrichtigkeit im Gegensatz zur Verlogenheit wie z.B. in Ps 12,3. Sprachlich liegt die erste Deutung aber näher. Viele dt. Üss. übersetzen als »wer von (ganzem) Herzen die Wahrheit sagt« (z.B. ASTADLER, BB, EÜ16, LUT17, NGÜ, STAD), doch den Ausdruck »von ganzem Herzen« gibt es mit dieser Bed. nicht im Heb.</w:t>
      </w:r>
    </w:p>
  </w:footnote>
  <w:footnote w:id="752">
    <w:p>
      <w:pPr>
        <w:pStyle w:val="Funote"/>
        <w:rPr/>
      </w:pPr>
      <w:r>
        <w:rPr>
          <w:rStyle w:val="Funotenzeichen"/>
        </w:rPr>
        <w:footnoteRef/>
      </w:r>
      <w:r>
        <w:rPr/>
        <w:tab/>
        <w:t>Verleumdung - Wortspiel im Heb.: Das Wort kommt von heb. regel (»Fuß, Bein«), bed. meistens »(als Kundschafter) laufen« und kommt damit aus dem selben Wortfeld wie das »wandeln« in V. 2.Textkritik: Verleumdung auf seiner Zunge hat - W. nach BHS »Wer verleumdet auf seiner Zunge«; lies statt dem Verb rāgal (»verleumdet«) besser das Abstraktsubstantiv rāgāl (»Verleumdung«), da die Präposition `al (»auf«) vor »seine Zunge« nicht gut mit dem Verb zusammenpasst (so auch ZLH, S. 755; ähnlich Budde 1915, S. 182). Selbst Sir 5,14, dessen Autor sich wohl an unserem Vers orientiert, ändert daher dennoch die Präposition el (s. Sir 4,28) nach b. Zur Konstruktion mit Substantiv vgl. 2 Sam 23,2; Spr 31,26; vgl. auch Jes 53,9. So wohl auch MEN, OEB, SLT, TEX.</w:t>
      </w:r>
    </w:p>
  </w:footnote>
  <w:footnote w:id="753">
    <w:p>
      <w:pPr>
        <w:pStyle w:val="Funote"/>
        <w:rPr/>
      </w:pPr>
      <w:r>
        <w:rPr>
          <w:rStyle w:val="Funotenzeichen"/>
        </w:rPr>
        <w:footnoteRef/>
      </w:r>
      <w:r>
        <w:rPr/>
        <w:tab/>
        <w:t>Textkritik: ([Und]) - Die Konjunktion findet sich nicht im Text der BHS, aber in wenigen Handschriften, LXX und Syr; nicht aber in VUL und Hier. Die Kolometrie des Psalms ist recht klar; in Teil 2 des Psalms wird sonst jede zweite(/dritte) Zeile eingeleitet durch eine Konjunktion – das (anders als in V. 1) nicht sehr gut bezeugte »und« lässt sich daher erklären als Angleichung an diese Struktur.</w:t>
      </w:r>
    </w:p>
  </w:footnote>
  <w:footnote w:id="754">
    <w:p>
      <w:pPr>
        <w:pStyle w:val="Funote"/>
        <w:rPr/>
      </w:pPr>
      <w:r>
        <w:rPr>
          <w:rStyle w:val="Funotenzeichen"/>
        </w:rPr>
        <w:footnoteRef/>
      </w:r>
      <w:r>
        <w:rPr/>
        <w:tab/>
        <w:t>seinem Genossen Schaden - Klangspiel: re`ehu ra`ah.</w:t>
      </w:r>
    </w:p>
  </w:footnote>
  <w:footnote w:id="755">
    <w:p>
      <w:pPr>
        <w:pStyle w:val="Funote"/>
        <w:rPr/>
      </w:pPr>
      <w:r>
        <w:rPr>
          <w:rStyle w:val="Funotenzeichen"/>
        </w:rPr>
        <w:footnoteRef/>
      </w:r>
      <w:r>
        <w:rPr/>
        <w:tab/>
        <w:t>Schande nicht trug wegen seinem Nächsten (nicht lud auf seinen Nächsten?) - Nach der Alternativübersetzung übersetzen fast alle Üss. und Kommentare, was nach den Wortbedeutungen auch möglich wäre, doch ist naßah cherpah `al ein Idiom, das sonst stets »Schande tragen wegen« bedeutet (s. Ps 69,8; Jer 15,5; 31,19; Ez 36,14; Mic 6,16; auch Ps 89,51). Richtig daher Alter 2007, S. 44: »Nor bears reproach for his kin«; Ehrlich 1905, S. 26: »und auf sich keine Schmach ladet ob seines Verwandten«; R-S: »nicht Schmach ob der Verwandten auf sich nimmt«; Sarna 1993, S. 98: »or borne reproach for [his acts toward] his neighbor«. Was gemeint ist, ist unklar; sinnvoll aber Ehrlich: »Um eines Verwandten willen Schmach auf sich laden ist so viel, als einen gottlosen Verwandten vor der verdienten Strafe schützen, statt ihn ihr preiszugeben, und sich so derselben Schmach aussetzen« (ebenso R-S in den Erläuterungen): Seine Schmach mittragen. Zeile 2 spricht von den bösen Taten, die man selbst begeht, Zeile 3 von Komplizenschaft.Vv. 2f. sind chiastisch gebaut: 2ab sprechen vom rechten Handeln, 2c vom rechten Reden (im Herzen, also denken); 3a vom falschen Reden und 3bc vom falschen Handeln.</w:t>
      </w:r>
    </w:p>
  </w:footnote>
  <w:footnote w:id="756">
    <w:p>
      <w:pPr>
        <w:pStyle w:val="Funote"/>
        <w:rPr/>
      </w:pPr>
      <w:r>
        <w:rPr>
          <w:rStyle w:val="Funotenzeichen"/>
        </w:rPr>
        <w:footnoteRef/>
      </w:r>
      <w:r>
        <w:rPr/>
        <w:tab/>
        <w:t>Also jenen, den in seinen Augen Gott vorworfen hat: den Sünder. Gut daher NGÜ: »Er wird den verachten, den Gott verworfen hat« (ähnlich GN, TEX); sinnvoll auch HER, LUT (leider nicht mehr LUT17): »der den Gottlosen verachtet«.tFN: Alternative 1 folgt dem Text der BHS (so auch die meisten Üss.); sowohl »verachtet« als auch »verworfen« sind hier Partizipien und man muss aus dem Kontext erschließen, was Subjekt und was Prädikat ist (so die meisten Üss.). Alternative 2 geht aufgrund derselben Tatsache davon aus, dass beide Wörter den selben syntaktischen Status haben, obwohl das eine am Zeilenbeginn, das andere am Zeilenende steht (ähnlich aber z.B. auch Jes 43,4), die Rede wäre hier wie in 1 Sam 15,17; 2 Sam 6,22; Ps 131; Jes 57,15; Lk 18,13f. von einer demütigen Haltung. So schon Tg und die alten jüd. Ausleger Saadja, Ibn Ezra und Kimchi; auch gerade die grammatisch sehr fähigen Kommentatoren Delitzsch 1894, S. 149; Ehrlich 1905, S. 27; Hitzig 1863, S. 77 und Zorell 1928, S. 19; auch ALB. Unsere Primärübersetzung geht mit Zuber 1986, S. 29 davon aus, dass das erste Partizip als finites Verb zu vokalisieren ist (ähnlich Dahood 1965, S. 84, der das zweite Verb, und Driver 1942, S. 152, der beide Partizipien als finite Verben vokalisieren will).</w:t>
      </w:r>
    </w:p>
  </w:footnote>
  <w:footnote w:id="757">
    <w:p>
      <w:pPr>
        <w:pStyle w:val="Funote"/>
        <w:rPr/>
      </w:pPr>
      <w:r>
        <w:rPr>
          <w:rStyle w:val="Funotenzeichen"/>
        </w:rPr>
        <w:footnoteRef/>
      </w:r>
      <w:r>
        <w:rPr/>
        <w:tab/>
        <w:t>dem Genossen (zu schaden, zum Schaden?) - der also einen geleisteten Schwur nicht bricht. Textkritik: dem Genossen (zu schaden, zum Schaden?) - die Konsonanten lassen beide Deutungen zu. LXX, Sym, Syr und VUL vereindeutigen durch Übersetzung zur Primärübersetzung, MT, Tg, Hier, Aq, Theod durch Vokalisierung oder Übersetzung zur Alternativübersetzung. Diese Alternativübersetzung, nach der auf den ersten Blick jemand als gut bezeichnet wird, weil er etwas Böses schwört und dann auch dabei bleibt, ist entweder zu erklären als »etwas schwören, wovon sich dann herausstellt, dass es für jmdn selbst zum Schaden war, und dennoch dem Schwur treu bleiben« (HfA: »Jeder, der hält, was er geschworen hat, auch wenn ihm daraus Nachteile entstehen«; EÜ16: »Er wird nicht ändern, was er zum eigenen Schaden geschworen hat.« u.ö.) oder, sprachlich näherliegend, »der schwört, [sich] zu schädigen« (z.B. durch Fasten oder durch das Einhalten von Sabbatgeboten) und darin hart bleibt (so b.Mak 24a; Saadja; Kimchi, Ibn Ezra, Ehrlich 1905, S. 27: »schwor, sich etwas zu entsagen«).</w:t>
      </w:r>
    </w:p>
  </w:footnote>
  <w:footnote w:id="758">
    <w:p>
      <w:pPr>
        <w:pStyle w:val="Funote"/>
        <w:rPr/>
      </w:pPr>
      <w:r>
        <w:rPr>
          <w:rStyle w:val="Funotenzeichen"/>
        </w:rPr>
        <w:footnoteRef/>
      </w:r>
      <w:r>
        <w:rPr/>
        <w:tab/>
        <w:t>Zum Zinsverbot s. Ex 22,24; Lev 25,37; Dtn 23,20f.; Ez 18,8, zur Bestechlichkeit Ex 23,8; Dtn 16,19; 27,25; Jes 1,23; Mi 3,11.</w:t>
      </w:r>
    </w:p>
  </w:footnote>
  <w:footnote w:id="759">
    <w:p>
      <w:pPr>
        <w:pStyle w:val="Funote"/>
        <w:rPr/>
      </w:pPr>
      <w:r>
        <w:rPr>
          <w:rStyle w:val="Funotenzeichen"/>
        </w:rPr>
        <w:footnoteRef/>
      </w:r>
      <w:r>
        <w:rPr/>
        <w:tab/>
        <w:t>Das „Wanken“ ist in der biblischen Poesie eine häufige Metapher für eine Gefährdung, aus der direkt Vernichtung und Tod folgt. Wer dagegen „nicht wankt“ ist sicher und geschützt und wird daher ewig bestehen; s. bes. gut Spr 10,30; 12,3; auch Ps 16,8; 30,7; 46,6f; 62,3.7; 112,6; 125,1.</w:t>
      </w:r>
    </w:p>
  </w:footnote>
  <w:footnote w:id="760">
    <w:p>
      <w:pPr>
        <w:pStyle w:val="Funote"/>
        <w:rPr/>
      </w:pPr>
      <w:r>
        <w:rPr>
          <w:rStyle w:val="Funotenzeichen"/>
        </w:rPr>
        <w:footnoteRef/>
      </w:r>
      <w:r>
        <w:rPr/>
        <w:tab/>
        <w:t>[In einigen Kommentaren wird der Sprecher wegen dieser Verse für einen Leviten gehalten: Die Leviten waren von der in Jos 13 erzählten Landverlosung ausgenommen; ihr „Los war JHWH“ (Num 18,20; Dtn 10,9). Dem scheint aber V. 6 zu widersprechen, wonach der Sprecher offenbar doch Land zugelost bekommen hat. Entweder ist der Dichter also Levit und spricht derart metaphorisch vom segensreichen Gott als „seinem zugelosten Land“, dass selbst V. 6 noch eine Metapher hierfür ist (dass dies möglich wäre, zeigt Dtn 32,9), oder er ist gerade kein Levit und V. 5 spricht mithilfe der Landlosmetapher davon, dass ihm ein segensreiches Leben beschieden wurde, weil JHWH es ihm beschieden hat, und zu diesem segensreichen Leben gehört tatsächlich, V. 6., auch liebliches Land.]</w:t>
      </w:r>
    </w:p>
  </w:footnote>
  <w:footnote w:id="761">
    <w:p>
      <w:pPr>
        <w:pStyle w:val="Funote"/>
        <w:rPr/>
      </w:pPr>
      <w:r>
        <w:rPr>
          <w:rStyle w:val="Funotenzeichen"/>
        </w:rPr>
        <w:footnoteRef/>
      </w:r>
      <w:r>
        <w:rPr/>
        <w:tab/>
        <w:t>JHWH</w:t>
      </w:r>
    </w:p>
  </w:footnote>
  <w:footnote w:id="762">
    <w:p>
      <w:pPr>
        <w:pStyle w:val="Funote"/>
        <w:rPr/>
      </w:pPr>
      <w:r>
        <w:rPr>
          <w:rStyle w:val="Funotenzeichen"/>
        </w:rPr>
        <w:footnoteRef/>
      </w:r>
      <w:r>
        <w:rPr/>
        <w:tab/>
        <w:t>[Status: Zuverlässig]</w:t>
      </w:r>
    </w:p>
  </w:footnote>
  <w:footnote w:id="763">
    <w:p>
      <w:pPr>
        <w:pStyle w:val="Funote"/>
        <w:rPr/>
      </w:pPr>
      <w:r>
        <w:rPr>
          <w:rStyle w:val="Funotenzeichen"/>
        </w:rPr>
        <w:footnoteRef/>
      </w:r>
      <w:r>
        <w:rPr/>
        <w:tab/>
        <w:t>miktam - Unbekanntes Wort, das vermutlich als Überschrift die Gattung von Ps 16 und Ps 56-60 angeben soll; daher meist mit dem Platzhalterbegriff „Lied“ übersetzt oder einfach transkribiert; für die LF ist wohl ersteres zu empfehlen.Im Talmudhebräischen bedeutet das Wort „Dokument“, im Neuhebräischen „Epigramm“; LXX hält es für ein ebensolches, in Stein Gehauenes, und übersetzt mit steleographia („Inschrift“, so auch BB und viele Kommentare). In allen drei Fällen wird das Wort aber wohl eher mit miktab („Geschriebenes“) verbunden, das sich als Psalmüberschrift in Jes 38,9 findet (Pietersma 2010, S. 524f.), was man schön an Tg sieht: Dieser hält das Wort wohl für eine Mischbildung aus miktab und tam („aufrecht“) und übersetzt „aufrechte Inschrift“. Ähnlich verfahren auch Aq, Sym, VUL, Raschi und andernorts Tg, zerlegen das Wort in die Bestandteile mk und tm und übersetzen „vom demütigen und aufrechten David“. Dass das Wort unbekannt war, sieht man noch besser an Quinta und Sexta, die bloß transkribieren: machtham. Luther leitet das Wort ab von ketem („Gold“), daher die Üs. „gülden Kleinod“ in den Lutherbibeln. Das „Sühngedicht“ von B-R und Stier2 kommt von einer Ableitung von katam („bedecken“), das auch für das „Sühnen“ von Sünden stehen kann (so z.B. auch Sawyer 2011b, S. 294).</w:t>
      </w:r>
    </w:p>
  </w:footnote>
  <w:footnote w:id="764">
    <w:p>
      <w:pPr>
        <w:pStyle w:val="Funote"/>
        <w:rPr/>
      </w:pPr>
      <w:r>
        <w:rPr>
          <w:rStyle w:val="Funotenzeichen"/>
        </w:rPr>
        <w:footnoteRef/>
      </w:r>
      <w:r>
        <w:rPr/>
        <w:tab/>
        <w:t>Textkritik: Vv. 2-4 gehören zu den umstrittensten Versen im Psalmenbuch überhaupt. Teilweise liegt das daran, dass sich hier eine Reihe textkritischer Probleme finden; zu diesen s. den Kommentar / Textkritik Vv. 2-4.Zu Vv. 2-4: Weiterhin sehr erschwert wird das Verständnis dieser Verse durch viele (oben im Text angezeigte oder in den folgenden FNn angegebene) Ambiguitäten, die zusammengenommen dazu führen, dass der Text auf ganz verschiedene Weisen verstanden werden könnte. Hinzu kommt v.a. noch die Problematik, dass das Hebräische keine Anführungs- und Schlusszeichen kennt und daher auch V. 3 oder sogar noch V. 4 als wörtl. Rede vom „ich sage/du sagst“ in V. 2 abhängen könnten; außerdem die Tatsache, dass V. 3b auch als unmarkierter Relativsatz verstanden werden kann. Neben der obigen (z.B. auch von ALB und MEN) gewählten Auflösung hier nur noch die drei häufigsten Alternativauflösungen, die grammatisch auch möglich sind: * [Ich (du) sagt(e) zu JHWH: „...“]. Was die Heiligen (Götter) betrifft, die im Lande sind – diese, (und) die Herrlichen –: Mein ganzes Wohlgefallen richtet sich auf sie. (z.B. LUT17) * [Ich (du) sagt(e) zu JHWH: „...“]. Was die Heiligen (Götter) betrifft, die im Lande sind – diese, (und) die Herrlichen, auf die sich mein ganzes Wohlgefallen richtet: [V. 4]. (z.B. Ridderbos 1972, S. 157) * [Ich (du) sagt(e) zu JHWH: „...“], zu den Heiligen (Götter), die im Land sind – [zu] diesen, (und) den Herrlichen, auf die sich mein ganzes Wohlgefallen richtet: „[V. 4]“ (z.B. Weber 2001, S. 96) Ein letztes und wichtiges Beispiel für eine andere Auflösung, die den Sinn der Verse völlig verändern würde, ist die von Craigie 1983, Franken 1954, Tournay 2001 und der Jerusalemer Bibel (vgl. wichtig auch Mannati 1972), die amart in V. 2a als 2. Pers. verstehen, die „Heiligen“ als Ausdruck für Götter und 2b als gegensätzliche Aussage von 3b: „Ihr sagt zu Jahwe: ‚Mein Herr! / Du bist mein Glück, über dich geht nichts!‘; zu den ‚Heiligen‘, denen, die da auf Erden sind: / ‚Ihr Prächtigen mein! Bei euch ist mein ganzes Gefallen!‘“. Der Psalmist zitierte dann also vorwurfsvoll synkretistische Gegner, die neben JHWH auch noch irdische „Götter“ anbeten. Will man bei der textkritischen Entscheidung zu 2b nicht mitgehen, wäre diese völlig andere Deutung wohl die nächstwahrscheinlichere; will man die „Heiligen“ nicht als Götter verstehen, wieder eine andere mit sehr unterschiedlicher Bedeutung usw. – Vv. 2-4 sind und bleiben sehr unsicher.</w:t>
      </w:r>
    </w:p>
  </w:footnote>
  <w:footnote w:id="765">
    <w:p>
      <w:pPr>
        <w:pStyle w:val="Funote"/>
        <w:rPr/>
      </w:pPr>
      <w:r>
        <w:rPr>
          <w:rStyle w:val="Funotenzeichen"/>
        </w:rPr>
        <w:footnoteRef/>
      </w:r>
      <w:r>
        <w:rPr/>
        <w:tab/>
        <w:t>Heilige + die Herrlichen - Gemeint sind wohl die JHWH-Gläubigen, vgl. Ex 19,6; Dtn 33,3; Dan 7,21.25; Ps 34,10. Dass sie „im Land“ sind, ist nicht irrelevant: Im AT sind klar die Israeliten JHWHs auserwähltes Volk; auf denselben Gedanken wird auch mehrfach in Vv. 5f. angespielt. Dem Psalmisten geht es gut, weil JHWH ihm wohl tut, und er tut dies u.a. auch, weil er ganz Israelit ist, sich in aller Entschiedenheit an die „Heiligen im Land“ hält, Gottes auserwähltes Volk. Diese sind „herrlich“; ein Begriff, mit dem man im Heb. bes. würdige und mächtige Menschen bezeichnet (s. Ri 5,13: Die „Edlen des Volkes“ (//Helden); 2 Chr 23,20: „Die Obersten und die Herrlichen und die Führenden“; Ps 136,18: „herrliche Könige“); und herrlich sind sie wohl im Gegensatz zu „weltlichen Herrlichen“ qua „Heiligkeit“: Sie sind keine irdischen Würdenträger, sondern würdig durch ihr Verhältnis zu Gott: Weil JHWH sie „würdigt“.Sehr verbreitet ist aber auch das Verständnis dieser „herrlichen Heiligen“ als pagane Götter; man orientiert sich dabei an Ps 89,6-8; auch Dtn 33,2f.; Dan 4,5f..10.14f.20; Ijob 5,1; 15,15; Sach 14,5, wo aber meist vom himmlischen Hofstaat JHWHs die Rede ist.Gut Luther: „Aber zu denen will ich mich halten, die heilig und herrlich im Geist sind, wenn auch verachtet vor der Welt un vor jenen. Zu ihnen steht mein Wille, meine Sehnsucht. [...] Heilig ist, wie wir schon früher ausgeführt haben, das, was beiseit getan, verborgen und allein vor Gottes Augen vorhanden ist. Was heutzutage an Häusern, Kleidern und Klerus von den Päpsten heilig genannt wird, ist ein Profan-heiliges, womit man die Leute betrügt. Heilig aber, d.h. durch die Salbung des heiligen Geistes geheiligt, [... ist] überhaupt kein Mensch, außer wenn er durch den Glauben Gott anhangt [...].“ (Luther 1959, S. 213f.).</w:t>
      </w:r>
    </w:p>
  </w:footnote>
  <w:footnote w:id="766">
    <w:p>
      <w:pPr>
        <w:pStyle w:val="Funote"/>
        <w:rPr/>
      </w:pPr>
      <w:r>
        <w:rPr>
          <w:rStyle w:val="Funotenzeichen"/>
        </w:rPr>
        <w:footnoteRef/>
      </w:r>
      <w:r>
        <w:rPr/>
        <w:tab/>
        <w:t>tFN: Diese, - W. übersetzt lauten die einzelnen Bestandteile dieser Zeile: »Zu den Heiligen (Was die Heiligen angeht) die im Land diese und die Herrlichen, ...«. Die meisten Üss. ziehen das »diese« mit der masoretischen Akzentuierung zum ersten Satz und teilen auf: »Die Heiligen, die im Land sind diese« und »und die Herrlichen«. »Diese« wäre dann ein sog. »resumptives Pronomen« (wie in Gen 9,3; Num 9,13; 35,31; Rut 4,15; Pred 4,2), das im Deutschen unübersetzt bleiben könnte. An dieser Satzposition stehen solche resumptiven Pronomen aber nur in negierten Sätzen (s. Gen 17,12; Num 17,5; Dtn 17,15; 20,15; 1 Kön 9,20; vgl. JM §158g). Allenfalls müsste man mit Peels 2000, S. 246 davon ausgehen, dass V. 3 bewusst als Gegen-Satz zu V. 2 formuliert ist und dies zusätzlich damit markiert werden soll, dass hemmah ungrammatisch gesetzt wird; andernfalls ist diese Auflösung nicht möglich – daher entgegen der masoret. Akzentuierung besser wie oben. Das Waw (»und«) vor den »Herrlichen« ist dann keine Konjunktion (»und«), sondern ein Waw explicativum (»Diese, d.h. die Herrlichen«).</w:t>
      </w:r>
    </w:p>
  </w:footnote>
  <w:footnote w:id="767">
    <w:p>
      <w:pPr>
        <w:pStyle w:val="Funote"/>
        <w:rPr/>
      </w:pPr>
      <w:r>
        <w:rPr>
          <w:rStyle w:val="Funotenzeichen"/>
        </w:rPr>
        <w:footnoteRef/>
      </w:r>
      <w:r>
        <w:rPr/>
        <w:tab/>
        <w:t>Man beachte, wie sowohl in der Anrede an Gott als auch in der Anrede an die Heiligen drei Worte auf den Angesprochenen verweisen: Zu JHWH: „Mein Herr bist du, / mein Wohlergehen ist nicht außer durch dich'“; zu den Heiligen: „Diese, die Herrlichen, all mein Wohgefallen richtet sich auf sie.“</w:t>
      </w:r>
    </w:p>
  </w:footnote>
  <w:footnote w:id="768">
    <w:p>
      <w:pPr>
        <w:pStyle w:val="Funote"/>
        <w:rPr/>
      </w:pPr>
      <w:r>
        <w:rPr>
          <w:rStyle w:val="Funotenzeichen"/>
        </w:rPr>
        <w:footnoteRef/>
      </w:r>
      <w:r>
        <w:rPr/>
        <w:tab/>
        <w:t>Es sollen sich vermehren die Schmerzen - nämlich so, wie Calvin gut erklärt: „Ungläubige, die falschen Göttern Geschenke opfern, verlieren nicht nur, was sie dafür ausgegeben haben, sondern laden auch noch Leid um Leid auf sich, weil es letzten Endes schlimm und ruinös für sie ausgehen wird.“ (Calvin 1845, S. 222)</w:t>
      </w:r>
    </w:p>
  </w:footnote>
  <w:footnote w:id="769">
    <w:p>
      <w:pPr>
        <w:pStyle w:val="Funote"/>
        <w:rPr/>
      </w:pPr>
      <w:r>
        <w:rPr>
          <w:rStyle w:val="Funotenzeichen"/>
        </w:rPr>
        <w:footnoteRef/>
      </w:r>
      <w:r>
        <w:rPr/>
        <w:tab/>
        <w:t>nacheilen (?, umwerben?) - Textkritisch schwierige Stelle, s. den Kommentar / Textkritik Vv. 2-4. Beide häufig gewählte Alternativen sind problematisch; in die LF sollte es daher am besten unauffällig und freier übertragen werden, z.B. durch „die anderen Göttern huldigen“ (HER05), „die anderen Göttern dienen“ (ALB) o.Ä., denn dies ist hier sicher gemeint.</w:t>
      </w:r>
    </w:p>
  </w:footnote>
  <w:footnote w:id="770">
    <w:p>
      <w:pPr>
        <w:pStyle w:val="Funote"/>
        <w:rPr/>
      </w:pPr>
      <w:r>
        <w:rPr>
          <w:rStyle w:val="Funotenzeichen"/>
        </w:rPr>
        <w:footnoteRef/>
      </w:r>
      <w:r>
        <w:rPr/>
        <w:tab/>
        <w:t>Blutlibationen (zur Alternative s. den Kommentar / Textkritik Vv. 2-4) sind im Alten Orient zwar selten, aber sicher belegt und waren nicht per se schlecht. Gemeint ist eine Opfer-„gattung“, bei der eine Flüssigkeit (häufig: vor einem oder auf einen Altar) als Opfergabe für eine Gottheit ausgegossen wurde. Für das alte Israel vgl. Ex 29,12; Lev 4,7.18.25.30.34; Dtn 12,27; auch Jes 66,3 setzt voraus, dass man auch „gutes“ Blut opfern konnte (z.B. Lammblut), ebenso Heb 10,4.10. Auch die Hethiter kannten Blutopfer: „Vor dem Altar [...] libiert er das Blut [der Schafe]“ (KUB 10, 11, 5-7, apud Liess 2004, S. 149); ebenso die Babylonier, etwa im Etana-Mythos: „Etana flehte täglich zu Schamasch: ‚Du hast verspeist, o Schamasch, das Fett meines Schafs, die Erde trank das Blut meines Lamms! Die Götter habe ich geehrt, die Geister respektiert.‘“ (COS 1.131,131-134).</w:t>
      </w:r>
    </w:p>
  </w:footnote>
  <w:footnote w:id="771">
    <w:p>
      <w:pPr>
        <w:pStyle w:val="Funote"/>
        <w:rPr/>
      </w:pPr>
      <w:r>
        <w:rPr>
          <w:rStyle w:val="Funotenzeichen"/>
        </w:rPr>
        <w:footnoteRef/>
      </w:r>
      <w:r>
        <w:rPr/>
        <w:tab/>
        <w:t>Also nicht einmal ihre Namen aussprechen.</w:t>
      </w:r>
    </w:p>
  </w:footnote>
  <w:footnote w:id="772">
    <w:p>
      <w:pPr>
        <w:pStyle w:val="Funote"/>
        <w:rPr/>
      </w:pPr>
      <w:r>
        <w:rPr>
          <w:rStyle w:val="Funotenzeichen"/>
        </w:rPr>
        <w:footnoteRef/>
      </w:r>
      <w:r>
        <w:rPr/>
        <w:tab/>
        <w:t>Teil, Zuteilung, Becher, Losstein - Vier Begriffe, von denen jeder für sich schon für das Schicksal eines Menschen stehen kann (zur Becher-metapher s. noch Ps 11,6; Ez 23,31-33; Hab 2,16; Mk 10,38; 14,36; wohl auch Ps 23,5.). Die sehr redundante Fügung „Teil meines Anteils“ findet sich denn auch sonst nicht mehr in der Bibel. Der heb. Text ist sogar noch redundanter als der dt., weil hier einige dt. Worte nur als Suffixe realisiert sind. In Zeile 1 stehen neben „JHWH“ nur drei „schicksalhafte“ Worte: „JHWH Teil meines-Anteils meines-Bechers“; ähnlich Zeile 2: „Zieher meines-Lossteins“. Drei dieser Begriffe („Teil“, „Anteil“ und „Losstein“) stehen häufig außerdem speziell für das Land, dass nach atl. Vorstellung durch das Schicksal jmds Eigen geworden ist (vgl. Jos 13 und Jos 14,2!; z.B. auch Ri 18,1). Dies schwingt auch hier mindestens mit, wie V. 6 deutlich macht (vgl. auch die deutliche Parallele in Dtn 32,9), könnte aber auch rein metaphorisch sein, wie es z.B. NGÜ versteht: „Was du mir für mein Leben geschenkt hast, ist wie ein fruchtbares Stück Land, das mich glücklich macht.“Zieher meines Lossteins ist w. „Halter meines Lossteins“; „der, der meinen Losstein hält“ (mit fast allen Exegeten vokalisiert als tomech statt tomich). Der Losstein hat seinen Platz in der Mantik, also der Disziplin, mit diversen Hilfsmitteln das Schicksal eines Menschen oder den Willen von Göttern zu erfragen – hier also mithilfe von Steinchen. Dass JHWH das Los des Beters „hält“, meint also wohl, dass er es wirft (R-S: „Du wirfst mein Los“) – und dabei sozusagen mogelt, weil durch das Losewerfen ja ohnehin der Wille Gottes herauskommen wird –, dass er also das Geschick des Beters lenkt (ZÜR31: „Du lenkst mein Geschick“) und zugleich „erhält“, was ihm durch dieses Los beschieden wird (Houston/Waltke 2010, S. 331). Schön FENZ: „Du hältst mein Los und wirfst es recht.“</w:t>
      </w:r>
    </w:p>
  </w:footnote>
  <w:footnote w:id="773">
    <w:p>
      <w:pPr>
        <w:pStyle w:val="Funote"/>
        <w:rPr/>
      </w:pPr>
      <w:r>
        <w:rPr>
          <w:rStyle w:val="Funotenzeichen"/>
        </w:rPr>
        <w:footnoteRef/>
      </w:r>
      <w:r>
        <w:rPr/>
        <w:tab/>
        <w:t>Schnüre fielen mir auf Liebliches - Auch V. 6a spricht noch von der Zulosung von Land (s. die vorige FN). Die „Schnüre“ sind die „Messschnüre“; bezeichnet werden also die Grenzen seines ererbten Landes (vgl. Am 7,17): Ihm wurde in der Tat liebliches [Land] beschieden (s. ähnlich noch Ps 78,55; Mi 2,5).</w:t>
      </w:r>
    </w:p>
  </w:footnote>
  <w:footnote w:id="774">
    <w:p>
      <w:pPr>
        <w:pStyle w:val="Funote"/>
        <w:rPr/>
      </w:pPr>
      <w:r>
        <w:rPr>
          <w:rStyle w:val="Funotenzeichen"/>
        </w:rPr>
        <w:footnoteRef/>
      </w:r>
      <w:r>
        <w:rPr/>
        <w:tab/>
        <w:t>tFN: Heb. nachlat, also auf den ersten Blick „der Erbbesitz“. LXX, Syr, VUL aber übersetzen „mein Erbbesitz“. Wie in V. 2 (s. Kommentar / Textkritik Vv. 2-4) also wohl defektive Schreibung von nachlati („mein Erbbesitz“).</w:t>
      </w:r>
    </w:p>
  </w:footnote>
  <w:footnote w:id="775">
    <w:p>
      <w:pPr>
        <w:pStyle w:val="Funote"/>
        <w:rPr/>
      </w:pPr>
      <w:r>
        <w:rPr>
          <w:rStyle w:val="Funotenzeichen"/>
        </w:rPr>
        <w:footnoteRef/>
      </w:r>
      <w:r>
        <w:rPr/>
        <w:tab/>
        <w:t>dünkt mich schön - W. „ist schön auf mir“; die Präp. auf wird hier wie oft verwendet, um anzuzeigen, dass etwas von jmdm empfunden wird.</w:t>
      </w:r>
    </w:p>
  </w:footnote>
  <w:footnote w:id="776">
    <w:p>
      <w:pPr>
        <w:pStyle w:val="Funote"/>
        <w:rPr/>
      </w:pPr>
      <w:r>
        <w:rPr>
          <w:rStyle w:val="Funotenzeichen"/>
        </w:rPr>
        <w:footnoteRef/>
      </w:r>
      <w:r>
        <w:rPr/>
        <w:tab/>
        <w:t>Nieren - In der atl. Anthropologie ist nicht das Herz Sitz der Emotionen, sondern die Nieren. Das Herz ist stattdessen Sitz des Verstandes. Geistige Qualen sind daher im AT „Nierenschmerzen“ (s. Ijob 19,27; Ps 73,21; Klg 3,13); dass Gott „Herz und Nieren prüft“ (Ps 7,10; 26,2; Jer 11,20; 17,10; 20,12), meint also im Dt., dass er „Herz und Verstand“ eines Menschen unter die Lupe nimmt. Ähnlich hier: Gott berät den Menschen, belehrt ihn also auf Verstandesebene, und selbst noch nachts „züchtigen ihn seine Nieren“, Gott belehrt ihn also z.B. durch Gewissensbisse auf emotionaler Ebene (NGÜ: „Selbst nachts weist mein Gewissen mich zurecht“; EÜ: „Auch mahnt mich mein Herz in der Nacht“).</w:t>
      </w:r>
    </w:p>
  </w:footnote>
  <w:footnote w:id="777">
    <w:p>
      <w:pPr>
        <w:pStyle w:val="Funote"/>
        <w:rPr/>
      </w:pPr>
      <w:r>
        <w:rPr>
          <w:rStyle w:val="Funotenzeichen"/>
        </w:rPr>
        <w:footnoteRef/>
      </w:r>
      <w:r>
        <w:rPr/>
        <w:tab/>
        <w:t>Ich halte ihn mir also stets bewusst. Gut Saadja: „Und mit Überzeugung halte ich Gott mir stets gegenwärtig und da er so zu meiner Rechten steht, so werde ich gewiss nicht wanken.“</w:t>
      </w:r>
    </w:p>
  </w:footnote>
  <w:footnote w:id="778">
    <w:p>
      <w:pPr>
        <w:pStyle w:val="Funote"/>
        <w:rPr/>
      </w:pPr>
      <w:r>
        <w:rPr>
          <w:rStyle w:val="Funotenzeichen"/>
        </w:rPr>
        <w:footnoteRef/>
      </w:r>
      <w:r>
        <w:rPr/>
        <w:tab/>
        <w:t>Das „Wanken“ ist in der biblischen Poesie eine häufige Metapher für eine Gefährdung, aus der direkt Vernichtung und Tod folgt. Wer dagegen „nicht wankt“ ist sicher und geschützt und wird daher ewig bestehen; s. bes. gut Spr 10,30; 12,3; Psalm 46,6f; 62,3.7; 112,6; 125,1.Schön ausgelegt hat diesen Vers auch Maimonides in seinem „Führer der Unschlüssigen“: „‚Lasst nicht zu, dass eure Geister vom Nachdenken über Gott ablassen!‘ Ebenso heißt es auch bei David, wenn er sagt: ‚Ich setze mir JHWH vor mich beständig; denn ist er zu meiner Rechten, werde ich nicht wanken‘, d.h., ich wende mein Denken nicht von Gott ab; er ist wie meine rechte Hand, die ich ja auch nicht auch nur für einen Moment vergesse, nur weil sie sich so einfach bewegen lässt, und aus diesem Grund werde ich nicht wanken, nicht fehlgehen.“ (III 51)</w:t>
      </w:r>
    </w:p>
  </w:footnote>
  <w:footnote w:id="779">
    <w:p>
      <w:pPr>
        <w:pStyle w:val="Funote"/>
        <w:rPr/>
      </w:pPr>
      <w:r>
        <w:rPr>
          <w:rStyle w:val="Funotenzeichen"/>
        </w:rPr>
        <w:footnoteRef/>
      </w:r>
      <w:r>
        <w:rPr/>
        <w:tab/>
        <w:t>Textkritik: Leber (Herrlichkeit) - Beide Begriffe waren ursprünglich gleich geschrieben worden. Sehr nah verwandt ist diese Stelle mit Ps 30,13; 57,9; 108,2: An allen vier Stellen wird Gott entweder von der „Leber“ oer von der „Herrlichkeit“ des Beters besungen und die Masoreten haben sich jedes Mal für „Herrlichkeit“ entschieden. Dass es auch im Akkadischen stets entweder das Herz oder eben die „Leber“ ist, die sich freut und jubelt (vgl. Dhorme 1922, S. 509f.), spricht aber stark dafür, dass auch im Heb. md. an diesen vier Stellen „Leber“ zu lesen ist. Das Idiom der „jubelnden Leber“ gibt es auch im Gr. und Lat. nicht; LXX und VUL übersetzen daher sicher v.a. vom Verb geleitet mit „meine Zunge“. So und so würde man aber in die LF mit einer allgemeineren Formulierung übersetzen müssen, etwa „Ich kann aus tiefster Seele jubeln“ (NGÜ), „es jubelt mein Gemüt“ (PAT, R-S); „Drum bin ich voll Freude, mein Innerstes jubelt“ (STAD) o.Ä.</w:t>
      </w:r>
    </w:p>
  </w:footnote>
  <w:footnote w:id="780">
    <w:p>
      <w:pPr>
        <w:pStyle w:val="Funote"/>
        <w:rPr/>
      </w:pPr>
      <w:r>
        <w:rPr>
          <w:rStyle w:val="Funotenzeichen"/>
        </w:rPr>
        <w:footnoteRef/>
      </w:r>
      <w:r>
        <w:rPr/>
        <w:tab/>
        <w:t>mein Fleisch wird wohnen in Sicherheit - gemeint ist sehr wahrscheinlich nicht der Zustand des Körpers zwischen Tod und leiblicher Auferstehung nach dem Tode, wie der Vers in der Geschichte seiner Auslegung häufig verstanden worden ist (s. die Anmerkungen), sondern die Zeile bedeutet das selbe wie V. 8b: Ich werde „nicht wanken“, nicht in Gefahr geraten, sondern vielmehr wird im Leben „mein Fleisch“, also ich, „sicher“ sein. Vgl. ähnlich Dtn 33,12.28; Ri 18,7; Ps 4,9; Jer 23,6; 33,16. Besagte alternative Ausdeutung findet sich aber bereits im babylonischen Talmud, wo der Vers daraufhin gedeutet wird, dass der Körper „Davids“ nicht aufgrund von Würmern und Maden verwesen wird (b.B.B. 17a; s. auch den Midrasch: „R. Jizchak hat gesagt: Daraus geht hervor, dass Wurm und Moder über sein Fleisch keine Gewalt gehabt hat.“). Ähnlich auch noch Augustinus: LXX übersetzt statt mit „in Sicherheit“ mit „in Hoffnung“ und Augustinus erklärt: „Mein Fleisch wird nicht zur Zerstörung verderben (=verwesen), sondern in der Hoffnung auf die Auferstehung schlafen.“; ebenso Thomas von Aquin und dann endgültig Bellarmin: „Mein Fleisch schläft im Tode zufrieden und sicher, in gewisser Erwartung einer schnellen Auferstehung“.</w:t>
      </w:r>
    </w:p>
  </w:footnote>
  <w:footnote w:id="781">
    <w:p>
      <w:pPr>
        <w:pStyle w:val="Funote"/>
        <w:rPr/>
      </w:pPr>
      <w:r>
        <w:rPr>
          <w:rStyle w:val="Funotenzeichen"/>
        </w:rPr>
        <w:footnoteRef/>
      </w:r>
      <w:r>
        <w:rPr/>
        <w:tab/>
        <w:t>Scheol - Der heb. Begriff für das Totenreich, vgl. Jenseitsvorstellungen (AT) (WiBiLex). Nicht zu übersetzen mit „Hölle“; die atl. Vorstellung des Scheols und die christliche Vorstellung der Hölle sind sehr unterschiedlich: Anders als letztere ist erstere kein Ort des Schreckens und der Schmerzen, an den nur Sünder kommen, sondern ähnlich wie der Hades ein Un-Ort des Schweigens und Vergessens, zu dem sämtliche Toten hinabsteigen.</w:t>
      </w:r>
    </w:p>
  </w:footnote>
  <w:footnote w:id="782">
    <w:p>
      <w:pPr>
        <w:pStyle w:val="Funote"/>
        <w:rPr/>
      </w:pPr>
      <w:r>
        <w:rPr>
          <w:rStyle w:val="Funotenzeichen"/>
        </w:rPr>
        <w:footnoteRef/>
      </w:r>
      <w:r>
        <w:rPr/>
        <w:tab/>
        <w:t>wirst nicht erlauben, dass - W. „wirst nicht geben deinen Frommen zu sehen...“; „X geben zu Y (Inf.)“ ist ein heb. Idiom mit der Bed. „X erlauben zu Y“ oder „zulassen, dass X Y“.</w:t>
      </w:r>
    </w:p>
  </w:footnote>
  <w:footnote w:id="783">
    <w:p>
      <w:pPr>
        <w:pStyle w:val="Funote"/>
        <w:rPr/>
      </w:pPr>
      <w:r>
        <w:rPr>
          <w:rStyle w:val="Funotenzeichen"/>
        </w:rPr>
        <w:footnoteRef/>
      </w:r>
      <w:r>
        <w:rPr/>
        <w:tab/>
        <w:t>Textkritik: dein Frommer (deine Frommen) - im urspr. Konsonantentext als Plural geschrieben. Die Masoreten zeigen in ihrer Vokalisierung an, dass Singular zu lesen sei, und so übersetzen auch LXX, VUL, Hier, Syr. So daher auch alle Üss; eine seltene Ausnahme ist z.B. Buttenwieser 1938, S. 502: „Thou wilt not suffer thy faithful servants to see the engulfing pit.“</w:t>
      </w:r>
    </w:p>
  </w:footnote>
  <w:footnote w:id="784">
    <w:p>
      <w:pPr>
        <w:pStyle w:val="Funote"/>
        <w:rPr/>
      </w:pPr>
      <w:r>
        <w:rPr>
          <w:rStyle w:val="Funotenzeichen"/>
        </w:rPr>
        <w:footnoteRef/>
      </w:r>
      <w:r>
        <w:rPr/>
        <w:tab/>
        <w:t>die Grube (die Verwesung) - Wegen der Auslegungsgeschichte des Psalms (s. die Anmerkungen) wurde oft recht heftig diskutiert, ob das Wort für „Grube“ auch „Verwesung“ bedeuten kann oder nicht. Das kann es, daher übersetzen hier so auch LXX, Tg, VUL, Syr, Hier. Eigentlich läuft aber ohnehin beides auf das selbe hinaus: Im atl. Totenkult wurde ein toter Körper zunächst in ein Gemeinschaftsgrab gelegt und dort verwesen gelassen. Nach der Verwesung sammelte man die Knochen ein und gab sie in eine Grube, in der sich auch die Knochen der bereits verblichenen Familienangehörigen befanden (vgl. z.B. Figueras 1984f., S. 46). Von dieser Grube ist hier wohl ursprünglich die Rede; ob mit „Grube“ oder „Verwesung“ zu übersetzen ist, ist also irrelevant: „Du wirst nicht erlauben, dass dein Frommer verwest / die Knochen deines verwesten Frommen in die Grube gegeben werden“ ist letztlich gleichbedeutend: „Du wirst nicht erlauben, dass dein Frommer stirbt“. Wichtig außerdem: Auch nach dem Tod hatte man nach antiker Vorstellung nicht einen bloßen Körper vor sich; erst im Verlaufe der Verwesung wanderte der Tote hinab in die Scheol (vgl. Leuenberger 2012, S. 327). 10a und 10b bedingen sich damit gegenseitig: Verwest jemand nicht, geht er auch nicht über in den Scheol. Will man auch schon 9b als Ausdruck für den Zustand eines Körpers nach dem Tod lesen, sind sogar 10a und 10b Ausfaltungen dieses Verses: „Mein Fleisch wird sicher wohnen“, also nicht zerstört werden, und das heißt dann zum einen, „du wirst meine Seele nicht dem Scheol überlassen“, und das ist möglich weil „du nicht erlauben wirst, dass dein Frommer verwest“.</w:t>
      </w:r>
    </w:p>
  </w:footnote>
  <w:footnote w:id="785">
    <w:p>
      <w:pPr>
        <w:pStyle w:val="Funote"/>
        <w:rPr/>
      </w:pPr>
      <w:r>
        <w:rPr>
          <w:rStyle w:val="Funotenzeichen"/>
        </w:rPr>
        <w:footnoteRef/>
      </w:r>
      <w:r>
        <w:rPr/>
        <w:tab/>
        <w:t>Weg des Lebens (Weg zum Leben) - gelegentlich interpretiert als „Weg zum Leben“, nämlich aus dem Tode: Die Auferstehung (so schon Kimchi). Gemeint ist mit dem „Weg des Lebens“ aber ursprünglich sicher ein innerweltlicher Weg: Wer auf dem von Gott gewiesenen Weg geht, indem er sich an seine Weisung hält, wird recht und in Sicherheit wandeln und insofern ist dieser Weg dem Tod entgegengesetzt. S. bes. Spr 12,28; auch Spr 2,18f.; 5,5f.; 15,9f.; ähnlich 10,17; Ps 1. Zeilen 2 und 3 schildern dann Charakteristika dieses „Wegs des Lebens“ (richtig Thomas von Aquin: commemorat beneficium, „er erinnert an die Vorteile“; Liess 2004, S. 91: „V. 11a formuliert mit der zentralen Wendung [Weg des Lebens] den Leitgedanken, der in den beiden folgenden Kola entfaltet wird.“); gut daher nur mit Doppelpunkt und ohne „[ist]“ in Zz. 2 und 3 in ZÜR 1931. Schön wieder FENZ: „Den Weg des Lebens zeigst du mir: / zum Fest vor deinem Angesichte, / am Quell der Freuden und der Wonnen, / zu deiner Rechten ohne Ende.“ Die meisten Üss. sehen allerdings Zz. 2.3 als eigenständige Sätze.</w:t>
      </w:r>
    </w:p>
  </w:footnote>
  <w:footnote w:id="786">
    <w:p>
      <w:pPr>
        <w:pStyle w:val="Funote"/>
        <w:rPr/>
      </w:pPr>
      <w:r>
        <w:rPr>
          <w:rStyle w:val="Funotenzeichen"/>
        </w:rPr>
        <w:footnoteRef/>
      </w:r>
      <w:r>
        <w:rPr/>
        <w:tab/>
        <w:t>Man beachte, wie hier V. 8 wieder aufgegriffen wird: Der Beter hält sich JHWH „beständig vor Augen“ und „hat JHWH zu seiner Rechten“. Dem korrespondieren die „Fülle der Freuden bei JHWHs Angesicht“ und die „Annehmlichkeiten in JHWHs Rechten“.</w:t>
      </w:r>
    </w:p>
  </w:footnote>
  <w:footnote w:id="787">
    <w:p>
      <w:pPr>
        <w:pStyle w:val="Funote"/>
        <w:rPr/>
      </w:pPr>
      <w:r>
        <w:rPr>
          <w:rStyle w:val="Funotenzeichen"/>
        </w:rPr>
        <w:footnoteRef/>
      </w:r>
      <w:r>
        <w:rPr/>
        <w:tab/>
        <w:t>JHWH</w:t>
      </w:r>
    </w:p>
  </w:footnote>
  <w:footnote w:id="788">
    <w:p>
      <w:pPr>
        <w:pStyle w:val="Funote"/>
        <w:rPr/>
      </w:pPr>
      <w:r>
        <w:rPr>
          <w:rStyle w:val="Funotenzeichen"/>
        </w:rPr>
        <w:footnoteRef/>
      </w:r>
      <w:r>
        <w:rPr/>
        <w:tab/>
        <w:t>200px</w:t>
      </w:r>
    </w:p>
  </w:footnote>
  <w:footnote w:id="789">
    <w:p>
      <w:pPr>
        <w:pStyle w:val="Funote"/>
        <w:rPr/>
      </w:pPr>
      <w:r>
        <w:rPr>
          <w:rStyle w:val="Funotenzeichen"/>
        </w:rPr>
        <w:footnoteRef/>
      </w:r>
      <w:r>
        <w:rPr/>
        <w:tab/>
        <w:t>200px</w:t>
      </w:r>
    </w:p>
  </w:footnote>
  <w:footnote w:id="790">
    <w:p>
      <w:pPr>
        <w:pStyle w:val="Funote"/>
        <w:rPr/>
      </w:pPr>
      <w:r>
        <w:rPr>
          <w:rStyle w:val="Funotenzeichen"/>
        </w:rPr>
        <w:footnoteRef/>
      </w:r>
      <w:r>
        <w:rPr/>
        <w:tab/>
        <w:t>[Status: Zuverlässig]</w:t>
      </w:r>
    </w:p>
  </w:footnote>
  <w:footnote w:id="791">
    <w:p>
      <w:pPr>
        <w:pStyle w:val="Funote"/>
        <w:rPr/>
      </w:pPr>
      <w:r>
        <w:rPr>
          <w:rStyle w:val="Funotenzeichen"/>
        </w:rPr>
        <w:footnoteRef/>
      </w:r>
      <w:r>
        <w:rPr/>
        <w:tab/>
        <w:t>Textkritik: LXX hat „meine Gerechtigkeit“; so daher auch viele Exegeten. Doch ist dies sicher nur eine auslegende Übersetzung. Gemeint ist natürlich „meine“ Gerechtigkeit, doch hier wird JHWH allgemein aufgefordert, auf „Gerechtes“ zu lauschen. V. 1 bildet so eine kleine Inclusio mit V. 2: JHWH soll „Gerechtigkeit hören“ – und Gerechtigkeit spricht aus dem Mund des Beters, weil sein Beten geäußert wird von „Nicht-Trug-Lippen“ – und er soll „Aufrichtigkeit sehen“, nämlich wieder die des Beters, die JHWH erkennen würde, wenn er ihn denn prüfte (V. 3). „Gesehen werden“ soll gerade jene Aufrichtigkeit, die „nicht über meine Lippen kommen dürfte“ (V. 3); das „Hören“ in V. 1 bezieht sich also auf die Aufrichtigkeit des Beters im Beten, das „Schauen“ auf die unhörbare Aufrichtigkeit des Beters im Denken.</w:t>
      </w:r>
    </w:p>
  </w:footnote>
  <w:footnote w:id="792">
    <w:p>
      <w:pPr>
        <w:pStyle w:val="Funote"/>
        <w:rPr/>
      </w:pPr>
      <w:r>
        <w:rPr>
          <w:rStyle w:val="Funotenzeichen"/>
        </w:rPr>
        <w:footnoteRef/>
      </w:r>
      <w:r>
        <w:rPr/>
        <w:tab/>
        <w:t>mein Recht ausgehen - d.h. vor deinem Richterstuhl möge mir Gerechtigkeit widerfahren. Das heb. Verb kann auch „aufgehen“, „aufstrahlen“ bedeuten und wird oft von der Sonne gesagt, was gut zur Rechtfertigung am Morgen in V. 15 passt (s. dort).</w:t>
      </w:r>
    </w:p>
  </w:footnote>
  <w:footnote w:id="793">
    <w:p>
      <w:pPr>
        <w:pStyle w:val="Funote"/>
        <w:rPr/>
      </w:pPr>
      <w:r>
        <w:rPr>
          <w:rStyle w:val="Funotenzeichen"/>
        </w:rPr>
        <w:footnoteRef/>
      </w:r>
      <w:r>
        <w:rPr/>
        <w:tab/>
        <w:t>[mich (es)] - Objekt der Prüfung könnte hier entweder wieder das „Herz“ sein oder allgemein „ich“. Tg und Syr übersetzen einheitlich mit „ich“, was nicht im MT steht; vielleicht ist also sogar von Schreibern wegen der Buchstabengleichheit von „ich“ und dem Beginn von „bei Nacht“ das „ich“ übersehen worden: pqdt [lj] ljlh.</w:t>
      </w:r>
    </w:p>
  </w:footnote>
  <w:footnote w:id="794">
    <w:p>
      <w:pPr>
        <w:pStyle w:val="Funote"/>
        <w:rPr/>
      </w:pPr>
      <w:r>
        <w:rPr>
          <w:rStyle w:val="Funotenzeichen"/>
        </w:rPr>
        <w:footnoteRef/>
      </w:r>
      <w:r>
        <w:rPr/>
        <w:tab/>
        <w:t>[selbst] - Fokuspartikeln wie „selbst“ werden im Heb. häufig auch dort nicht gesetzt, wo das Deutsche sie setzen muss. So wohl auch hier; der Gedanke ist vermutlich: Selbst Nachts, wenn ich am wenigsten auf eine Durchsuchung meiner Selbst vorbereitet bin, wirst du nichts finden (Schegg 1845, S. 166: „Denn du hast mein Herz geprüft, überrascht bei Nacht“).</w:t>
      </w:r>
    </w:p>
  </w:footnote>
  <w:footnote w:id="795">
    <w:p>
      <w:pPr>
        <w:pStyle w:val="Funote"/>
        <w:rPr/>
      </w:pPr>
      <w:r>
        <w:rPr>
          <w:rStyle w:val="Funotenzeichen"/>
        </w:rPr>
        <w:footnoteRef/>
      </w:r>
      <w:r>
        <w:rPr/>
        <w:tab/>
        <w:t>probtest - W. „läutertest“; der Psalmist verwendet (wie z.B. auch Ijob 23,10) das Bild der Läuterprobe aus der Metallurgie, mit der durch das Schmelzen von Edelmetallen Beimengungen von anderen Stoffen gefunden und ausgeschieden werden können (NGÜ: „Du hast mich 'wie Metall im Feuer' geläutert“; StierPs: „schmelze mich aus!“). Der Fremdkörper, der in diesem Fall nicht gefunden wird, ist die „Schandtat“.Trikolon mit Klimax: Die drei Tests in V. 3 werden immer intensiver: Testen – bei Nacht prüfen – Läuterprobe durchführen.</w:t>
      </w:r>
    </w:p>
  </w:footnote>
  <w:footnote w:id="796">
    <w:p>
      <w:pPr>
        <w:pStyle w:val="Funote"/>
        <w:rPr/>
      </w:pPr>
      <w:r>
        <w:rPr>
          <w:rStyle w:val="Funotenzeichen"/>
        </w:rPr>
        <w:footnoteRef/>
      </w:r>
      <w:r>
        <w:rPr/>
        <w:tab/>
        <w:t>Textkritik: Ränke an mir (Plan, Schandtat, ich habe geplant) - Beide Alternativen wären mit den selben Konsonanten geschrieben worden (zimati vs. zamoti); MT und die meisten dt. Üss. deuten als Variante 2, die meisten alten Üss. aber wie wir als Variante 1.</w:t>
      </w:r>
    </w:p>
  </w:footnote>
  <w:footnote w:id="797">
    <w:p>
      <w:pPr>
        <w:pStyle w:val="Funote"/>
        <w:rPr/>
      </w:pPr>
      <w:r>
        <w:rPr>
          <w:rStyle w:val="Funotenzeichen"/>
        </w:rPr>
        <w:footnoteRef/>
      </w:r>
      <w:r>
        <w:rPr/>
        <w:tab/>
        <w:t>[die] nicht meinen Mund überschreiten dürfte - so gut als Relativsatz aufgelöst von Ehrlich 1905; Zorell 1928; R-S. Im Heb. sind die beiden Zeilen ganz parallel gebaut, was sich schwer ins Dt. übertragen lässt: „Nicht findest du Schandtat von mir, / nicht durfte [sie] überschreiten den Mund von mir.“Die meisten dt. Üss. lösen auf verschiedenste Weisen anders auf. W. übersetzt lautet MT: „nicht(s) wirst/sollst du finden ich habe geplant/mein Planen nicht(s) wird/soll überschreiten mein(en) Mund V. 4 Taten von Menschen“, was sich dann konstruieren lässt als: * Du wirst nichts finden; mein Planen wird nicht meinen Mund überschreiten, d.h. selbst, wenn ich Böses denke, kommt es mir nicht über die Lippen. (Delitzsch 1894; ALB) * Du wirst nichts finden; mein Planen wird nicht mein Mund überschreiten, d.h. ich denke nicht dies, spreche aber dann das. (Vaihinger 1856; ELB, GN, NeÜ) * Du wirst nichts finden; mein Planen soll nicht mein Mund überschreiten, d.h. ich will nicht unbedacht reden (BigS) * Du wirst nichts finden. Ich habe geplant: „Nichts [Böses] soll mir über die Lippen kommen.“ (deClaissé-Walford/Jacobson/Tanner 2014; EÜ16, LUT17 u.a.) * ... Mein Mund läuft nicht über bei dem Tun der Menschen (Kraus 1961; PAT) Die Übersetzung „Nie hat sich vergangen mein Mund“ (z.B. EÜ, H-R, ZÜR) schließlich geht fälschlicherweise davon aus, dass „überschreiten“ auch das Übertreten von Gesetzen meinen könne.</w:t>
      </w:r>
    </w:p>
  </w:footnote>
  <w:footnote w:id="798">
    <w:p>
      <w:pPr>
        <w:pStyle w:val="Funote"/>
        <w:rPr/>
      </w:pPr>
      <w:r>
        <w:rPr>
          <w:rStyle w:val="Funotenzeichen"/>
        </w:rPr>
        <w:footnoteRef/>
      </w:r>
      <w:r>
        <w:rPr/>
        <w:tab/>
        <w:t>Z. 1 aufgelöst in Anlehnung an Köster 1837 („So oft die Menschen thun wider deiner Lippen Wort“, S. 40; auch Calvin berichtet, gelegentlich auf diese Auflösung gestoßen zu sein). Obwohl sie sich so selten findet, ist sie recht wahrscheinlich richtig: Nach den Wortsünden (V. 1) und den Gedankensünden (Vv. 2-3) werden nun in Vv. 4-5 noch die Tatsünden zurückgewiesen. Der Beter ist völlig unschuldig.Die meisten Üss. und Exegeten ziehen den Beginn der Zeile entweder zu V. 3 („Mein Mund quillt nicht über beim Tun des Menschen“) oder teilen noch häufiger diese Zeile auf in zwei Gliedsätze („Was das Tun des Menschen angeht: Beim Wort deiner Lippen...“, was dann aber schwerlich „gemäß dem Wort deiner Lippen“ hieße, wofür kidbar statt bidbar verwendet würde (so korrigieren den Text daher Bonkamp 1949 und Leveen 1961, S. 48).).Theoretisch möglich wäre allerdings die Auflösung „Was die Taten ders Menschen angeht: Durch das Wort deiner Lippen habe ich die Wege des Gebots geachtet“ (so BigS). Calvin kommentiert: „Suchen wir nach einer guten Richtlinie für unser Verhalten, wenn unsere Feinde uns dazu provozieren, ihnen Gleiches mit Gleichem zu vergelten, lasst uns am Beispiel des David lernen, über das Wort Gottes nachzudenken und unsere Augen darauf gerichtet zu halten! So nämlich wird unser Geist davon abgehalten, geblendet zu werden, und wir werden stets den Weg der Frevler meiden können, da Gott durch seine Gebote nicht nur unsere Affekte bändigt, sondern durch seine Versprechungen auch unsere Geduld befeuert.“ (Calvin 1845, S. 240).</w:t>
      </w:r>
    </w:p>
  </w:footnote>
  <w:footnote w:id="799">
    <w:p>
      <w:pPr>
        <w:pStyle w:val="Funote"/>
        <w:rPr/>
      </w:pPr>
      <w:r>
        <w:rPr>
          <w:rStyle w:val="Funotenzeichen"/>
        </w:rPr>
        <w:footnoteRef/>
      </w:r>
      <w:r>
        <w:rPr/>
        <w:tab/>
        <w:t>tFN: Gebots (Gewalttätigen) - W. auf den ersten Blick „Ich habe geachtet die Wege des Gewalttätigen“, was dann oft erläutert wird als „achten, [um nicht darauf zu geraten]“. Doch dafür würde im Heb. nicht schamar („achten“), sondern schamar min („sich in Acht nehmen vor“) verwendet. Besser sollte man daher in Orientierung an arab. faraḍa („gebieten“) davon ausgehen, dass neben parits („Gewalttätiger“, von parats „überschreiten“) ein gleichlautendes Wort parits II („Gebot“, von parats II „gebieten“, das sich wohl auch in 1 Chr 13,2 und 2 Chr 31,5 findet, vgl. Kissane 1928, S. 90) existiert. Dieses Wort ist nicht allgemein anerkannt (und findet sich daher in DCH VI, S. 769; ZLH S. 668, nicht aber in Ges18 und KBL3), wird aber an unserer Stelle von vielen Exegeten und einigen dt. Üss. (EÜ (nicht mehr EÜ16), GUAR, H-R, HER05, PAT, StierPs) vertreten.</w:t>
      </w:r>
    </w:p>
  </w:footnote>
  <w:footnote w:id="800">
    <w:p>
      <w:pPr>
        <w:pStyle w:val="Funote"/>
        <w:rPr/>
      </w:pPr>
      <w:r>
        <w:rPr>
          <w:rStyle w:val="Funotenzeichen"/>
        </w:rPr>
        <w:footnoteRef/>
      </w:r>
      <w:r>
        <w:rPr/>
        <w:tab/>
        <w:t>Wege des Gebots, meine Schritte, deine Spuren, meine Tritte - Der Psalmist greift hier zurück auf die häufige Metapher des „rechten Weges“: Indem Gott den Menschen seine Gebote gab, wies er ihnen einen „Weg“. Beschreitet man diesen, ist man auf dem „rechten Weg“ und wird dafür von Gott gesegnet sein (s. z.B. Spr 2,18f.; 5,5f.; 12,28; 15,9f.); „der Frevler Weg jedoch vergeht“ (Ps 1,6).</w:t>
      </w:r>
    </w:p>
  </w:footnote>
  <w:footnote w:id="801">
    <w:p>
      <w:pPr>
        <w:pStyle w:val="Funote"/>
        <w:rPr/>
      </w:pPr>
      <w:r>
        <w:rPr>
          <w:rStyle w:val="Funotenzeichen"/>
        </w:rPr>
        <w:footnoteRef/>
      </w:r>
      <w:r>
        <w:rPr/>
        <w:tab/>
        <w:t>Textkritik: MT hat hapleh („scheide/erweise“), so auch Tg. Einige MT-Handschriften aber haben haple´ („Wirke wunderbar“), was durch LXX, Syr, VUL und Hier gestützt wird. Die Fügung palah chesed findet sich sonst nicht mehr in der Bibel (allerdings das ähnliche palah chasid, „er hat geschieden seinen Frommen“ in Ps 4,4, wo aber ebenfalls pala´ zu lesen ist), pala´ chesed aber in Ps 31,22 und beide Wörter in engem Zhg. auch in Ps 106,7 und 107,8.15.21.31. Syr hat darüber hinaus offenbar sogar an Ps 4,4 gedacht und statt chesed chasid übersetzt, dennoch aber nicht palah, sondern pala´. Etwas wahrscheinlicher ist daher „wirke wunderbar“; letztlich trägt es sich aber nicht wesentlich auf die Bedeutung des Textes aus.</w:t>
      </w:r>
    </w:p>
  </w:footnote>
  <w:footnote w:id="802">
    <w:p>
      <w:pPr>
        <w:pStyle w:val="Funote"/>
        <w:rPr/>
      </w:pPr>
      <w:r>
        <w:rPr>
          <w:rStyle w:val="Funotenzeichen"/>
        </w:rPr>
        <w:footnoteRef/>
      </w:r>
      <w:r>
        <w:rPr/>
        <w:tab/>
        <w:t>Textkritik: [zu dir] steht nicht in MT, Tg, Hier, aber in LXX, Syr, VUL, Saadja. Houbigant 1777 und BHS erachten es daher als ursprünglich, doch ist es wohl eher Angleichung an „deine Huld“ und „deine Hand“.</w:t>
      </w:r>
    </w:p>
  </w:footnote>
  <w:footnote w:id="803">
    <w:p>
      <w:pPr>
        <w:pStyle w:val="Funote"/>
        <w:rPr/>
      </w:pPr>
      <w:r>
        <w:rPr>
          <w:rStyle w:val="Funotenzeichen"/>
        </w:rPr>
        <w:footnoteRef/>
      </w:r>
      <w:r>
        <w:rPr/>
        <w:tab/>
        <w:t>wider deine rechte Hand - der ungewöhnliche Ausdruck (für gewöhnlich erhebt man sich nicht gegen Hände, sondern gegen Menschen und Götter) soll wohl die Formulierung der ausgleichenden Gerechtigkeit in Vv. 13f. vorbereiten, wo Gott sich erheben und seine Hand als Waffe gegen Menschen einsetzen soll: Diese sind „sich Erhebende gegen seine rechte Hand“; sie haben es also geradezu herausgefordert.Weil der Ausdruck so ungewöhnlich ist, haben andere vorgeschlagen, dass die letzte Phrase nicht auf die „sich Erhebenden“ zu beziehen sei, sondern auf die „sich Flüchtenden“ („die sich zu deiner rechten Hand flüchten“), was noch recht ungezwungen möglich ist (z.B. HER05, EÜ 16, SLT), auf „[oh] Retter“ („oh Retter durch deine rechte Hand“; so z.B. TAF) oder gar auf „Wirke wunderbar deine Huld“ („... mit deiner rechten Hand“; so offenbar B-R). Mosca 2011 hat sogar vorgeschlagen, dass die Phrase bewusst ans Ende des Verses gestellt wurde, um sich gleichzeitig in der Tat auf all diese Phrasen beziehen zu können:„Erweise deine Huld mit,[oh] Retter durch,von sich Flüchtenden zu,vor sich Erhebenden gegendein(e) rechte(n) Hand!“</w:t>
      </w:r>
    </w:p>
  </w:footnote>
  <w:footnote w:id="804">
    <w:p>
      <w:pPr>
        <w:pStyle w:val="Funote"/>
        <w:rPr/>
      </w:pPr>
      <w:r>
        <w:rPr>
          <w:rStyle w:val="Funotenzeichen"/>
        </w:rPr>
        <w:footnoteRef/>
      </w:r>
      <w:r>
        <w:rPr/>
        <w:tab/>
        <w:t>ein Augenmännlein (die Pupille) des Augenmädchens (, die Pupille) - Zwei (auch: in vielen Sprachen, z.B. Lat: pupus und pupilla) verbreitete Umschreibungen der Pupille folgen hier aufeinander. Die erste ist w. „das Männchen“, die zweite w. „die Tochter des Auges“. Entweder steht die „Tochter des Auges“ in Apposition zum „Männchen“ (also: „das Männchen, [d.h.] die Tochter des Auges“) oder in einem Constructus-verhältnis mit ihm (also der heb. Entsprechung des Genitivs: „das Männchen der Tochter des Auges“). Alle uns zugänglichen Auslegungen deuten als Apposition, aber es ist doch zu fragen, was der Mehrwert dieser Apposition sein soll, wenn doch beide Glieder sonst stets alleine stehen („Männchen (des Auges)“: Dnt 32,15; Spr 7,2; Sir 3,25; 17,22; „Tochter des Auges“: Klg 2,18; Sach 2,12). Vielleicht findet sich hier also ein schönes Bild: Die beiden Bezeichnungen rühren wohl daher, dass man sich als kleines „Männchen“ in der Pupille des Anderen spiegelt, wenn man ihm in die Augen sieht (Kimchi: „Es heißt ´ischon, weil man darin das Bild eines Menschen sieht.“). Dies war bereits in der Antike auffällig, vgl. Platon, Alkibiades 132e-133a („Hast du beobachtet, dass von dem, der in ein Auge blickt, das Gesicht im Auge gegenüber erscheint wie in einem Spiegel – wir nennen dies Pupille...?“); Plinius, Naturalis Historia XI 53 („So sehr gleicht das Auge einem Spiegel, dass, so klein die Pupille auch ist, sie das ganze Bild eines Menschen widergibt. Dies ist der Grund, warum die meisten Vögel in den Händen von Menschen am ehesten nach den Augen picken, weil sie ihr Bild in ihnen erkennen.“; Stellen nach Hunziker-Rodewald 2009b, S. 138). Hierauf spielt wohl das „Behüten wie jmds Augenmännlein/-mädchen“ (Dtn 32,15; Spr 7,2; Sir 17,22; ähnlich Sach 2,12) an: Nicht, dass man jmdn/etw. so behüten soll wie etwas sehr Verletzliches (Thomas von Aquin: „Die Pupille des Auges wird mit Sorgfalt bewacht, weil nichts, das sie verletzten könnte, erlaubt ist, sich ihr zu nähern.“), sondern so aufmerksam, dass man ihm mit dem Gesicht so nahe ist, dass der/das Behütete sich im Auge des Hüteres widerspiegelt (ebd., S. 140: „Garde-moi comme [...] une image pupilline!“). Deuten wir, weil wie gesagt der Mehrwert der Apposition „wie ein Männchen, eine Tochter des Auges“ nicht einzusehen ist, die Fügung als Constructus-verbindung, geht diese Abwandlung des Bildes vielleicht sogar noch einen Schritt weiter: Gott soll den Beter nicht nur so sehr behüten, dass sich dessen Bild in seinen Augen widerspiegelt, sondern sogar so sehr, dass dieses Spiegelbild sozusagen der „Angetraute“ seiner Pupille ist: „Lass mich das Augenmännlein deines Augenmädchens sein!“, „Erbaue meinem Bild ein Heim in deinem Auge!“</w:t>
      </w:r>
    </w:p>
  </w:footnote>
  <w:footnote w:id="805">
    <w:p>
      <w:pPr>
        <w:pStyle w:val="Funote"/>
        <w:rPr/>
      </w:pPr>
      <w:r>
        <w:rPr>
          <w:rStyle w:val="Funotenzeichen"/>
        </w:rPr>
        <w:footnoteRef/>
      </w:r>
      <w:r>
        <w:rPr/>
        <w:tab/>
        <w:t>mini|x200px|rechts|Köng Chephren wird schützend von einem Horusfalken beschattet. (c) IPIAO I 120Eine weitere schöne Kompositmetapher. Sowohl der „Schatten“ als auch die „Flügel“ allein können als Metaphern für das schützende und heilsame Handeln Gottes stehen (s. Ps 121,5f und Ps 61,5; 91,4). Im Ausdruck „Schatten der Flügel“ (hier; Ps 36,8; 57,2; 63,8) werden beide Bilder kombiniert. Übrigens legt Ps 91,4 nahe, dass bei diesem Bild weniger an einen Adler oder Falken zu denken ist, der schützend über jemandem schwebt (wie öfter in Ägypten, s. rechts und vgl. entfernt Jes 31,5, wo jedoch Vögelchen fliegen und nicht Adlern beschirmen), sondern an eine Henne, die ihre Küken unter ihren Flügeln birgt (s. Mt 23,37).Eine schöne geistliche Auslegung stammt von Thomas von Aquin: „Die beiden Flügel sind die beiden Arme, die Christus am Kreuz ausbreitete, s. Dtn 32: ‚Er breitete seine Flügel aus, nahm sie auf und trug sie auf seinen Schultern‘.“</w:t>
      </w:r>
    </w:p>
  </w:footnote>
  <w:footnote w:id="806">
    <w:p>
      <w:pPr>
        <w:pStyle w:val="Funote"/>
        <w:rPr/>
      </w:pPr>
      <w:r>
        <w:rPr>
          <w:rStyle w:val="Funotenzeichen"/>
        </w:rPr>
        <w:footnoteRef/>
      </w:r>
      <w:r>
        <w:rPr/>
        <w:tab/>
        <w:t>{wollen} - T-Shift: Heb. Stilmittel, das sich nicht ins Dt. übersetzen lässt. In Z. 1 wird das „Tempus“ Qatal verwendet, in Z. 2 dagegen Yiqtol, womit für gewöhnlich die Zukunft oder Modalität markiert wird. Hier ist der Tempuswechsel aber bedeutungslos und rein stilistisch.</w:t>
      </w:r>
    </w:p>
  </w:footnote>
  <w:footnote w:id="807">
    <w:p>
      <w:pPr>
        <w:pStyle w:val="Funote"/>
        <w:rPr/>
      </w:pPr>
      <w:r>
        <w:rPr>
          <w:rStyle w:val="Funotenzeichen"/>
        </w:rPr>
        <w:footnoteRef/>
      </w:r>
      <w:r>
        <w:rPr/>
        <w:tab/>
        <w:t>Textkritik: [Mit] Fett verschließen sie [ihr Herz] - Heb. chlbmw sgrw, „Ihr Fett verschließen sie“, weshalb einige jüdische Ausleger den „Mund“ aus Z. 2 noch zu Z. 1 ziehen: „Mit Fett verschließen sie ihren Mund [so dass sie nur noch stolz daherreden können]“. Lies aber besser mit vielen Exegeten und allen dt. Üss. in Orientierung an Ps 119,70 (vgl. auch Jes 6,10) und an 1 Joh 3,17 chlb lbmw sgrw.Fett zu sein ist in der Bibel häufig sehr negativ konnotiert: „Fette Menschen“ glauben, Gott nicht mehr nötig zu haben, und wenden sich anderen Göttern zu (Dtn 31,20; 31,15; Ijob 15,25-27; Hos 13,6) oder sind allgemein bösartig (Ps 119,70; Jer 5,28) und hybrid (Ps 73,6-8), was auch hier aus Z. 2 spricht. Frei und sehr richtig FENZ: „Steine in der Brust statt Herzen / und den blanken Hohn im Munde...“</w:t>
      </w:r>
    </w:p>
  </w:footnote>
  <w:footnote w:id="808">
    <w:p>
      <w:pPr>
        <w:pStyle w:val="Funote"/>
        <w:rPr/>
      </w:pPr>
      <w:r>
        <w:rPr>
          <w:rStyle w:val="Funotenzeichen"/>
        </w:rPr>
        <w:footnoteRef/>
      </w:r>
      <w:r>
        <w:rPr/>
        <w:tab/>
        <w:t>ihrem Mund - Wortspiel: „ihr Mund“ ist im Heb. pimo und klingt damit sehr ähnlich wie das Wort für „Speck“, pimah (s. Ijob 15,27).</w:t>
      </w:r>
    </w:p>
  </w:footnote>
  <w:footnote w:id="809">
    <w:p>
      <w:pPr>
        <w:pStyle w:val="Funote"/>
        <w:rPr/>
      </w:pPr>
      <w:r>
        <w:rPr>
          <w:rStyle w:val="Funotenzeichen"/>
        </w:rPr>
        <w:footnoteRef/>
      </w:r>
      <w:r>
        <w:rPr/>
        <w:tab/>
        <w:t>Textkritik: Sie verfolgen mich (unsere Schritte, sie warfen mich hinaus, sie tadelten mich) - MT hat ´aschurenu („unsere Schritte“); ähnlich Tg. Eine MT-Handschrift hat aber ´aschruni; Syr, Sym („sie priesen mich“) und Hier („sie marschierten wider mich“) lasen ´ischruni, 11QPsc, LXX und VUL („sie warfen mich hinaus“) ´aschduni; dass das ursprüngliche Wort auf -uni endete, ist also recht sicher. ´aschduni wäre aramäisch; vorzuziehen ist daher klar ´ischruni (vgl. ähnlich Jes 1,17). So auch BB, GN, NL, ZÜR; die meisten Üss. folgen aber MT („Auf Schritt und Tritt haben sie mich umzingelt“).</w:t>
      </w:r>
    </w:p>
  </w:footnote>
  <w:footnote w:id="810">
    <w:p>
      <w:pPr>
        <w:pStyle w:val="Funote"/>
        <w:rPr/>
      </w:pPr>
      <w:r>
        <w:rPr>
          <w:rStyle w:val="Funotenzeichen"/>
        </w:rPr>
        <w:footnoteRef/>
      </w:r>
      <w:r>
        <w:rPr/>
        <w:tab/>
        <w:t>Textkritik: Sie sinnen gegen mich (sein Aussehen ist wie das eines) - Heb. dimjono („Sein Aussehen“). Lies wohl mit BHS; Graetz 1893, S. 28; Nötscher 1959, S. 40 und ähnlich Driver 1942, S. 152 dimmuni, „sie sinnen gegen mich“ (vgl. 2 Sam 21,5). Das Wort im MT findet sich nur noch in Sir 3,24 („Einbildung“) und 1QM 6,13 („Aussehen“); wird hier aber i.d.R. für ein Synonym von demut („Ähnlichkeit“) gehalten. Dass ein Wort bei drei Belegen drei verschiedene Bedeutungen haben soll, muss ohnehin misstrauisch machen; misstrauisch macht außerdem, dass LXX, Syr und VUL ein Verb lasen (LXX und VUL: auf -uni) und Tg nicht dimjon widergibt, sd. gerade dessen hypothetisches Synonym demut. Misstrauisch macht auch der Numeruswechsel vom Plural „sie“ und „ihre“ in V. 11 zum Sg. „sein“ in V. 12, obwohl sich dies als N-Shift erklären ließe. Misstrauisch macht schließlich, dass bei vergleichbaren „pleonastischen Ausdrücken der Vergleichbarkeit“ (Jenni 1997d) die Vergleichspartikel nicht wie hier vor dem Vergeichswort steht, sondern vor dem „Synonym“ demut (s. Gen 1,26; Ps 58,58; Dan 10,6).</w:t>
      </w:r>
    </w:p>
  </w:footnote>
  <w:footnote w:id="811">
    <w:p>
      <w:pPr>
        <w:pStyle w:val="Funote"/>
        <w:rPr/>
      </w:pPr>
      <w:r>
        <w:rPr>
          <w:rStyle w:val="Funotenzeichen"/>
        </w:rPr>
        <w:footnoteRef/>
      </w:r>
      <w:r>
        <w:rPr/>
        <w:tab/>
        <w:t>Toten (Männern) - Zum Sinn d. Verses s. die Anmerkungen. Beide Wörter können hier gelesen werden, da sie ursprünglich gleich geschrieben wurden und nur unterschiedlich zu vokalisieren waren: mimetim vs. mimetim. Entgegen der starken Mehrheit wurde hier mit Bonkamp 1949, S. 101 die Deutung „Tote“ gewählt, weil nur so die Rede vom „Teil im Leben“ in 14c und von der „Dauer“ in 14b (was eigentlich nicht „Welt [im Ggs. zu Gott]“ bedeutet) gut erklärbar ist und der Vers so übersetzt eine sehr nahe Parallele in Ps 109,13f. hat.Entscheidet man sich für die Bedeutung „Männer“, muss man anders auflösen; am sinnvollsten: „Rette meine Seele vor dem Frevler [durch] dein Schwert, vor Männern [durch] deine Hand, vor Männern, deren Teil im Leben ohne Dauer/aus der Welt (im Gegensatz zu ‚von Gott‘) [ist].“ So fast alle dt. Üss (PAT und StierPs nehmen unnötige Änderungen am Text vor). Die Deutung als „Tote“ findet sich heute nur noch sehr selten, war früher aber sogar wesentlich geläufiger als die Deutung „Männer“. Die (mittelalterliche!) Vokalisierung des MT deutet zwar als Männer und es findet sich diese Deutung schon in einigen LXX-Handschriften und dem folgend in VUL, der wesentlich ältere heb. Text in 11QPsc „vokalisiert“ dagegen als „Tote“ und diese Deutung findet sich auch in Tg, Syr, Sym, Aq und einigen VL-Versionen. Auch Hieronymus wählt für das erste Wort die Deutung „Männer“, für das zweite aber wieder „Tote“, und für beide Wörter ist diese Deutung auch belegt in b.Ber 61b, bei Chanina ben Pappa (vgl. Bacher 1896, S. 524) und bei Raschi.</w:t>
      </w:r>
    </w:p>
  </w:footnote>
  <w:footnote w:id="812">
    <w:p>
      <w:pPr>
        <w:pStyle w:val="Funote"/>
        <w:rPr/>
      </w:pPr>
      <w:r>
        <w:rPr>
          <w:rStyle w:val="Funotenzeichen"/>
        </w:rPr>
        <w:footnoteRef/>
      </w:r>
      <w:r>
        <w:rPr/>
        <w:tab/>
        <w:t>Teil ist urspr. das ererbte Land, das einer Familie nach bibl. Vorstellung durch das Schicksal zugefallen ist (vgl. Jos 13 und Jos 14,2; z.B. auch Ri 18,1); übertragen dann auch vom Schicksal eines Menschen, das bes. hier als (auch) ererbtes Schicksal vorgestellt ist.</w:t>
      </w:r>
    </w:p>
  </w:footnote>
  <w:footnote w:id="813">
    <w:p>
      <w:pPr>
        <w:pStyle w:val="Funote"/>
        <w:rPr/>
      </w:pPr>
      <w:r>
        <w:rPr>
          <w:rStyle w:val="Funotenzeichen"/>
        </w:rPr>
        <w:footnoteRef/>
      </w:r>
      <w:r>
        <w:rPr/>
        <w:tab/>
        <w:t>[Mit] deinem Aufgesparten - Zur Vorstellung vgl. Ijob 21,17-19; Ps 31,20; Spr 2,7; 13,22; Hos 13,12; auch Ijob 20,26: Gott vergilt jedem Menschen nach seinen Werken. Doch nicht immer sogleich; manchmal spart er dieses Entgelt auch auf, um es irgendwann auf einen Schwung loszulassen. So erst recht hier: Was Gott für die Frevler aufgespart hat, sammelt sich schon seit der Zeit ihrer Eltern in seinen Schatzkammern an. Es ist also nichts Gutes, womit Gott hier die Bäuche der Frevler füllen soll, wie das einige Üss. deuten.</w:t>
      </w:r>
    </w:p>
  </w:footnote>
  <w:footnote w:id="814">
    <w:p>
      <w:pPr>
        <w:pStyle w:val="Funote"/>
        <w:rPr/>
      </w:pPr>
      <w:r>
        <w:rPr>
          <w:rStyle w:val="Funotenzeichen"/>
        </w:rPr>
        <w:footnoteRef/>
      </w:r>
      <w:r>
        <w:rPr/>
        <w:tab/>
        <w:t>durch Gerechtigkeit - Auf V. 15 basiert eine der Vorschriften im Schulchan Aruch, einer sehr wichtigen jüdischen Gesetzessammlung. Im Talmud (b.B.B. 10a) wird das „als Gerechter“ gedeutet als „durch Wohltätigkeit“; darauf aufbauend führt R. Dostai aus: „Kommt und seht, dass der Heilige, gelobt sei er!, nicht aus Fleisch und Blut ist. Bringt ein Mensch [aus Fleisch und Blut] einem König ein Geschenk, ist es unsicher, ob dieser es annehmen oder abweisen wird. Und selbst, wenn er es annimmt, ist unsicher, ob er dann das Gesicht des Königs sehen wird oder nicht. Der Heilige jedoch, gelobt sei er!, handelt anders. Gibt ein Mensch einem Armen auch nur eine Peruta[, einen kleinen Geldbetrag], ist sein Gewinn der Empfang der göttlichen Gegenwart, wie es heißt in Psalm 17,15: Ich aber werde dein Gesicht durch Wohltätigkeit schauen...“, woraus dann im Schulchan Aruch abgeleitet wird: „Es ist gut, vor dem Beten Almosen zu geben, denn es heißt: ‚Ich werde durch Wohltätigkeit dein Gesicht sehen‘.“ (12,2).</w:t>
      </w:r>
    </w:p>
  </w:footnote>
  <w:footnote w:id="815">
    <w:p>
      <w:pPr>
        <w:pStyle w:val="Funote"/>
        <w:rPr/>
      </w:pPr>
      <w:r>
        <w:rPr>
          <w:rStyle w:val="Funotenzeichen"/>
        </w:rPr>
        <w:footnoteRef/>
      </w:r>
      <w:r>
        <w:rPr/>
        <w:tab/>
        <w:t>beim Aufwachen meint wohl „bei meinem Erwachen“; dass mit Gottes Heilshandeln die neue, heilvolle Zeit mit dem nächsten Morgen anbricht, findet sich häufig in der Bibel (s. Ps 30,6; 46,6; 90,14; 143,8; Klg 3,22f.; Zef 3,5 und vgl. z.St. Lindblom 1943, S. 12f.). Alternativ könnte aber auch von Gottes Erwachen die Rede sein: Gelegentlich ist bes. in den Psalmen davon die Rede, dass Gott „schläft“ (s. Ps 7,7; 35,23; Ps 44,24 und vgl. Schlaf (WiBiLex)), deshalb kurzzeitig untätig ist, nach dem Erwachen aber wieder heilvoll am Beter handeln wird. Gerade, weil diese Vorstellung sehr gut zur Rede vom „Aufgesparten“ in V. 14 passt, ist diese Möglichkeit durchaus erwägenswert, wird aber nur sehr selten vertreten. Sicher nicht gemeint ist eine kultische Theophanie: Wäre davon die Rede, dass der Beter im Schlaf Gott selbst geschaut hätte, wäre die Zeitangabe „beim Erwachen“ falsch und ein Götterbild hätte er ja auch beim Einschlafen gesehen, wenn denn wirklich die Möglichkeit bestanden haben sollte, sich im Tempelbezirk schlafen zu legen.Ursprünglich sehr wahrscheinlich nicht gemeint ist die „Auferstehung“, viele alte Ausleger deuten das Wort aber daraufhin aus, z.B. Saadja, Raschi, Kimchi.</w:t>
      </w:r>
    </w:p>
  </w:footnote>
  <w:footnote w:id="816">
    <w:p>
      <w:pPr>
        <w:pStyle w:val="Funote"/>
        <w:rPr/>
      </w:pPr>
      <w:r>
        <w:rPr>
          <w:rStyle w:val="Funotenzeichen"/>
        </w:rPr>
        <w:footnoteRef/>
      </w:r>
      <w:r>
        <w:rPr/>
        <w:tab/>
        <w:t>Zu diesem V. siehe die Anmerkungen.</w:t>
      </w:r>
    </w:p>
  </w:footnote>
  <w:footnote w:id="817">
    <w:p>
      <w:pPr>
        <w:pStyle w:val="Funote"/>
        <w:rPr/>
      </w:pPr>
      <w:r>
        <w:rPr>
          <w:rStyle w:val="Funotenzeichen"/>
        </w:rPr>
        <w:footnoteRef/>
      </w:r>
      <w:r>
        <w:rPr/>
        <w:tab/>
        <w:t>[Status: Zuverlässig]</w:t>
      </w:r>
    </w:p>
  </w:footnote>
  <w:footnote w:id="818">
    <w:p>
      <w:pPr>
        <w:pStyle w:val="Funote"/>
        <w:rPr/>
      </w:pPr>
      <w:r>
        <w:rPr>
          <w:rStyle w:val="Funotenzeichen"/>
        </w:rPr>
        <w:footnoteRef/>
      </w:r>
      <w:r>
        <w:rPr/>
        <w:tab/>
        <w:t>Textkritik: Der Text von Ps 18 findet sich in etwas anderer Form noch mal in 2 Sam 22. Die Textkritik beider Texte ist daher sehr komplex und wurde daher ausgelagert auf die Seite 2 Sam 22, Ps 18 und die Textkritik des Alten Testaments.</w:t>
      </w:r>
    </w:p>
  </w:footnote>
  <w:footnote w:id="819">
    <w:p>
      <w:pPr>
        <w:pStyle w:val="Funote"/>
        <w:rPr/>
      </w:pPr>
      <w:r>
        <w:rPr>
          <w:rStyle w:val="Funotenzeichen"/>
        </w:rPr>
        <w:footnoteRef/>
      </w:r>
      <w:r>
        <w:rPr/>
        <w:tab/>
        <w:t>werden mich erschrecken - d.h. »erschreckten mich«, ein bedeutungsloser T-Shift.</w:t>
      </w:r>
    </w:p>
  </w:footnote>
  <w:footnote w:id="820">
    <w:p>
      <w:pPr>
        <w:pStyle w:val="Funote"/>
        <w:rPr/>
      </w:pPr>
      <w:r>
        <w:rPr>
          <w:rStyle w:val="Funotenzeichen"/>
        </w:rPr>
        <w:footnoteRef/>
      </w:r>
      <w:r>
        <w:rPr/>
        <w:tab/>
        <w:t>Scheol - Heb. Bezeichnung der Unterwelt; nicht identisch mit der christlichen »Hölle«. Die Metapher, dass der Scheol fast personal vorzustellen ist und jemanden gefangen nimmt, findet sich häufiger in der Bibel (z.B. Num 16,33f.; Ps 69,16).</w:t>
      </w:r>
    </w:p>
  </w:footnote>
  <w:footnote w:id="821">
    <w:p>
      <w:pPr>
        <w:pStyle w:val="Funote"/>
        <w:rPr/>
      </w:pPr>
      <w:r>
        <w:rPr>
          <w:rStyle w:val="Funotenzeichen"/>
        </w:rPr>
        <w:footnoteRef/>
      </w:r>
      <w:r>
        <w:rPr/>
        <w:tab/>
        <w:t>Pfeiler der Berge - gemeint sind also wohl ebenso wie in Dtn 32,22 (wo von unten nach oben aufgezählt wird: Der unterste Scheol - die Erde - die Pfeiler der Berge) die Berge selbst, da nach altorientalischer Vorstellung auf diesen als Pfeilern der Himmel ruhte: »Die Pfeiler, die die Berge sind«. Die »Pfeiler der Berge« wären demnach identisch mit den »Pfeilern des Himmels« in 2 Sam 22,8.</w:t>
      </w:r>
    </w:p>
  </w:footnote>
  <w:footnote w:id="822">
    <w:p>
      <w:pPr>
        <w:pStyle w:val="Funote"/>
        <w:rPr/>
      </w:pPr>
      <w:r>
        <w:rPr>
          <w:rStyle w:val="Funotenzeichen"/>
        </w:rPr>
        <w:footnoteRef/>
      </w:r>
      <w:r>
        <w:rPr/>
        <w:tab/>
        <w:t>öffnete den Himmel - Der Himmel wird hier wie noch öfter vorgestellt als festes Gebilde, das sich öffnen lässt (z.B., um durch die Öffnung die Sintflut auf die Erde zu schicken, Gen 7,11).</w:t>
      </w:r>
    </w:p>
  </w:footnote>
  <w:footnote w:id="823">
    <w:p>
      <w:pPr>
        <w:pStyle w:val="Funote"/>
        <w:rPr/>
      </w:pPr>
      <w:r>
        <w:rPr>
          <w:rStyle w:val="Funotenzeichen"/>
        </w:rPr>
        <w:footnoteRef/>
      </w:r>
      <w:r>
        <w:rPr/>
        <w:tab/>
        <w:t>Kerub - altorientalisches Fabelwesen; meist dargestellt als geflügelter Löwe. S. näher Keruben / Kerubenthroner (WiBiLex). Im Alten Orient wurden die vier Winde (die den vier Himmelsrichtungen entsprechen) häufiger identifiziert mit oder personifiziert als geflügelte Wesen (s. zu Mk 13,27). Das scheint auch hier der Fall zu sein; s. die folgende Zeile.</w:t>
      </w:r>
    </w:p>
  </w:footnote>
  <w:footnote w:id="824">
    <w:p>
      <w:pPr>
        <w:pStyle w:val="Funote"/>
        <w:rPr/>
      </w:pPr>
      <w:r>
        <w:rPr>
          <w:rStyle w:val="Funotenzeichen"/>
        </w:rPr>
        <w:footnoteRef/>
      </w:r>
      <w:r>
        <w:rPr/>
        <w:tab/>
        <w:t>tFN: wird geben - d.h. »gab«, ein bedeutungsloser T-Shift</w:t>
      </w:r>
    </w:p>
  </w:footnote>
  <w:footnote w:id="825">
    <w:p>
      <w:pPr>
        <w:pStyle w:val="Funote"/>
        <w:rPr/>
      </w:pPr>
      <w:r>
        <w:rPr>
          <w:rStyle w:val="Funotenzeichen"/>
        </w:rPr>
        <w:footnoteRef/>
      </w:r>
      <w:r>
        <w:rPr/>
        <w:tab/>
        <w:t>Einen Blitz verwirrte er - d.h. wahrscheinlich: Er gab ihm das wilde Zickzack, das für Blitze so charakteristisch ist.</w:t>
      </w:r>
    </w:p>
  </w:footnote>
  <w:footnote w:id="826">
    <w:p>
      <w:pPr>
        <w:pStyle w:val="Funote"/>
        <w:rPr/>
      </w:pPr>
      <w:r>
        <w:rPr>
          <w:rStyle w:val="Funotenzeichen"/>
        </w:rPr>
        <w:footnoteRef/>
      </w:r>
      <w:r>
        <w:rPr/>
        <w:tab/>
        <w:t>tFN: werden bloßgelegt werden - d.h. »es wurden bloßgelegt«, ein bedeutungsloser T-Shift.</w:t>
      </w:r>
    </w:p>
  </w:footnote>
  <w:footnote w:id="827">
    <w:p>
      <w:pPr>
        <w:pStyle w:val="Funote"/>
        <w:rPr/>
      </w:pPr>
      <w:r>
        <w:rPr>
          <w:rStyle w:val="Funotenzeichen"/>
        </w:rPr>
        <w:footnoteRef/>
      </w:r>
      <w:r>
        <w:rPr/>
        <w:tab/>
        <w:t>Fundamente der Erde - die Pfeiler, auf denen nach dem altorientalischen Weltbild die Erde über dem Mehr ruhte.</w:t>
      </w:r>
    </w:p>
  </w:footnote>
  <w:footnote w:id="828">
    <w:p>
      <w:pPr>
        <w:pStyle w:val="Funote"/>
        <w:rPr/>
      </w:pPr>
      <w:r>
        <w:rPr>
          <w:rStyle w:val="Funotenzeichen"/>
        </w:rPr>
        <w:footnoteRef/>
      </w:r>
      <w:r>
        <w:rPr/>
        <w:tab/>
        <w:t>Er möge senden aus der Höhe - nämlich seine Hand, die er helfend herunterreichen möge. Das Objekt wird hier wie in 2 Sam 6,6 ausgespart.</w:t>
      </w:r>
    </w:p>
  </w:footnote>
  <w:footnote w:id="829">
    <w:p>
      <w:pPr>
        <w:pStyle w:val="Funote"/>
        <w:rPr/>
      </w:pPr>
      <w:r>
        <w:rPr>
          <w:rStyle w:val="Funotenzeichen"/>
        </w:rPr>
        <w:footnoteRef/>
      </w:r>
      <w:r>
        <w:rPr/>
        <w:tab/>
        <w:t>Wassern - Wie häufig wird hier die Not metaphorisch dargestellt als Wasserflut, in der der Beter zu ertrinken droht.</w:t>
      </w:r>
    </w:p>
  </w:footnote>
  <w:footnote w:id="830">
    <w:p>
      <w:pPr>
        <w:pStyle w:val="Funote"/>
        <w:rPr/>
      </w:pPr>
      <w:r>
        <w:rPr>
          <w:rStyle w:val="Funotenzeichen"/>
        </w:rPr>
        <w:footnoteRef/>
      </w:r>
      <w:r>
        <w:rPr/>
        <w:tab/>
        <w:t>böse handeln von - das »von« ist im Heb. ebenso merkwürdig wie im Dt. Offenbar heißt das Verb hier ausnahmsweise nicht »böse handeln«, sondern speziell »durch böse Handlungen abfallen«, daher z.B. MÜN: »Ich bin nicht frevelhaft von meinem Gott gewichen«.</w:t>
      </w:r>
    </w:p>
  </w:footnote>
  <w:footnote w:id="831">
    <w:p>
      <w:pPr>
        <w:pStyle w:val="Funote"/>
        <w:rPr/>
      </w:pPr>
      <w:r>
        <w:rPr>
          <w:rStyle w:val="Funotenzeichen"/>
        </w:rPr>
        <w:footnoteRef/>
      </w:r>
      <w:r>
        <w:rPr/>
        <w:tab/>
        <w:t>waren vor mir - d.h., ich hielt sie mir beständig vor Augen und wich daher nicht von ihnen ab.</w:t>
      </w:r>
    </w:p>
  </w:footnote>
  <w:footnote w:id="832">
    <w:p>
      <w:pPr>
        <w:pStyle w:val="Funote"/>
        <w:rPr/>
      </w:pPr>
      <w:r>
        <w:rPr>
          <w:rStyle w:val="Funotenzeichen"/>
        </w:rPr>
        <w:footnoteRef/>
      </w:r>
      <w:r>
        <w:rPr/>
        <w:tab/>
        <w:t>tFN: stärken - wenichat wurde hier nach Good 1985; Görg 1986 in Orientierung am äg. nḫt (»stark sein, jmdn stärken«, vgl. Erman/Grapow II 314f.) und einem evtl. ug. Kognat nḥt (»stark sein, jmdn stärken«, vgl. del Olmo Lete/Sanmartín 628) abgeleitet von nachat II (»stark sein, jmdn stärken«; vgl. DCH V 671; Ges18 808). So übersetzen bereits Tg und Syr; vgl. auch beide Vrs. zu Jes 30,30. Zur in diesem V. schwierigen Textkritik s. 2 Sam 22, Ps 18 und die Textkritik des Alten Testaments.</w:t>
      </w:r>
    </w:p>
  </w:footnote>
  <w:footnote w:id="833">
    <w:p>
      <w:pPr>
        <w:pStyle w:val="Funote"/>
        <w:rPr/>
      </w:pPr>
      <w:r>
        <w:rPr>
          <w:rStyle w:val="Funotenzeichen"/>
        </w:rPr>
        <w:footnoteRef/>
      </w:r>
      <w:r>
        <w:rPr/>
        <w:tab/>
        <w:t>du gabst mir ihren Rücken - d.h., du machtest, dass sie vor mir flohen.</w:t>
      </w:r>
    </w:p>
  </w:footnote>
  <w:footnote w:id="834">
    <w:p>
      <w:pPr>
        <w:pStyle w:val="Funote"/>
        <w:rPr/>
      </w:pPr>
      <w:r>
        <w:rPr>
          <w:rStyle w:val="Funotenzeichen"/>
        </w:rPr>
        <w:footnoteRef/>
      </w:r>
      <w:r>
        <w:rPr/>
        <w:tab/>
        <w:t>Sie werden schreien ... / Zu JHWH - Zwei Stilmittel in einer Doppelzeile: Hyperbaton (Umstellung der gewöhnlichen Wortfolge) + Break up (Aufteilung eines häufigen Ausdrucks wie »Sie werden zu JHWH schreien«) auf zwei Zeilen. Hier auch noch gepaart mit dem T-Shift beim folgenden Verb; schon in der Formulierung des Verses kommt das Chaos zum Ausdruck, in das die Macht des Sprechers und die Hilfeverweigerung JHWHs die Feinde stürzt.</w:t>
      </w:r>
    </w:p>
  </w:footnote>
  <w:footnote w:id="835">
    <w:p>
      <w:pPr>
        <w:pStyle w:val="Funote"/>
        <w:rPr/>
      </w:pPr>
      <w:r>
        <w:rPr>
          <w:rStyle w:val="Funotenzeichen"/>
        </w:rPr>
        <w:footnoteRef/>
      </w:r>
      <w:r>
        <w:rPr/>
        <w:tab/>
        <w:t>tFN: er antwortete ihnen nicht - d.h. »er wird ihnen nicht antworten«, ein bedeutungsloser T-Shift.</w:t>
      </w:r>
    </w:p>
  </w:footnote>
  <w:footnote w:id="836">
    <w:p>
      <w:pPr>
        <w:pStyle w:val="Funote"/>
        <w:rPr/>
      </w:pPr>
      <w:r>
        <w:rPr>
          <w:rStyle w:val="Funotenzeichen"/>
        </w:rPr>
        <w:footnoteRef/>
      </w:r>
      <w:r>
        <w:rPr/>
        <w:tab/>
        <w:t>[Status: Zuverlässig]</w:t>
      </w:r>
    </w:p>
  </w:footnote>
  <w:footnote w:id="837">
    <w:p>
      <w:pPr>
        <w:pStyle w:val="Funote"/>
        <w:rPr/>
      </w:pPr>
      <w:r>
        <w:rPr>
          <w:rStyle w:val="Funotenzeichen"/>
        </w:rPr>
        <w:footnoteRef/>
      </w:r>
      <w:r>
        <w:rPr/>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838">
    <w:p>
      <w:pPr>
        <w:pStyle w:val="Funote"/>
        <w:rPr/>
      </w:pPr>
      <w:r>
        <w:rPr>
          <w:rStyle w:val="Funotenzeichen"/>
        </w:rPr>
        <w:footnoteRef/>
      </w:r>
      <w:r>
        <w:rPr/>
        <w:tab/>
        <w:t>verkünden - heb. safar; v.a in den Psalmen wird dieses Verb bes. dann verwendet, wenn jemand von großen Taten Gottes berichtet (vgl. THAT II, S. 168): Der Himmel wird hier vorgestellt als ein Prediger.</w:t>
      </w:r>
    </w:p>
  </w:footnote>
  <w:footnote w:id="839">
    <w:p>
      <w:pPr>
        <w:pStyle w:val="Funote"/>
        <w:rPr/>
      </w:pPr>
      <w:r>
        <w:rPr>
          <w:rStyle w:val="Funotenzeichen"/>
        </w:rPr>
        <w:footnoteRef/>
      </w:r>
      <w:r>
        <w:rPr/>
        <w:tab/>
        <w:t>Himmel ist im Hebräischen ein Pluralwort; damit erklärt sich der Plural „Die Himmel“, der in vielen Übersetzungen zu finden ist. Ins Deutsche muss mit Singular übertragen werden.</w:t>
      </w:r>
    </w:p>
  </w:footnote>
  <w:footnote w:id="840">
    <w:p>
      <w:pPr>
        <w:pStyle w:val="Funote"/>
        <w:rPr/>
      </w:pPr>
      <w:r>
        <w:rPr>
          <w:rStyle w:val="Funotenzeichen"/>
        </w:rPr>
        <w:footnoteRef/>
      </w:r>
      <w:r>
        <w:rPr/>
        <w:tab/>
        <w:t>Zur Vorstellung der „Herrlichkeit“ s. die Anmerkungen.</w:t>
      </w:r>
    </w:p>
  </w:footnote>
  <w:footnote w:id="841">
    <w:p>
      <w:pPr>
        <w:pStyle w:val="Funote"/>
        <w:rPr/>
      </w:pPr>
      <w:r>
        <w:rPr>
          <w:rStyle w:val="Funotenzeichen"/>
        </w:rPr>
        <w:footnoteRef/>
      </w:r>
      <w:r>
        <w:rPr/>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842">
    <w:p>
      <w:pPr>
        <w:pStyle w:val="Funote"/>
        <w:rPr/>
      </w:pPr>
      <w:r>
        <w:rPr>
          <w:rStyle w:val="Funotenzeichen"/>
        </w:rPr>
        <w:footnoteRef/>
      </w:r>
      <w:r>
        <w:rPr/>
        <w:tab/>
        <w:t>das Walten seiner Hände (sein Walten) + die Reden meines Mundes (mein Reden) + das sich-Äußern meines Herzens (mein sich-Äußern) + vor deinem Gesicht (vor dir)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Person.</w:t>
      </w:r>
    </w:p>
  </w:footnote>
  <w:footnote w:id="843">
    <w:p>
      <w:pPr>
        <w:pStyle w:val="Funote"/>
        <w:rPr/>
      </w:pPr>
      <w:r>
        <w:rPr>
          <w:rStyle w:val="Funotenzeichen"/>
        </w:rPr>
        <w:footnoteRef/>
      </w:r>
      <w:r>
        <w:rPr/>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844">
    <w:p>
      <w:pPr>
        <w:pStyle w:val="Funote"/>
        <w:rPr/>
      </w:pPr>
      <w:r>
        <w:rPr>
          <w:rStyle w:val="Funotenzeichen"/>
        </w:rPr>
        <w:footnoteRef/>
      </w:r>
      <w:r>
        <w:rPr/>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845">
    <w:p>
      <w:pPr>
        <w:pStyle w:val="Funote"/>
        <w:rPr/>
      </w:pPr>
      <w:r>
        <w:rPr>
          <w:rStyle w:val="Funotenzeichen"/>
        </w:rPr>
        <w:footnoteRef/>
      </w:r>
      <w:r>
        <w:rPr/>
        <w:tab/>
        <w:t>Tag für Tag äußert es (Ein Tag äußert gegenüber dem nächsten Tag) + Nacht für Nacht lehrt es (eine Nacht lehrt der nächsten Nacht)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 Theoretisch außerdem möglich: Verben in der 3. Pers. sing. mask. können im Hebräischen auch als impersonale Verben verwendet werden: „Man äußert“ (vgl. GKC §144d); die Struktur von Vv. 2-3 würde dann der z.B. von Ps 8,2 entprechen: „Auf der ganzen Erde wirst du verehrt, / im Himmel, da wirst du besungen!“ &lt;-&gt; hier: V. 2: Die Himmel verkünden Gott, V. 3: Auch auf der ganzen Erde spricht man über ihn. So aber m.W. bisher kein Exeget.</w:t>
      </w:r>
    </w:p>
  </w:footnote>
  <w:footnote w:id="846">
    <w:p>
      <w:pPr>
        <w:pStyle w:val="Funote"/>
        <w:rPr/>
      </w:pPr>
      <w:r>
        <w:rPr>
          <w:rStyle w:val="Funotenzeichen"/>
        </w:rPr>
        <w:footnoteRef/>
      </w:r>
      <w:r>
        <w:rPr/>
        <w:tab/>
        <w:t>eine Nacht lehrt [der nächsten] Nacht Kenntnis, Nacht für Nacht lehrt man Kenntnis? - s. FN i; diese beiden Alternativen sind unwahrscheinlich, aber möglich.</w:t>
      </w:r>
    </w:p>
  </w:footnote>
  <w:footnote w:id="847">
    <w:p>
      <w:pPr>
        <w:pStyle w:val="Funote"/>
        <w:rPr/>
      </w:pPr>
      <w:r>
        <w:rPr>
          <w:rStyle w:val="Funotenzeichen"/>
        </w:rPr>
        <w:footnoteRef/>
      </w:r>
      <w:r>
        <w:rPr/>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848">
    <w:p>
      <w:pPr>
        <w:pStyle w:val="Funote"/>
        <w:rPr/>
      </w:pPr>
      <w:r>
        <w:rPr>
          <w:rStyle w:val="Funotenzeichen"/>
        </w:rPr>
        <w:footnoteRef/>
      </w:r>
      <w:r>
        <w:rPr/>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849">
    <w:p>
      <w:pPr>
        <w:pStyle w:val="Funote"/>
        <w:rPr/>
      </w:pPr>
      <w:r>
        <w:rPr>
          <w:rStyle w:val="Funotenzeichen"/>
        </w:rPr>
        <w:footnoteRef/>
      </w:r>
      <w:r>
        <w:rPr/>
        <w:tab/>
        <w:t>[geht aus] - Brachylogie aus V. 5a.</w:t>
      </w:r>
    </w:p>
  </w:footnote>
  <w:footnote w:id="850">
    <w:p>
      <w:pPr>
        <w:pStyle w:val="Funote"/>
        <w:rPr/>
      </w:pPr>
      <w:r>
        <w:rPr>
          <w:rStyle w:val="Funotenzeichen"/>
        </w:rPr>
        <w:footnoteRef/>
      </w:r>
      <w:r>
        <w:rPr/>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851">
    <w:p>
      <w:pPr>
        <w:pStyle w:val="Funote"/>
        <w:rPr/>
      </w:pPr>
      <w:r>
        <w:rPr>
          <w:rStyle w:val="Funotenzeichen"/>
        </w:rPr>
        <w:footnoteRef/>
      </w:r>
      <w:r>
        <w:rPr/>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852">
    <w:p>
      <w:pPr>
        <w:pStyle w:val="Funote"/>
        <w:rPr/>
      </w:pPr>
      <w:r>
        <w:rPr>
          <w:rStyle w:val="Funotenzeichen"/>
        </w:rPr>
        <w:footnoteRef/>
      </w:r>
      <w:r>
        <w:rPr/>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 Zeile in die Reihe der Texte, die betonen, dass JHWH die Sonne geschaffen habe und ihr übergeordnet sei, um so die Sonne zu depotenzieren.</w:t>
      </w:r>
    </w:p>
  </w:footnote>
  <w:footnote w:id="853">
    <w:p>
      <w:pPr>
        <w:pStyle w:val="Funote"/>
        <w:rPr/>
      </w:pPr>
      <w:r>
        <w:rPr>
          <w:rStyle w:val="Funotenzeichen"/>
        </w:rPr>
        <w:footnoteRef/>
      </w:r>
      <w:r>
        <w:rPr/>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die Zeile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854">
    <w:p>
      <w:pPr>
        <w:pStyle w:val="Funote"/>
        <w:rPr/>
      </w:pPr>
      <w:r>
        <w:rPr>
          <w:rStyle w:val="Funotenzeichen"/>
        </w:rPr>
        <w:footnoteRef/>
      </w:r>
      <w:r>
        <w:rPr/>
        <w:tab/>
        <w:t>Brautzelt (Zelt) - Hierzu s. letzte FN.</w:t>
      </w:r>
    </w:p>
  </w:footnote>
  <w:footnote w:id="855">
    <w:p>
      <w:pPr>
        <w:pStyle w:val="Funote"/>
        <w:rPr/>
      </w:pPr>
      <w:r>
        <w:rPr>
          <w:rStyle w:val="Funotenzeichen"/>
        </w:rPr>
        <w:footnoteRef/>
      </w:r>
      <w:r>
        <w:rPr/>
        <w:tab/>
        <w:t>freut sich wie ein Held [darüber] (freut sich, wie ein Held [sich darüber freut]) - Wortspiel im Hebräischen: Ebenso, wie in der vorigen Zeile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856">
    <w:p>
      <w:pPr>
        <w:pStyle w:val="Funote"/>
        <w:rPr/>
      </w:pPr>
      <w:r>
        <w:rPr>
          <w:rStyle w:val="Funotenzeichen"/>
        </w:rPr>
        <w:footnoteRef/>
      </w:r>
      <w:r>
        <w:rPr/>
        <w:tab/>
        <w:t>Ende - der äußerste Ort der Welt, an dem der Himmel auf den „Pfeilern des Himmels“ aufruht (für eine schöne grafische Darstellung des hebräischen Weltbildes s. hier). Die Sonne beginnt ihre Reise entlang des Firmaments also am östlichen „Ende des Himmels“ und vollendet ihn am westlichen Ende.</w:t>
      </w:r>
    </w:p>
  </w:footnote>
  <w:footnote w:id="857">
    <w:p>
      <w:pPr>
        <w:pStyle w:val="Funote"/>
        <w:rPr/>
      </w:pPr>
      <w:r>
        <w:rPr>
          <w:rStyle w:val="Funotenzeichen"/>
        </w:rPr>
        <w:footnoteRef/>
      </w:r>
      <w:r>
        <w:rPr/>
        <w:tab/>
        <w:t>der Himmel - hierzu vgl. FN c.</w:t>
      </w:r>
    </w:p>
  </w:footnote>
  <w:footnote w:id="858">
    <w:p>
      <w:pPr>
        <w:pStyle w:val="Funote"/>
        <w:rPr/>
      </w:pPr>
      <w:r>
        <w:rPr>
          <w:rStyle w:val="Funotenzeichen"/>
        </w:rPr>
        <w:footnoteRef/>
      </w:r>
      <w:r>
        <w:rPr/>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859">
    <w:p>
      <w:pPr>
        <w:pStyle w:val="Funote"/>
        <w:rPr/>
      </w:pPr>
      <w:r>
        <w:rPr>
          <w:rStyle w:val="Funotenzeichen"/>
        </w:rPr>
        <w:footnoteRef/>
      </w:r>
      <w:r>
        <w:rPr/>
        <w:tab/>
        <w:t>Gesetz + Gebot + Weisungen + Satzung + Wort + Rechtssätze - In den Vv. 8-10 stehen fünf Begriffe, die alle in etwa die selbe Bedeutung haben. Programmatisch beginnt die Begriffsreihe mit torah jhwh,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 V. 8b ist die Rede vom edut JHWHs, was in der Bibel meist als terminus technicus für die 10 Gebote fungiert - die Übersetzung „Zeugnisse“, die sich häufig in Üss. findet, ist zwar möglich, hier aber unpassend. piqudim (V. 9a) als Ausdruck für die Anweisungen Gottes findet sich neben unserer Stelle nur in den späten Psalmen 103 (V. 18), Ps 111 (V. 7) und oft in Ps 119. Auffällig ist, dass das Wort oft zusammen mit derek („Weg“) steht und als etwas geschildert wird, dem man „folgen“ kann (s. Ps 119,15.27.45.104.110.128) und kontrastiert wird mit Lügen und Betrug (Ps 119,69.78.104) - die piqudim werden vorgestellt als eine Art „gute Wegbeschreibung“ (Ps 119,110.128!). Diese Vorstellung könnte auch hinter unserer Stelle stehen, denn die piqudim JHWHs sind jescharim, „richtig, eben, angenehm zu befolgen“. Will man diese Vorstellung auch in der Übersetzung herauskommen lassen, empfähle sich die Übersetzung „Weisungen“. Die „Satzung“ (9b) und die „Rechtssätze“ (10b) dürften selbsterklärend sein; erwähnenswert ist, dass auch sie meist als satzhafte Vorgaben aufzufassen sind. Zum „Wort JHWHs“ s. ad loc.</w:t>
      </w:r>
    </w:p>
  </w:footnote>
  <w:footnote w:id="860">
    <w:p>
      <w:pPr>
        <w:pStyle w:val="Funote"/>
        <w:rPr/>
      </w:pPr>
      <w:r>
        <w:rPr>
          <w:rStyle w:val="Funotenzeichen"/>
        </w:rPr>
        <w:footnoteRef/>
      </w:r>
      <w:r>
        <w:rPr/>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861">
    <w:p>
      <w:pPr>
        <w:pStyle w:val="Funote"/>
        <w:rPr/>
      </w:pPr>
      <w:r>
        <w:rPr>
          <w:rStyle w:val="Funotenzeichen"/>
        </w:rPr>
        <w:footnoteRef/>
      </w:r>
      <w:r>
        <w:rPr/>
        <w:tab/>
        <w:t>bringt zurück Lebenskraft (gibt neue Lebenskraft, bekehrt {die Seele})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862">
    <w:p>
      <w:pPr>
        <w:pStyle w:val="Funote"/>
        <w:rPr/>
      </w:pPr>
      <w:r>
        <w:rPr>
          <w:rStyle w:val="Funotenzeichen"/>
        </w:rPr>
        <w:footnoteRef/>
      </w:r>
      <w:r>
        <w:rPr/>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863">
    <w:p>
      <w:pPr>
        <w:pStyle w:val="Funote"/>
        <w:rPr/>
      </w:pPr>
      <w:r>
        <w:rPr>
          <w:rStyle w:val="Funotenzeichen"/>
        </w:rPr>
        <w:footnoteRef/>
      </w:r>
      <w:r>
        <w:rPr/>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864">
    <w:p>
      <w:pPr>
        <w:pStyle w:val="Funote"/>
        <w:rPr/>
      </w:pPr>
      <w:r>
        <w:rPr>
          <w:rStyle w:val="Funotenzeichen"/>
        </w:rPr>
        <w:footnoteRef/>
      </w:r>
      <w:r>
        <w:rPr/>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865">
    <w:p>
      <w:pPr>
        <w:pStyle w:val="Funote"/>
        <w:rPr/>
      </w:pPr>
      <w:r>
        <w:rPr>
          <w:rStyle w:val="Funotenzeichen"/>
        </w:rPr>
        <w:footnoteRef/>
      </w:r>
      <w:r>
        <w:rPr/>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866">
    <w:p>
      <w:pPr>
        <w:pStyle w:val="Funote"/>
        <w:rPr/>
      </w:pPr>
      <w:r>
        <w:rPr>
          <w:rStyle w:val="Funotenzeichen"/>
        </w:rPr>
        <w:footnoteRef/>
      </w:r>
      <w:r>
        <w:rPr/>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867">
    <w:p>
      <w:pPr>
        <w:pStyle w:val="Funote"/>
        <w:rPr/>
      </w:pPr>
      <w:r>
        <w:rPr>
          <w:rStyle w:val="Funotenzeichen"/>
        </w:rPr>
        <w:footnoteRef/>
      </w:r>
      <w:r>
        <w:rPr/>
        <w:tab/>
        <w:t>Wahrheit (wahr) - Subst. verwendet als Adj. (häufig im Heb.); übersetze: „wahr“.</w:t>
      </w:r>
    </w:p>
  </w:footnote>
  <w:footnote w:id="868">
    <w:p>
      <w:pPr>
        <w:pStyle w:val="Funote"/>
        <w:rPr/>
      </w:pPr>
      <w:r>
        <w:rPr>
          <w:rStyle w:val="Funotenzeichen"/>
        </w:rPr>
        <w:footnoteRef/>
      </w:r>
      <w:r>
        <w:rPr/>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869">
    <w:p>
      <w:pPr>
        <w:pStyle w:val="Funote"/>
        <w:rPr/>
      </w:pPr>
      <w:r>
        <w:rPr>
          <w:rStyle w:val="Funotenzeichen"/>
        </w:rPr>
        <w:footnoteRef/>
      </w:r>
      <w:r>
        <w:rPr/>
        <w:tab/>
        <w:t>Honig des Honigs - Der Psalmist verwendet in Vv. 11cd drei verschiedene Wörter mit der Bedeutung »Honig«: »süßer als Honig 1, / ja, als Honig 2 des Honig 3´s«. Diese Konstruktion dient der Intensivierung der gesamten Aussage - ähnlich, wie im häufigen »der Himmel und der Himmel der Himmel« (Dtn 10,14; 8,27; 2Chr 2,5; 6,18)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870">
    <w:p>
      <w:pPr>
        <w:pStyle w:val="Funote"/>
        <w:rPr/>
      </w:pPr>
      <w:r>
        <w:rPr>
          <w:rStyle w:val="Funotenzeichen"/>
        </w:rPr>
        <w:footnoteRef/>
      </w:r>
      <w:r>
        <w:rPr/>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871">
    <w:p>
      <w:pPr>
        <w:pStyle w:val="Funote"/>
        <w:rPr/>
      </w:pPr>
      <w:r>
        <w:rPr>
          <w:rStyle w:val="Funotenzeichen"/>
        </w:rPr>
        <w:footnoteRef/>
      </w:r>
      <w:r>
        <w:rPr/>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872">
    <w:p>
      <w:pPr>
        <w:pStyle w:val="Funote"/>
        <w:rPr/>
      </w:pPr>
      <w:r>
        <w:rPr>
          <w:rStyle w:val="Funotenzeichen"/>
        </w:rPr>
        <w:footnoteRef/>
      </w:r>
      <w:r>
        <w:rPr/>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873">
    <w:p>
      <w:pPr>
        <w:pStyle w:val="Funote"/>
        <w:rPr/>
      </w:pPr>
      <w:r>
        <w:rPr>
          <w:rStyle w:val="Funotenzeichen"/>
        </w:rPr>
        <w:footnoteRef/>
      </w:r>
      <w:r>
        <w:rPr/>
        <w:tab/>
        <w:t>Oder: Die Zeile gibt den wörtlichen Inhalt der Warnung wieder: »Durch sie ... wird auch dein Sklave gewarnt: ‚In ihrer Befolgung liegt reichlich Lohn!‘«.</w:t>
      </w:r>
    </w:p>
  </w:footnote>
  <w:footnote w:id="874">
    <w:p>
      <w:pPr>
        <w:pStyle w:val="Funote"/>
        <w:rPr/>
      </w:pPr>
      <w:r>
        <w:rPr>
          <w:rStyle w:val="Funotenzeichen"/>
        </w:rPr>
        <w:footnoteRef/>
      </w:r>
      <w:r>
        <w:rPr/>
        <w:tab/>
        <w:t>[Doch] - Der Zhg. von Vv. 12.13 ist sicher adversativ; das muss man in der LF wohl besser durch die Einfügung eines „Doch“ o.Ä. ausdrücklich machen.</w:t>
      </w:r>
    </w:p>
  </w:footnote>
  <w:footnote w:id="875">
    <w:p>
      <w:pPr>
        <w:pStyle w:val="Funote"/>
        <w:rPr/>
      </w:pPr>
      <w:r>
        <w:rPr>
          <w:rStyle w:val="Funotenzeichen"/>
        </w:rPr>
        <w:footnoteRef/>
      </w:r>
      <w:r>
        <w:rPr/>
        <w:tab/>
        <w:t>Versehen (versehentliche Fehler) - Bedeutung unsicher (-&gt; Hapax legomenon); vermutlich meint es in etwa das selbe wie das folgende „Verborgene (ungewollte Sünden)“; vgl. z.B. König 1927, S. 104; Kittel 1914, S. 78; Wagner 1999, S. 258; Nel 2004, S. 113f.</w:t>
      </w:r>
    </w:p>
  </w:footnote>
  <w:footnote w:id="876">
    <w:p>
      <w:pPr>
        <w:pStyle w:val="Funote"/>
        <w:rPr/>
      </w:pPr>
      <w:r>
        <w:rPr>
          <w:rStyle w:val="Funotenzeichen"/>
        </w:rPr>
        <w:footnoteRef/>
      </w:r>
      <w:r>
        <w:rPr/>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877">
    <w:p>
      <w:pPr>
        <w:pStyle w:val="Funote"/>
        <w:rPr/>
      </w:pPr>
      <w:r>
        <w:rPr>
          <w:rStyle w:val="Funotenzeichen"/>
        </w:rPr>
        <w:footnoteRef/>
      </w:r>
      <w:r>
        <w:rPr/>
        <w:tab/>
        <w:t>Verborgenen (ungewollte Sünden) ist ein Begriff aus der israelitischen Rechtsterminologie; man bezeichnet damit Vergehen und Sünden, die ein Sünder unwissentlich begangen hat. Vgl. z.B. Lev 4-5.</w:t>
      </w:r>
    </w:p>
  </w:footnote>
  <w:footnote w:id="878">
    <w:p>
      <w:pPr>
        <w:pStyle w:val="Funote"/>
        <w:rPr/>
      </w:pPr>
      <w:r>
        <w:rPr>
          <w:rStyle w:val="Funotenzeichen"/>
        </w:rPr>
        <w:footnoteRef/>
      </w:r>
      <w:r>
        <w:rPr/>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879">
    <w:p>
      <w:pPr>
        <w:pStyle w:val="Funote"/>
        <w:rPr/>
      </w:pPr>
      <w:r>
        <w:rPr>
          <w:rStyle w:val="Funotenzeichen"/>
        </w:rPr>
        <w:footnoteRef/>
      </w:r>
      <w:r>
        <w:rPr/>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880">
    <w:p>
      <w:pPr>
        <w:pStyle w:val="Funote"/>
        <w:rPr/>
      </w:pPr>
      <w:r>
        <w:rPr>
          <w:rStyle w:val="Funotenzeichen"/>
        </w:rPr>
        <w:footnoteRef/>
      </w:r>
      <w:r>
        <w:rPr/>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881">
    <w:p>
      <w:pPr>
        <w:pStyle w:val="Funote"/>
        <w:rPr/>
      </w:pPr>
      <w:r>
        <w:rPr>
          <w:rStyle w:val="Funotenzeichen"/>
        </w:rPr>
        <w:footnoteRef/>
      </w:r>
      <w:r>
        <w:rPr/>
        <w:tab/>
        <w:t>Es seien zum Wohlgefallen die Reden meines Mundes / und das sich-Äußern meines Herzens vor deinem Gesicht - Hyperbaton; natürliche Wortfolge: »Es seien zum Wohlgefallen vor deinem Gesicht die Reden meines Mundes und das sich-Äußern meines Herzens« (vgl. Ex 28,38). Das Hyperbaton dient hier nur dem Zweck, die beiden parallelen Phrasen »die Reden meines Mundes« und »das sich-Äußern meines Herzens« auf zwei Stichen verteilen zu können; die Ergänzung von »möge kommen« o.Ä. in der zweiten Zeile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882">
    <w:p>
      <w:pPr>
        <w:pStyle w:val="Funote"/>
        <w:rPr/>
      </w:pPr>
      <w:r>
        <w:rPr>
          <w:rStyle w:val="Funotenzeichen"/>
        </w:rPr>
        <w:footnoteRef/>
      </w:r>
      <w:r>
        <w:rPr/>
        <w:tab/>
        <w:t>[Status: Zuverlässig]</w:t>
      </w:r>
    </w:p>
  </w:footnote>
  <w:footnote w:id="883">
    <w:p>
      <w:pPr>
        <w:pStyle w:val="Funote"/>
        <w:rPr/>
      </w:pPr>
      <w:r>
        <w:rPr>
          <w:rStyle w:val="Funotenzeichen"/>
        </w:rPr>
        <w:footnoteRef/>
      </w:r>
      <w:r>
        <w:rPr/>
        <w:tab/>
        <w:t>Chorleiter - Heb. menatseach; genaue Bedeutung unklar. Die Primärübersetzung „Chorleiter“ ist mehr oder weniger Konvention. S. noch nächste FN.</w:t>
      </w:r>
    </w:p>
  </w:footnote>
  <w:footnote w:id="884">
    <w:p>
      <w:pPr>
        <w:pStyle w:val="Funote"/>
        <w:rPr/>
      </w:pPr>
      <w:r>
        <w:rPr>
          <w:rStyle w:val="Funotenzeichen"/>
        </w:rPr>
        <w:footnoteRef/>
      </w:r>
      <w:r>
        <w:rPr/>
        <w:tab/>
        <w:t>Nach „Hirschkuh der Morgenröte“ ([Vorzutragen vom] Vorsteher [über das Ritual] „Hirschkuh der Morgenröte“) - Ein weiterer Begriff mit unbekannter Bedeutung. Für gewöhnlich werden diese und ähnliche Angaben in anderen Psalmen so verstanden, dass damit die Melodie eines bekannten Liedes genannt werde, nach der auch dieser Psalm zu singen sei, zu übersetzen wäre also etwa: „[vorzutragen] nach [der Melodie] ‚Hirschkuh der Morgenröte‘“. Einen wahrscheinlicheren Vorschlag zum Verständnis der sog. „Psalmenüberschriften“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die „Hirschkuh der Morgenröte“ nicht die Melodie, sondern der menatseach wäre Vorsteher über das Ritual mit dem Namen „Hirschkuh der Morgenröte“, bei dem der Psalm vorzuträgen wäre. Doch ist auch dies nur ein „educated guess“ und „Chorleiter“ und „[nach der Melodie]“ sind in dt. Üss. so etabliert, dass die LF doch besser den Primärüss. folgen sollte.</w:t>
      </w:r>
    </w:p>
  </w:footnote>
  <w:footnote w:id="885">
    <w:p>
      <w:pPr>
        <w:pStyle w:val="Funote"/>
        <w:rPr/>
      </w:pPr>
      <w:r>
        <w:rPr>
          <w:rStyle w:val="Funotenzeichen"/>
        </w:rPr>
        <w:footnoteRef/>
      </w:r>
      <w:r>
        <w:rPr/>
        <w:tab/>
        <w:t>fern von meiner Rettung (von meinem Schreien) - Eine häufige biblische Metapher: Not wird erfahren als Abwesenheit Gottes; Gott hilft dem Notleidenden nicht, sondern „hat ihn verlassen“ und „hält sich fern“ von ihm - ist gar zu entfernt, um seine Klageworte zu empfangen und helfend darauf zu reagieren (s. ähnlich Ps 10,1; 35,22; 38,22; 71,12; Jes 59,9.11 u.ö.; vgl. z.B. TWAT II, Sp. 770).Textkritik: Die Worte „von meiner Rettung“ (Heb. mischu`ati) werden häufig korrigiert zu „von meinem Schreien“ (Heb. mischaw`ati) (so z.B. BHS; Deissler 1981, S. 102; Kselman 1982, S. 173-5); daher erklärt sich z.B. die Übersetzung „Warum bist du fern von meinem Flehen“ von EÜ und HER05. Doch das ist ganz unnötig. In der LF muss dieser Vers wohl freier übersetzt werden; gut z.B. GN: „Warum hilfst du nicht, wenn ich schreie, warum bist du so fern?“; ähnlich NL.</w:t>
      </w:r>
    </w:p>
  </w:footnote>
  <w:footnote w:id="886">
    <w:p>
      <w:pPr>
        <w:pStyle w:val="Funote"/>
        <w:rPr/>
      </w:pPr>
      <w:r>
        <w:rPr>
          <w:rStyle w:val="Funotenzeichen"/>
        </w:rPr>
        <w:footnoteRef/>
      </w:r>
      <w:r>
        <w:rPr/>
        <w:tab/>
        <w:t>Antworten ist in Zhgg. wie diesem fast stets ein stehender Begriff für die Gebetserhörungen Gottes.</w:t>
      </w:r>
    </w:p>
  </w:footnote>
  <w:footnote w:id="887">
    <w:p>
      <w:pPr>
        <w:pStyle w:val="Funote"/>
        <w:rPr/>
      </w:pPr>
      <w:r>
        <w:rPr>
          <w:rStyle w:val="Funotenzeichen"/>
        </w:rPr>
        <w:footnoteRef/>
      </w:r>
      <w:r>
        <w:rPr/>
        <w:tab/>
        <w:t>doch [es gibt] nicht Ruhe für mich - dumijah („Schweigen“) bezieht sich hier wohl nicht auf das „Schweigen“ des Leids, sd. auf das Schweigen des Psalmisten: Im hierigen Sinne findet es sich nur noch in Ps 39,3, wo deutlich vom Verstummen des Psalmisten die Rede ist. S. auch R-S: „Stillschweigen ist mir nicht vergönnt“; Weiser 1959: „und ich kann doch nicht schweigen“ u.ö.Der Vers ist also als „meristisches Hyperbaton“ strukturiert (wie z.B. auch Ps 19,14 (dazu s. FN aq)): Ähnlich, wie deutlich „Ich rufe Tag“ und „und Nacht“ zusammengehören, gehören auch „du antwortest nicht“ und „es gibt keine Ruhe für mich“ zusammen, beide Paare sind aber aus poetischen Gründen in zwei Zeilen aufgeteilt worden. Die Bedeutung ist dann: „Ich rufe Tag und Nacht, aber du antwortest nicht und [also] ist es mir nicht vergönnt, mit dem Rufen aufhören zu können“. Textkritik: Syr und Äth hatten offenbar einen anderslautenden hebräischen Text vor sich, nämlich statt dumijah li („Ruhe für mich“) dimitha li („du denkst nicht an mich“); Zorell 1926, S. 311 und Kissane 1953, S. 98 wollen daher auch den hebräischen Text nach dimitha korrigieren (=&gt; Textkritik). Doch er macht Sinn, wie er steht, und wird von den anderen alten Üss. gestützt.</w:t>
      </w:r>
    </w:p>
  </w:footnote>
  <w:footnote w:id="888">
    <w:p>
      <w:pPr>
        <w:pStyle w:val="Funote"/>
        <w:rPr/>
      </w:pPr>
      <w:r>
        <w:rPr>
          <w:rStyle w:val="Funotenzeichen"/>
        </w:rPr>
        <w:footnoteRef/>
      </w:r>
      <w:r>
        <w:rPr/>
        <w:tab/>
        <w:t>[Auf] - W. „Aber du, der Heilige, der du thronst über den Lobgesängen Israels - auf dich vertrauten...“. Ein sog. „Casus pendens“: Ein Satzglied (hier: „du, der Heilige, der du thronst über den Lobgesängen Israels“) wird aus seinem eigentlichen Zusammenhang im Satz herausgenommen, unverbunden vor den Satz gestellt und an seine „eigentliche“ Stelle im Satz wird als Platzhalter ein Pronomen gesetzt (hier: „auf dich“). Gut Eerdmans 1947, S. 172: „And thou, holy one, that inhabitest the praises of Israel, / our fathers trusted in thee.“</w:t>
      </w:r>
    </w:p>
  </w:footnote>
  <w:footnote w:id="889">
    <w:p>
      <w:pPr>
        <w:pStyle w:val="Funote"/>
        <w:rPr/>
      </w:pPr>
      <w:r>
        <w:rPr>
          <w:rStyle w:val="Funotenzeichen"/>
        </w:rPr>
        <w:footnoteRef/>
      </w:r>
      <w:r>
        <w:rPr/>
        <w:tab/>
        <w:t>den Heiligen, der du thronst über den Lobgesängen Israels! - Mit dem Ausdruck der Heilige ist hier wie z.B. auch in Jes 5,16; 5,19 (vgl. V. 20); 41,20 (vgl. V. 21); 48,17 (vgl. V. 18) die übermenschliche Gerechtigkeit Gottes bezeichnet (so gut Herkenne 1936, S. 105), aufgrund der er als „der Heilige Israels“ auch stets auf der Seite seines Volkes steht. Vv. 4-6 sind sehr wahrscheinlich keine Vertrauensäußerung, wie das z.B. Gerstenberger 1991 und Janowski 2003 sehen. V. 7 zeigt deutlich, dass der Hinweis auf die früheren Rettungstaten Gottes der Kontrastierung dient: Ihnen hat Gott geholfen, ihm aber hilft er nicht - ihm, dem „Wurm“. Vv. 4-6 meinen also nicht: „[Warum hilfst du mir nicht?] Aber du bist ja der Heilige, [also wird schon alles gut werden -] du hast ja auch unseren Vorfahren geholfen.“, sondern sie dienen der Unterstreichung der in V. 2 ausgedrückten Verständnislosigkeit: „Warum hilfst du mir nicht? ... Du bist doch der Heilige, der schon unseren Vorfahren, die dich [wie ich] verehrten, geholfen hat!“ Die Argumentation in Vv. 2-6 geht damit ganz ähnlich wie die in Hab 1,12f.: „Bist du nicht von alters her mein Heiliger? Wir werden nicht sterben, JHWH - das hast du, oh Fels, als Gesetz festgesetzt und als Gebot bestimmt (≙ Vv. 4-6)... Warum aber schaust du dann Räubern zu und schweigst, wenn ein Gesetzloser den verschlingt, der gerechter ist als er? (≙ Vv. 2f.)“ Vgl. gut Charney 2013, S. 47; Davis 1992, S. 97; Kissane 1953, S. 99.</w:t>
      </w:r>
    </w:p>
  </w:footnote>
  <w:footnote w:id="890">
    <w:p>
      <w:pPr>
        <w:pStyle w:val="Funote"/>
        <w:rPr/>
      </w:pPr>
      <w:r>
        <w:rPr>
          <w:rStyle w:val="Funotenzeichen"/>
        </w:rPr>
        <w:footnoteRef/>
      </w:r>
      <w:r>
        <w:rPr/>
        <w:tab/>
        <w:t>Reißen die Lippe[n] auf, schütteln den Kopf - Zwei Gesten der Verachtung. Zur ersten Geste s. noch Ijob 16,10; Ps 35,21; zur zweiten Ps 44,14; 64,8.</w:t>
      </w:r>
    </w:p>
  </w:footnote>
  <w:footnote w:id="891">
    <w:p>
      <w:pPr>
        <w:pStyle w:val="Funote"/>
        <w:rPr/>
      </w:pPr>
      <w:r>
        <w:rPr>
          <w:rStyle w:val="Funotenzeichen"/>
        </w:rPr>
        <w:footnoteRef/>
      </w:r>
      <w:r>
        <w:rPr/>
        <w:tab/>
        <w:t>[und spotten:] - das Folgende ist eine Spottrede der der „Leute“, die dem Psalmisten absprechen, dass Gott Wohlgefallen an ihm habe. Vgl. z.B. Gordis 1949, S. 167f.</w:t>
      </w:r>
    </w:p>
  </w:footnote>
  <w:footnote w:id="892">
    <w:p>
      <w:pPr>
        <w:pStyle w:val="Funote"/>
        <w:rPr/>
      </w:pPr>
      <w:r>
        <w:rPr>
          <w:rStyle w:val="Funotenzeichen"/>
        </w:rPr>
        <w:footnoteRef/>
      </w:r>
      <w:r>
        <w:rPr/>
        <w:tab/>
        <w:t>Wälze (Er hat gewälzt) [es (dich)] - Ausdruck dafür, etwas jmds. Fürsorge anzuvertrauen, auf dass der sich darum kümmere; s. Ps 37,5; Spr 16,3; 1 Pet 5,7. Weil »wälzen« im Dt. unverständlich ist, folgen viele der freieren Üs. von Mt 27,43: »Vertrau auf JHWH!« Erwägenswert vielleicht BB: »Soll er doch seine Last auf den HERRN abwälzen!«, ASTADLER: »Der soll seine Sorgen auf Gott abschieben!«Textkritik: LXX, Syr, Hieronymus und Mt 27,43 lasen statt gol (»Wälz«) gal (»Er hat gewälzt«). Der urspr. heb. Text bot beide Deutungsmöglichkeiten; viele Exegeten folgen daher dieser Lesart, weil nach ihr kein Perspektivwechsel (Sprechen zum Psalmisten =&gt; Spotten über den Psalmisten) in der Rede der Leute stattfinden muss. Angesichts der beiden obigen atl. Parallelen und Ps 55,23, die alle im Imp. formuliert sind, liegt aber auch hier die Lesung als Imperativ näher (so richtig Gordis 1949, S. 167, FN 21).</w:t>
      </w:r>
    </w:p>
  </w:footnote>
  <w:footnote w:id="893">
    <w:p>
      <w:pPr>
        <w:pStyle w:val="Funote"/>
        <w:rPr/>
      </w:pPr>
      <w:r>
        <w:rPr>
          <w:rStyle w:val="Funotenzeichen"/>
        </w:rPr>
        <w:footnoteRef/>
      </w:r>
      <w:r>
        <w:rPr/>
        <w:tab/>
        <w:t>Er hat ja Gefallen an ihm (er ist ja so gläubig) - stark übersetzt von GN, HfA, R-S: „[Er ist] ja sein Liebling!“ Auch möglich: „Er ist ja so gläubig“, s. z.B. Ps 73,25, wo mit dem „Gefallen“ des Psalmisten an Gott seine Ganzhingabe ausgedrückt wird. Im Kontext macht das vielleicht sogar mehr Sinn, s. den dreimaligen Hinweis auf das „Vertrauen“ der Vorfahren in Vv. 5f. und die Rede vom Gottesverhältnis „von Geburt an“ des Psalmisten. Das ki („doch“) zu Beginn von V. 10 könnte dann mit „Ja!...“, „So ist es!...“ o.Ä. übersetzt werden: In der Tat ist der Psalmist schon von Geburt an tiefgläubig und ergo müsste Gott ihm daher hold sein (vgl. Ps 91,14!); völlig unverständlich ist daher jetzt Gottes plötzliche Abwesenheit. So aber nur wenige ältere Exegeten; erwogen noch z.B. von Olshausen 1853, S. 122f. Vv. 10f. sind daher besser für die LF zu verstehen wie Vv. 4-6: „Früher warst du mir doch gut - [warum also jetzt nicht mehr]?“</w:t>
      </w:r>
    </w:p>
  </w:footnote>
  <w:footnote w:id="894">
    <w:p>
      <w:pPr>
        <w:pStyle w:val="Funote"/>
        <w:rPr/>
      </w:pPr>
      <w:r>
        <w:rPr>
          <w:rStyle w:val="Funotenzeichen"/>
        </w:rPr>
        <w:footnoteRef/>
      </w:r>
      <w:r>
        <w:rPr/>
        <w:tab/>
        <w:t>aus dem Schoß hervorbrechen ließ - d.h. der bei meiner Geburt Hebammendienst leistete. V. 10 spricht davon, wie Gott sich schon von Geburt an um den Psalmisten kümmerte, V. 11 davon, wie der Psalmist dafür schon von Geburt an Gott tief verbunden war.</w:t>
      </w:r>
    </w:p>
  </w:footnote>
  <w:footnote w:id="895">
    <w:p>
      <w:pPr>
        <w:pStyle w:val="Funote"/>
        <w:rPr/>
      </w:pPr>
      <w:r>
        <w:rPr>
          <w:rStyle w:val="Funotenzeichen"/>
        </w:rPr>
        <w:footnoteRef/>
      </w:r>
      <w:r>
        <w:rPr/>
        <w:tab/>
        <w:t>Textkritik: der mir Vertrauen einflößte (dem ich vertraute - LXX, Syr, VUL, Hieronymus und Tg hatten offenbar statt dem Text mabtichi („der mir Vertrauen einflößte“) mibtachi („der mein Vertrauen [war]“) vorliegen, der auch in einigen Handschriften zu finden ist. Das ist eine sehr starke Bezeugung; warum dem nur Ehrlich 1905, S. 44 und Kissane 1953, S. 98 folgen, ist nicht ganz verständlich. Wir folgen MT nur, weil dies eine starke Mehrheitsmeinung ist.</w:t>
      </w:r>
    </w:p>
  </w:footnote>
  <w:footnote w:id="896">
    <w:p>
      <w:pPr>
        <w:pStyle w:val="Funote"/>
        <w:rPr/>
      </w:pPr>
      <w:r>
        <w:rPr>
          <w:rStyle w:val="Funotenzeichen"/>
        </w:rPr>
        <w:footnoteRef/>
      </w:r>
      <w:r>
        <w:rPr/>
        <w:tab/>
        <w:t>Auf dich bin ich geworfen - Vergleichbarer Ausdruck nur noch in Ps 55,23. Da diese Stelle wiederum stark an Ps 22,9; 37,5 und Spr 16,3 gemahnt, legt sich die Annahme nahe, dass „etwas auf JHWH werfen“ und „etwas auf JHWH wälzen“ gleichbedeutend sind und also bedeuten: „Etwas unter JHWHs Hut stellen.“ Hier aber wird nicht „etwas“ unter JHWHs Hut gestellt, sondern der Psalmist selbst. Sehr gut daher HER05: „Dir bin ich zu Eigen von Anbeginn“; HfA: „Du bist mein Gott, seitdem mein Leben im Mutterleib begann“. Glückliche Fügung übrigens, wie dieser Vers vor dem Hintergrund des Existentialismus gelesen werden kann, wo die „Geworfenheit“ die schutzlose Ausgeliefertheit des Menschen an die Welt meint. Nein, sagt Psalm 22: Von Geburt an ist der Mensch auf Gott geworfen und gerade daher der Welt eben nicht schutzlos ausgeliefert.</w:t>
      </w:r>
    </w:p>
  </w:footnote>
  <w:footnote w:id="897">
    <w:p>
      <w:pPr>
        <w:pStyle w:val="Funote"/>
        <w:rPr/>
      </w:pPr>
      <w:r>
        <w:rPr>
          <w:rStyle w:val="Funotenzeichen"/>
        </w:rPr>
        <w:footnoteRef/>
      </w:r>
      <w:r>
        <w:rPr/>
        <w:tab/>
        <w:t>Enge (Bedrängnis) ist nahe - dazu s. Ps 4,2 (dazu FN f); 25,17: Not wird in der Bibel des Öfteren mit der Metapher des Beengt-seins ausgedrückt. Hier gleich doppelt: „die Enge ist nahe“ - ganz im Gegensatz zum „fernen“ Gott, der den Psalmisten verlassen hat.</w:t>
      </w:r>
    </w:p>
  </w:footnote>
  <w:footnote w:id="898">
    <w:p>
      <w:pPr>
        <w:pStyle w:val="Funote"/>
        <w:rPr/>
      </w:pPr>
      <w:r>
        <w:rPr>
          <w:rStyle w:val="Funotenzeichen"/>
        </w:rPr>
        <w:footnoteRef/>
      </w:r>
      <w:r>
        <w:rPr/>
        <w:tab/>
        <w:t>Baschan[stiere] - Baschan war eine äußerst fruchtbare Region; die „Baschanstiere“ sind daher hier noch mal als Steigerung der bloßen „Stiere“ erwähnt: als besonders gut genährte und daher besonders gefährliche Vertreter ihrer Art. Vgl. Dtn 32,14 und Ez 39,18, wo die „Baschanstiere“ als besonders nahrhafte Vertreter ihrer Art genannt werden, und Am 4,1, wo sie gar zur Metapher für trinkfreudige Bonzen werden.</w:t>
      </w:r>
    </w:p>
  </w:footnote>
  <w:footnote w:id="899">
    <w:p>
      <w:pPr>
        <w:pStyle w:val="Funote"/>
        <w:rPr/>
      </w:pPr>
      <w:r>
        <w:rPr>
          <w:rStyle w:val="Funotenzeichen"/>
        </w:rPr>
        <w:footnoteRef/>
      </w:r>
      <w:r>
        <w:rPr/>
        <w:tab/>
        <w:t>reißende, brüllende Löwen ([wie] ein reißender, brüllender Löwe) steht im heb. Text im Sg. Viele denken daher, dass Subjekt des „Maul-Aufsperrens“ die (selbst schon metaphorischen) Baschanstiere wären, die danach noch einmal mit dem Vergleich „[wie] ein Löwe“ näher spezifiziert würden. Wahrscheinlicher ist, dass Löwe hier ein sog. „kollektiver Singular“ mit Pluralbedeutung ist und als ein solcher mit dem Pluralverb „sie sperren ihr Maul gegen mich auf“ konstruiert wird. Das „Maul-aufsperren“ ist hier nicht wie in V. 8 als Spottgeste zu verstehen, sondern wörtlich als Bild für die von den Löwen ausgehende Gefahr.</w:t>
      </w:r>
    </w:p>
  </w:footnote>
  <w:footnote w:id="900">
    <w:p>
      <w:pPr>
        <w:pStyle w:val="Funote"/>
        <w:rPr/>
      </w:pPr>
      <w:r>
        <w:rPr>
          <w:rStyle w:val="Funotenzeichen"/>
        </w:rPr>
        <w:footnoteRef/>
      </w:r>
      <w:r>
        <w:rPr/>
        <w:tab/>
        <w:t>{das} (V. 15); {der} [ein] (V. 17) - Vergleiche werden im Heb. häufig auch dort mit best. Artikel konstruiert, wo das Dt. einen unbest. Artikel verwenden würde.</w:t>
      </w:r>
    </w:p>
  </w:footnote>
  <w:footnote w:id="901">
    <w:p>
      <w:pPr>
        <w:pStyle w:val="Funote"/>
        <w:rPr/>
      </w:pPr>
      <w:r>
        <w:rPr>
          <w:rStyle w:val="Funotenzeichen"/>
        </w:rPr>
        <w:footnoteRef/>
      </w:r>
      <w:r>
        <w:rPr/>
        <w:tab/>
        <w:t>Eine Reihe starker Metaphern zur Beschreibung der Not: Aus lauter Furcht verflüssigt sich der Psalmist regelrecht.</w:t>
      </w:r>
    </w:p>
  </w:footnote>
  <w:footnote w:id="902">
    <w:p>
      <w:pPr>
        <w:pStyle w:val="Funote"/>
        <w:rPr/>
      </w:pPr>
      <w:r>
        <w:rPr>
          <w:rStyle w:val="Funotenzeichen"/>
        </w:rPr>
        <w:footnoteRef/>
      </w:r>
      <w:r>
        <w:rPr/>
        <w:tab/>
        <w:t>Textkritik: Kraft (Kehle) - Sehr viele Exegeten wollen den Text von kochi („meine Kraft“) nach chiki („mein Gaumen, meine Kehle“) korrigieren (z.B. auch BHS), aber vgl. Ijob 30,30; Ps 32,4; 102,4f.; 119,83; Klgl 4,8: das Verbrennen bis zum Ausgetrocknet-sein eines Menschen gehört zu den Standardmetaphern heb. Lyrik zur Beschreibung von Leid, was für die Lyrik eines so heißen Landes wie Israel eigentlich nicht überraschen sollte. Und man beachte, dass in V. 15 zunächst die Flüssigkeit von einem Ganzheitsbegriff („ich“) und dann einem Teilbegriff („mein Herz“) ausgesagt wird; Entsprechendes findet sich hier von der Trockenheit: zunächst der Ganzheitsbegriff („meine Kraft“) und dann der Teilbegriff („meine Zunge“).</w:t>
      </w:r>
    </w:p>
  </w:footnote>
  <w:footnote w:id="903">
    <w:p>
      <w:pPr>
        <w:pStyle w:val="Funote"/>
        <w:rPr/>
      </w:pPr>
      <w:r>
        <w:rPr>
          <w:rStyle w:val="Funotenzeichen"/>
        </w:rPr>
        <w:footnoteRef/>
      </w:r>
      <w:r>
        <w:rPr/>
        <w:tab/>
        <w:t>Zwei weitere Metaphern. Man beachte, dass sie genau das Gegenteilige sagen: Fühlte der Dichter sich in V. 15 noch wie „ausgeschüttetes Wasser“ und sein Herz „zerschmolz“, ist seine Kraft in V. 16 „trocken wie eine Scherbe“ und „seine Zunge klebt ihm am Gaumen“ (W.: „an den beiden Kiefern“). Der Effekt ist der selbe wie im dt. „Vor Panik ist mir heiß und kalt zugleich“.</w:t>
      </w:r>
    </w:p>
  </w:footnote>
  <w:footnote w:id="904">
    <w:p>
      <w:pPr>
        <w:pStyle w:val="Funote"/>
        <w:rPr/>
      </w:pPr>
      <w:r>
        <w:rPr>
          <w:rStyle w:val="Funotenzeichen"/>
        </w:rPr>
        <w:footnoteRef/>
      </w:r>
      <w:r>
        <w:rPr/>
        <w:tab/>
        <w:t>in den Staub des Todes legen - Heb. Idiom für „tot sein“, s. ähnlich Ijob 7,21; 17,16; 20,11; 21,26; Ps 22,30; Jes 26,19; Dan 12,2. Dass hier - anders als in den obigen Stellen - davon die Rede ist, dass JHWH den Beter in den Staub legen können wird, soll unterstreichen, dass es JHWHs Schuld sein wird, wenn er stirbt.</w:t>
      </w:r>
    </w:p>
  </w:footnote>
  <w:footnote w:id="905">
    <w:p>
      <w:pPr>
        <w:pStyle w:val="Funote"/>
        <w:rPr/>
      </w:pPr>
      <w:r>
        <w:rPr>
          <w:rStyle w:val="Funotenzeichen"/>
        </w:rPr>
        <w:footnoteRef/>
      </w:r>
      <w:r>
        <w:rPr/>
        <w:tab/>
        <w:t>Aufgegraben sind ([wie] ein Löwe, gebunden sind) - zu diesen Alternativen s. die nächste FN.</w:t>
      </w:r>
    </w:p>
  </w:footnote>
  <w:footnote w:id="906">
    <w:p>
      <w:pPr>
        <w:pStyle w:val="Funote"/>
        <w:rPr/>
      </w:pPr>
      <w:r>
        <w:rPr>
          <w:rStyle w:val="Funotenzeichen"/>
        </w:rPr>
        <w:footnoteRef/>
      </w:r>
      <w:r>
        <w:rPr/>
        <w:tab/>
        <w:t>Vv. 17-18a: Eine der umstrittensten Stellen in der Bibel überhaupt; hier sind etwas ausführlichere Anmerkungen angebracht. Sie sind dennoch möglichst knapp gehalten; für eine sehr schön verständliche Zfsg. s. z.B. den kürzlich erschienenen Eintrag auf dem Blog Is that in the Bible von Paul Davidson. Das Wort „aufgegraben sind“ findet sich in den verschiedenen Handschriften hauptächlich in zwei Varianten: Als Substantiv ka´ari („wie ein Löwe“) im MT, als Verb ka´ru (s.u.) in anderen Handschriften, u.a. auch in der ältesten existenten Handschrift dieses Verses, XHev/Se4 (für eine Foto der entspr. Stelle s. Hopkin 2005, S. 167). Den Text von MT hatten offenbar auch Tg und Saadja vorliegen; LXX, Sym, Aq, Syr, VUL und Hieronymus dagegen ebenfalls ein Verb. Das ist Schwierigkeit (1). Schwierigkeit (2) ist, dass der Text der Variante ka´ari auf den ersten Blick keinen Sinn macht, gleichzeitig das Wort ka´ru in der zweiten Variante aber nicht zu existieren scheint und wir zu seinem Verständnis auf die alten Übersetzungen angewiesen sind. Schwierigkeit (3) ist dann aber, dass diese das Verb jeweils unterschiedlich verstanden; am wichtigsten: LXX, Syr, VUL: „Sie durchbohrten/gruben auf meine Hände und Füße“; Sym, Aq, Hieronymus: „Sie banden meine Hände und Füße“. Diese textkritische Unsicherheit wird v.a. deshalb so stark diskutiert, weil das „sie durchbohrten meine Hände und Füße“ noch heute sehr häufig als auf Jesus vorausweisender, prophetischer Vers aufgefasst wird. Die Übersetzung „sie durchbohrten/gruben auf“ lässt sich am leichtesten so erklären, dass LXX, Syr und VUL ebenfalls ka´ru vorliegen hatten und dies verstanden als karu mit einem sog. „intrusiven Alef“ (dazu vgl. z.B. Delitzsch 1920 §31; zur Stelle Barré 2004, S. 288) von der Wurzel karah I („graben, bohren“). Die Übersetzung „sie banden“ ist entweder ebenso zu erklären und auf eine sonst in der Bibel nicht verwendete, mit karah I gleichlautende Wurzel karah IV („zusammenbinden“) zurückzuführen (vgl. z.B. KBL3, S. 473; ZLH, S. 350) oder so, dass der ursprüngliche Text nicht ka´ru, sondern ´asru („sie haben gebunden“) gelautet hatte. Dies also sind die ersten drei möglichen Deutungen: * (1) „... wie ein Löwe meine Hände und Füße ...“ - auch durch eine alternative syntaktische Analyse nur schwer erklärlich, für einige Versuche s. aber Alexander 1850, S. 103; Eerdmans 1947, S. 172 nach Ross 1905 und König 1905; Rendsburg 2002b; Swenson 2004, S. 642; Weber 2001, S. 121. * (2) „... sie gruben meine Hände und Füße auf ...“ - so z.B. Gren 2005; Houston/Waltke 2010, S. 393f.; Patterson 2004, S. 223; auch schon Houbigant 1777, S. 14. * (3) „... sie banden meine Hände und Füße ...“ - nach obiger Erklärung (1) z.B. Deissler 1981, S. 103f.; Driver 1946, S. 139; Nõmmik 2014, S. 100; nach Erklärung (2) z.B. Halévy 1893b, S. 292; Vall 1997. Daneben haben einige weitere Vorschläge Schule gemacht und Eingang in dt. Üss. gefunden: * (4) „... meine Hände und Füße sind eingegangen / kurz geworden ...“: ka´ru sei abzuleiten von einer hypothetischen, sonst nicht verwendeten Wurzel karah V („eingehen, kurz werden“); so z.B. Roberts 1973; Kselman 1982, S. 178; zuletzt offenbar Brueggemann/Bellinger 2014. * (5) „... meine Hände und Füße sind aufgebraucht (=erschöpft) ...“: Im ursprünglichen Text habe weder ka´ari noch ka´ru gestanden, sondern ka´lu; so z.B. Craigie 1983, S. 196; Kissane 1953, S. 98.100f. * (6) „... meine Hände und Füße schmerzen ...“: Im ursprünglichen Text habe weder ka´ari noch ka´ru gestanden, sondern ka´abu; so z.B. Weiser 1959, S. 147. Für zwei weitere, zu Unrecht in Vergessenheit geratene Deutungsvorschläge s. Stuart 1852 und Barnes 1936, S. 386. Daneben gibt es weitere, z.T. ganz abwegige Vorschläge. Darüber, dass im ursprünglichen Text ein Verb stand, können wir uns recht sicher sein. Erstens fehlt in 17c nach der Version des MT offensichtlich ein Verb; die alten Ausleger Rashi, Ibn Ezra und Saadja etwa haben aus diesem Grund jeweils ein Verb ergänzen müssen. Zweitens würde nach der Version des MT hier für „Löwe“ eine andere Schreibweise verwendet als in Vv. 14.22, nämlich ´ari statt ´arjeh - was mindestens sehr selten wäre. Drittens werden die Gegner des Psalmisten im Verlauf des Psalms je zweimal mit dem selben Tier verglichen: a: Stiere (V. 13) =&gt; b: Löwen (V. 14) =&gt; c: Hunde (V. 17) =&gt; c': Hunde (V. 21) =&gt; b': Löwen (V. 22a) =&gt; a': Wildstiere (V. 22b). Stünde in V. 17c tatsächlich „Löwe“, wäre dieser Chiasmus zerstört und nur „Löwe“ würde dreimal genannt. Und viertens ist das Gewicht der Handschriften und vielen Übersetzungen, die hier ein Verb haben, sehr stark. Keines dieser Argumente ist zwingend; zusammen weisen sie aber doch recht deutlich darauf, dass im ursprünglichen Text ein Verb stand.Von den obigen Alternativen ist dann sicher (2) vorzuziehen, da (3) - (6) entweder keinen Rückhalt in den alten Übersetzungen und Handschriften haben oder von einem Wort ausgehen müssen, das sich nicht belegen lässt. Außerdem lässt sich nur nach dieser Variante 18a erklären: Gerade deshalb, weil die Gegner dem Psalmisten „Arme und Beine aufgegraben“ haben, kann er nun „all seine Knochen zählen“ - weil ihm das Fleisch von den Knochen gerissen wurde. Auch dieses Verb lässt sich aber nicht mit „durchbohren“ übersetzen, sondern bedeutet „graben“ und wird meist vom Ausheben eines Brunnen oder eines Grabes verwendet; in diesem Kontext vielleicht am besten „aufreißen“. Sehr überzogen die Üs. von Houston/Waltke 2010, S. 393 („Sie haben Löcher in meine Hände und Füße gebohrt“), die damit spielt, dass man im Dt. und Eng. Brunnen auch „bohren“ kann. Eine eindeutige Parallele zur Kreuzigung Jesu liegt hier also nicht vor. Sie sind aber ja auch so deutlich genug.</w:t>
      </w:r>
    </w:p>
  </w:footnote>
  <w:footnote w:id="907">
    <w:p>
      <w:pPr>
        <w:pStyle w:val="Funote"/>
        <w:rPr/>
      </w:pPr>
      <w:r>
        <w:rPr>
          <w:rStyle w:val="Funotenzeichen"/>
        </w:rPr>
        <w:footnoteRef/>
      </w:r>
      <w:r>
        <w:rPr/>
        <w:tab/>
        <w:t>Das Aufteilen der Kleidung ist wohl eine Anspielung auf eine Hinrichtungsszene, s. Mk 15,24 parr., Sanh 6,3; vgl. Deissler 1981, S. 111. Der Psalmist schwebt in unmittelbarer Todesgefahr.</w:t>
      </w:r>
    </w:p>
  </w:footnote>
  <w:footnote w:id="908">
    <w:p>
      <w:pPr>
        <w:pStyle w:val="Funote"/>
        <w:rPr/>
      </w:pPr>
      <w:r>
        <w:rPr>
          <w:rStyle w:val="Funotenzeichen"/>
        </w:rPr>
        <w:footnoteRef/>
      </w:r>
      <w:r>
        <w:rPr/>
        <w:tab/>
        <w:t>Zu sei nicht fern s.o. FN c.</w:t>
      </w:r>
    </w:p>
  </w:footnote>
  <w:footnote w:id="909">
    <w:p>
      <w:pPr>
        <w:pStyle w:val="Funote"/>
        <w:rPr/>
      </w:pPr>
      <w:r>
        <w:rPr>
          <w:rStyle w:val="Funotenzeichen"/>
        </w:rPr>
        <w:footnoteRef/>
      </w:r>
      <w:r>
        <w:rPr/>
        <w:tab/>
        <w:t>Meine Hilfe, eile zu meiner Hilfe! - Wortspiel: Zwei us. Wörter mit der Bed. „Hilfe“ werden hier verwendet; das erste als Bezeichnung für Gott, das zweite zur Bezeichnung dessen, wozu Gott heraneilen soll. Ein Hilfeschrei in Potenz. Zum ersten Wort (´ejalut), das sich nur hier in der Bibel findet, vgl. das syr. ´ijaluta („Hilfe“). Vgl. auch das verwandte ´ejal in Ps 88,5, das dort auch von LXX, Syr und VUL mit „Hilfe“ übersetzt wird, und auch dazu das syr. Äquivalent (´ijala, „Hilfe“). LXX daher richtig: „meine Hilfe“; VUL kannte es offenbar nicht und übersetzt „meine Stärke“. Letzterem folgen leider die meisten Üss.</w:t>
      </w:r>
    </w:p>
  </w:footnote>
  <w:footnote w:id="910">
    <w:p>
      <w:pPr>
        <w:pStyle w:val="Funote"/>
        <w:rPr/>
      </w:pPr>
      <w:r>
        <w:rPr>
          <w:rStyle w:val="Funotenzeichen"/>
        </w:rPr>
        <w:footnoteRef/>
      </w:r>
      <w:r>
        <w:rPr/>
        <w:tab/>
        <w:t>der Hunde - W. „des Hundes“, kollektiver Sg. mit Pl.-Bed.</w:t>
      </w:r>
    </w:p>
  </w:footnote>
  <w:footnote w:id="911">
    <w:p>
      <w:pPr>
        <w:pStyle w:val="Funote"/>
        <w:rPr/>
      </w:pPr>
      <w:r>
        <w:rPr>
          <w:rStyle w:val="Funotenzeichen"/>
        </w:rPr>
        <w:footnoteRef/>
      </w:r>
      <w:r>
        <w:rPr/>
        <w:tab/>
        <w:t>Einzige - wohl poet. Wechselbegriff für „Leben“, s. ebenso Ps 35,17.</w:t>
      </w:r>
    </w:p>
  </w:footnote>
  <w:footnote w:id="912">
    <w:p>
      <w:pPr>
        <w:pStyle w:val="Funote"/>
        <w:rPr/>
      </w:pPr>
      <w:r>
        <w:rPr>
          <w:rStyle w:val="Funotenzeichen"/>
        </w:rPr>
        <w:footnoteRef/>
      </w:r>
      <w:r>
        <w:rPr/>
        <w:tab/>
        <w:t>der Löwen - W. „des Löwen“, kollektiver Sg. mit Pl.-Bed.</w:t>
      </w:r>
    </w:p>
  </w:footnote>
  <w:footnote w:id="913">
    <w:p>
      <w:pPr>
        <w:pStyle w:val="Funote"/>
        <w:rPr/>
      </w:pPr>
      <w:r>
        <w:rPr>
          <w:rStyle w:val="Funotenzeichen"/>
        </w:rPr>
        <w:footnoteRef/>
      </w:r>
      <w:r>
        <w:rPr/>
        <w:tab/>
        <w:t>Textkritik: mein Elendes (erhöre mich, du erhörst mich/hast mich erhört) - Laut MT „du erhörst mich/hast mich erhört“. Viele Üss. und Kommentare wollen das ernsthaft so verstehen, dass mitten in der Zeile ein Heilsorakel, ein Heilshandeln Gottes o.Ä. anzusetzen ist und der Beter also mitten in der Zeile aus einer ganz anderen Situation heraus zu reden beginnt: „Rette mich aus dem Rachen der Löwen / und von den Hörnern der Wildstiere! ... Du hast mir geantwortet.“ Das liegt sehr fern. Entweder haben wir hier einen T-Shift (ein sog. „prekatives Qatal“) vor uns und das Verb mit vermeintlicher Vergangenheits-/Präsensbedeutung wird hier aus poet. Gründen wie ein Imperativ verwendet („antworte mir!“, so Buttenwieser 1938, S. 606; Goldingay 2006, S. 335; Houston/Waltke 2010, S. 394; viele Üss.), oder: LXX, Syr, Sym hatten offenbar in dem ihnen vorliegenden Text nicht anithani („du antwortest mir/hast mir geantwortet“) stehen, sondern anijathi („mein Elendes“), einen weiteren poet. Wechselbegriff für „mein Leben“. Vermutlich ist eher dies der ursprüngliche Text, denn das natürlichste Verständnis des MT („Von den Hörnern der Wildstiere hast du mir geantwortet“) wäre das, dass Gott sich auf den Hörnern des Wildstieres befindet und von dort dem Schreien des Psalmisten antwortet. So auch Kissane 1953, S. 98; Spieckermann 1989, S. 241; Terrien 2003, S. 233 u.a., auch EÜ, GRAIL, HER05. Schön WEIN: „Hole mich aus dem Rachen des Löwen, / mich Armen vom Gehörn der Stiere...!“ Fun Fact: Bei den „Wildstieren“ handelt es sich laut LXX um „Einhörner“; in einigen Üss. hat sich das tatsächlich durchgehalten, z.B. TAF: „Von des Einhorns Hörnern antworte mir!“</w:t>
      </w:r>
    </w:p>
  </w:footnote>
  <w:footnote w:id="914">
    <w:p>
      <w:pPr>
        <w:pStyle w:val="Funote"/>
        <w:rPr/>
      </w:pPr>
      <w:r>
        <w:rPr>
          <w:rStyle w:val="Funotenzeichen"/>
        </w:rPr>
        <w:footnoteRef/>
      </w:r>
      <w:r>
        <w:rPr/>
        <w:tab/>
        <w:t>deinen Namen - Der „Name“ Gottes steht in Kontexten wie diesem fast stets für „Gott im Menschenmund“: Der Psalmist verspricht, Gott vor seinen Glaubensbrüdern zu preisen, wenn er ihm hilft. Der Übergang von der Bitte zum Dankgelübde kommt hier wie oft sehr plötzlich; mitgedacht werden muss: „[Wenn du dies alles tust,] will ich dich vor meinen Brüdern preisen.“ Gut daher MEN, R-S: „Dann will ich deinen Namen meinen Brüdern kundtun“; vielleicht sogar etwas wie die Übersetzungsempfehlung der T4T: „If you save me from them, I will declare to my fellow Israelis...“</w:t>
      </w:r>
    </w:p>
  </w:footnote>
  <w:footnote w:id="915">
    <w:p>
      <w:pPr>
        <w:pStyle w:val="Funote"/>
        <w:rPr/>
      </w:pPr>
      <w:r>
        <w:rPr>
          <w:rStyle w:val="Funotenzeichen"/>
        </w:rPr>
        <w:footnoteRef/>
      </w:r>
      <w:r>
        <w:rPr/>
        <w:tab/>
        <w:t>Es folgt eine „Probe der Rede, ... welche der Dichter nach V. 23 zum Ruhme JHVHes im Verein seiner Gesinnungsgenossen halten will, wenn er ihn aus seiner Not gerettet hat.“ (Ehrlich 1905, S. 47)</w:t>
      </w:r>
    </w:p>
  </w:footnote>
  <w:footnote w:id="916">
    <w:p>
      <w:pPr>
        <w:pStyle w:val="Funote"/>
        <w:rPr/>
      </w:pPr>
      <w:r>
        <w:rPr>
          <w:rStyle w:val="Funotenzeichen"/>
        </w:rPr>
        <w:footnoteRef/>
      </w:r>
      <w:r>
        <w:rPr/>
        <w:tab/>
        <w:t>Nachkommen Jakobs - Häufiger Wechselbegriff für die »Israeliten«, die Nachfahren ihres Stammvaters Jakob/Israel (vgl. Jakob (WiBiLex)). Der Psalmist verspricht, als Bindeglied zwischen der in Vv. 4-6 berichteten Verehrung der »Vorfahren« und der Verehrung der aktuellen Kultgemeinde, den »Nachkommen Jakobs«, zu fungieren: Schon diese haben Gott verehrt und auch deren Nachkommen will nun der Psalmist zur Verehrung Gottes aufrufen.</w:t>
      </w:r>
    </w:p>
  </w:footnote>
  <w:footnote w:id="917">
    <w:p>
      <w:pPr>
        <w:pStyle w:val="Funote"/>
        <w:rPr/>
      </w:pPr>
      <w:r>
        <w:rPr>
          <w:rStyle w:val="Funotenzeichen"/>
        </w:rPr>
        <w:footnoteRef/>
      </w:r>
      <w:r>
        <w:rPr/>
        <w:tab/>
        <w:t>Erschauert, nämlich in Ehrfurcht.</w:t>
      </w:r>
    </w:p>
  </w:footnote>
  <w:footnote w:id="918">
    <w:p>
      <w:pPr>
        <w:pStyle w:val="Funote"/>
        <w:rPr/>
      </w:pPr>
      <w:r>
        <w:rPr>
          <w:rStyle w:val="Funotenzeichen"/>
        </w:rPr>
        <w:footnoteRef/>
      </w:r>
      <w:r>
        <w:rPr/>
        <w:tab/>
        <w:t>Er hat nicht sein Gesicht vor ihm verborgen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27,9; 30,8; 44,25; 69,18; 88,15; 102,3; 104,29; 143,7; Jes 8,17; 54,8; 59,2; 64,6; Jer 33,5; Ez 39,23f.29; Mic 3,4): JHWH verbirgt sein Gesicht vor jemandem = JHWH schaut jemanden nicht mehr gnädig an (und lässt so zu, dass Unheil über ihn hereinbricht). Der zur Probe gegebene Lobpreis ist suggestiv formuliert: Gott hat nicht verachtet, nicht verabscheut und nicht sein Gesicht verborgen; erst mit dem vierten Verb folgt eine positive Formulierung. Das macht Sinn: V. 25 ist immer noch Teil des Bittgebets, mit dem der Beter JHWH zur Umkehr bewegen will: Er soll doch bitte aufhören, sein Gesicht vor ihm zu verbergen.</w:t>
      </w:r>
    </w:p>
  </w:footnote>
  <w:footnote w:id="919">
    <w:p>
      <w:pPr>
        <w:pStyle w:val="Funote"/>
        <w:rPr/>
      </w:pPr>
      <w:r>
        <w:rPr>
          <w:rStyle w:val="Funotenzeichen"/>
        </w:rPr>
        <w:footnoteRef/>
      </w:r>
      <w:r>
        <w:rPr/>
        <w:tab/>
        <w:t>Von dir [wird sein] mein Lobgesang in großer Kultgemeinde - d.h. Du wirst mir durch deine Hilfe Anlass zum Lobgesang geben (Driver 1898, S. 58 FN 2). Noch mal wird der Bestechungsversuch deutlich gemacht: JHWH muss helfen, dann wird der Psalmist im Gegenzug besagten Lobgesang anstimmen. Gut übersetzt NGÜ: „Du, Herr, gibst mir Grund dafür, dich zu loben inmitten der großen Gemeinde.“</w:t>
      </w:r>
    </w:p>
  </w:footnote>
  <w:footnote w:id="920">
    <w:p>
      <w:pPr>
        <w:pStyle w:val="Funote"/>
        <w:rPr/>
      </w:pPr>
      <w:r>
        <w:rPr>
          <w:rStyle w:val="Funotenzeichen"/>
        </w:rPr>
        <w:footnoteRef/>
      </w:r>
      <w:r>
        <w:rPr/>
        <w:tab/>
        <w:t>V. 27c („euer Herz“) zeigt, dass auch V. 27 eine „Probe einer später zu haltenden Rede“ ist; worin also das Gelübde besteht, lässt sich aus V. 27 erschließen: Der Psalmist gelobt ein Todah-Mahl - ein Dankopfermahl, das der Dankende im Vorhof des Tempels für bis zu 200 andere JHWH-Gläubige spendierte. Vgl. z.B. Deissler 1981, S. 116. Gut wieder WEIN: „...und vor den Augen aller, die dich fürchten, / das Opfer bringen, das ich dir gelobt.“ Textkritik: LXX und Syr haben den Text offenbar nicht als „Rede-probe“ verstanden und daher „euer Herz“ geändert nach „ihr Herz“; dem folgen auch einige Üss.</w:t>
      </w:r>
    </w:p>
  </w:footnote>
  <w:footnote w:id="921">
    <w:p>
      <w:pPr>
        <w:pStyle w:val="Funote"/>
        <w:rPr/>
      </w:pPr>
      <w:r>
        <w:rPr>
          <w:rStyle w:val="Funotenzeichen"/>
        </w:rPr>
        <w:footnoteRef/>
      </w:r>
      <w:r>
        <w:rPr/>
        <w:tab/>
        <w:t>Elende - urspr. Bed. d. Wortes: »elend, arm«; in späteren bib. Texten auch ein terminus technicus für JHWH-Verehrer. Diese beiden Bedd. lassen sich oft nicht völlig trennen; auch hier ist wohl beides gemeint.</w:t>
      </w:r>
    </w:p>
  </w:footnote>
  <w:footnote w:id="922">
    <w:p>
      <w:pPr>
        <w:pStyle w:val="Funote"/>
        <w:rPr/>
      </w:pPr>
      <w:r>
        <w:rPr>
          <w:rStyle w:val="Funotenzeichen"/>
        </w:rPr>
        <w:footnoteRef/>
      </w:r>
      <w:r>
        <w:rPr/>
        <w:tab/>
        <w:t>die ihn verehren - W. »die ihn suchen«; in späteren Texten aber terminus technicus für den JHWH-Glauben (vgl. THAT I, Sp. 464: »sich zu Jahwe halten«). Hier auch i.S.v. »danken« (nämlich für die Teilhabe am Mahl), aber es ist auffällig, dass das selbe Verb wie in Vv. 23f. verwendet wird: Der Preis des Beters soll über den »Umweg« des Dankopfermahls an die anderen JHWH-Verehrer »überschwappen«.</w:t>
      </w:r>
    </w:p>
  </w:footnote>
  <w:footnote w:id="923">
    <w:p>
      <w:pPr>
        <w:pStyle w:val="Funote"/>
        <w:rPr/>
      </w:pPr>
      <w:r>
        <w:rPr>
          <w:rStyle w:val="Funotenzeichen"/>
        </w:rPr>
        <w:footnoteRef/>
      </w:r>
      <w:r>
        <w:rPr/>
        <w:tab/>
        <w:t>Aufleben soll euer Herz für immer scheint eine Art „Banquet-Toast“ (Gordis 1949, S. 171) gewesen zu sein. Die ersten beiden Zeilen sind offen in die Runde gesprochen - wohl einleitend vor Beginn des Todah-Mahls, um das „Ziel“ des Mahl zum Ausdruck zu bringen -, die letzte Zeile als Toast zur Eröffnung des Mahls selbst.</w:t>
      </w:r>
    </w:p>
  </w:footnote>
  <w:footnote w:id="924">
    <w:p>
      <w:pPr>
        <w:pStyle w:val="Funote"/>
        <w:rPr/>
      </w:pPr>
      <w:r>
        <w:rPr>
          <w:rStyle w:val="Funotenzeichen"/>
        </w:rPr>
        <w:footnoteRef/>
      </w:r>
      <w:r>
        <w:rPr/>
        <w:tab/>
        <w:t>[davon] - schwierige Stelle; der Zusammenhang von Vv. 28-32 mit vorigen Teil des Psalms ist nicht leicht zu erkennen. Häufig hält man diese Verse daher für eine spätere Hinzufügung. Wahrscheinlich lassen sie sich aber auch so erklären: So, wie der Psalmist laut Vv. 23-25 den JHWH-gläubigen Israeliten von JHWHs Heilshandeln berichtet hat, wird dieser Bericht auch an die andersgläubigen Nationen dringen und beeindruckt von Gottes Macht werden sie sich zu JHWH bekehren. S. zum Gedanken z.B. Ps 51,15f. und vgl. gut Kissane 1953, S. 102.</w:t>
      </w:r>
    </w:p>
  </w:footnote>
  <w:footnote w:id="925">
    <w:p>
      <w:pPr>
        <w:pStyle w:val="Funote"/>
        <w:rPr/>
      </w:pPr>
      <w:r>
        <w:rPr>
          <w:rStyle w:val="Funotenzeichen"/>
        </w:rPr>
        <w:footnoteRef/>
      </w:r>
      <w:r>
        <w:rPr/>
        <w:tab/>
        <w:t>Alle Enden der Erde = „die ganze Welt“.</w:t>
      </w:r>
    </w:p>
  </w:footnote>
  <w:footnote w:id="926">
    <w:p>
      <w:pPr>
        <w:pStyle w:val="Funote"/>
        <w:rPr/>
      </w:pPr>
      <w:r>
        <w:rPr>
          <w:rStyle w:val="Funotenzeichen"/>
        </w:rPr>
        <w:footnoteRef/>
      </w:r>
      <w:r>
        <w:rPr/>
        <w:tab/>
        <w:t>Textkritik: vor dir (vor ihm) - „vor dir“ nach MT; vor ihm nach einigen Handschriften, LXX, Syr, Hieronymus. Häufig wird daher in Kommentaren und Üss. davon ausgegangen, dass Letzteres die ursprüngliche Version war, und der Text zu „vor ihm“ geändert. Wohl unnötig; der unvermittelte Wechsel von einer Person zur anderen ist in der bib. Poesie ein häufiges Stilmittel („P-Shift“); die Üs. von LXX, Syr und Hieronymus lassen sich auch damit erklären, dass sie das erkannt und idiomatscher in ihre Sprachen übertragen haben.</w:t>
      </w:r>
    </w:p>
  </w:footnote>
  <w:footnote w:id="927">
    <w:p>
      <w:pPr>
        <w:pStyle w:val="Funote"/>
        <w:rPr/>
      </w:pPr>
      <w:r>
        <w:rPr>
          <w:rStyle w:val="Funotenzeichen"/>
        </w:rPr>
        <w:footnoteRef/>
      </w:r>
      <w:r>
        <w:rPr/>
        <w:tab/>
        <w:t>[mit den Worten] - Auch V. 29 ist wahrscheinlich ein Zitat; hier das Zitat von „allen Sippen der Völker“, die damit Gott als rechtmäßigen Herrscher über die Völker anerkennen. Das ki („Ja!“, „denn“) ist dann wohl ein sog. „ki recitativum“ und dient genau dem Zweck, das folgende als wörtliche Rede zu markieren.</w:t>
      </w:r>
    </w:p>
  </w:footnote>
  <w:footnote w:id="928">
    <w:p>
      <w:pPr>
        <w:pStyle w:val="Funote"/>
        <w:rPr/>
      </w:pPr>
      <w:r>
        <w:rPr>
          <w:rStyle w:val="Funotenzeichen"/>
        </w:rPr>
        <w:footnoteRef/>
      </w:r>
      <w:r>
        <w:rPr/>
        <w:tab/>
        <w:t>Textkritik: Die alternative Üs. ist die wörtliche Üs. des MT, der offensichtlich keinen Sinn macht. Beinahe allgemein anerkannt ist daher die Textkorrektur von ´aklu wajischtachawu („Es aßen und warfen sich nieder“; Konsonanten: ´klw wjschtchw) zu ´ak lo jischtachawu („Ja, vor ihm warfen sich nieder“; Konsonanten: ´k lw jschtchw). Für eine noch schonendere Textkorrektur s. die übernächste FN.</w:t>
      </w:r>
    </w:p>
  </w:footnote>
  <w:footnote w:id="929">
    <w:p>
      <w:pPr>
        <w:pStyle w:val="Funote"/>
        <w:rPr/>
      </w:pPr>
      <w:r>
        <w:rPr>
          <w:rStyle w:val="Funotenzeichen"/>
        </w:rPr>
        <w:footnoteRef/>
      </w:r>
      <w:r>
        <w:rPr/>
        <w:tab/>
        <w:t>seinem Gesicht - d.h. „vor ihm“.</w:t>
      </w:r>
    </w:p>
  </w:footnote>
  <w:footnote w:id="930">
    <w:p>
      <w:pPr>
        <w:pStyle w:val="Funote"/>
        <w:rPr/>
      </w:pPr>
      <w:r>
        <w:rPr>
          <w:rStyle w:val="Funotenzeichen"/>
        </w:rPr>
        <w:footnoteRef/>
      </w:r>
      <w:r>
        <w:rPr/>
        <w:tab/>
        <w:t>Vv. 30f. - Wir folgen hier der Deutung von Keel-Leu 1970, der auch Kselman 1982, S. 189 und Davis 1992, S. 101, FN 2 folgen: Laut mehrfachem Zeugnis der Bibel können Gestorbene JHWH gar nicht preisen (s. Ps 6,6; 30,10; 88,11f.; 115,17; Jes 38,18; Sir 17,22f.). Vv. 30c darf daher nicht zu 30b gezogen werden („Es werden sich verbeugen alle Fetten der Erde vor seinem Gesicht / und der, der seine Seele nicht am Leben erhalten konnte.“), sondern muss als Nebensatz von V. 31a gedeutet werden: „[Von dem,] der seine Seele nicht am Leben erhalten konnte, / werden [seine] Nachkommen ihm dienen“. Die „Fetten“, die, die „in den Staub sinken“ (dazu s.o. FN v) und die, die „ihre Seele nicht am Leben erhalten konnten“ bilden einen dreifachen Merismus, mit dem die Gesamtheit der andersgläubigen Völker bezeichnet werden: Die „Fetten“ sind dabei die Gesunden und Reichen unter ihnen (sicher in Abgrenzung von den „elenden“ Israeliten in V. 27); die, die „in den Staub sinken“ die Sterbenden und die, die „ihre Seele nicht am Leben erhalten konnten“ die bereits Gestorbenen. Sogar sie werden über den „Umweg“ ihrer Nachfahren in die allgemeine JHWH-Verehrung eingegliedert. tFN: Diese Deutung ist übrigens vielleicht auch mit einer noch schonenderen Textkorrektur als der in 30a möglich: Das Wayyiqtol wajischtachawu ist umzupunktieren zum Weyiqtol wejischtachawu; das we fungiert dabei als „Waw apodoseos“. ´aklu ist ein independenter asyndetischer Relativsatz wie z.B. auch in Jes 41,24, dann: Wer aß, wird sich niederwerfen, (gemeint sind die zum Mahl geladenen Armen aus V. 27) : Alle Fetten der Erde (sc. die Reichen) werden sich vor seinem Gesicht verbeugen; Und von allen, die hinabgestiegen sind in den Staub - : Von dem, der seine Seele nicht am Leben erhalten konnte - : Werden [seine] Nachkommen ihm dienen.</w:t>
      </w:r>
    </w:p>
  </w:footnote>
  <w:footnote w:id="931">
    <w:p>
      <w:pPr>
        <w:pStyle w:val="Funote"/>
        <w:rPr/>
      </w:pPr>
      <w:r>
        <w:rPr>
          <w:rStyle w:val="Funotenzeichen"/>
        </w:rPr>
        <w:footnoteRef/>
      </w:r>
      <w:r>
        <w:rPr/>
        <w:tab/>
        <w:t>Textkritik: W. „sie werden kommen“; das Wort gehört wie in der LXX noch zum letzten Vers („der Generation, [die noch kommen wird]“); so fast alle Exegeten; eine neuere Ausnahme z.B. Houston/Waltke 2010, S. 396.</w:t>
      </w:r>
    </w:p>
  </w:footnote>
  <w:footnote w:id="932">
    <w:p>
      <w:pPr>
        <w:pStyle w:val="Funote"/>
        <w:rPr/>
      </w:pPr>
      <w:r>
        <w:rPr>
          <w:rStyle w:val="Funotenzeichen"/>
        </w:rPr>
        <w:footnoteRef/>
      </w:r>
      <w:r>
        <w:rPr/>
        <w:tab/>
        <w:t>[Status: Sehr gut]</w:t>
      </w:r>
    </w:p>
  </w:footnote>
  <w:footnote w:id="933">
    <w:p>
      <w:pPr>
        <w:pStyle w:val="Funote"/>
        <w:rPr/>
      </w:pPr>
      <w:r>
        <w:rPr>
          <w:rStyle w:val="Funotenzeichen"/>
        </w:rPr>
        <w:footnoteRef/>
      </w:r>
      <w:r>
        <w:rPr/>
        <w:tab/>
        <w:t>E. Zenger übersetzt in seinem Kommentar: „»Mein Hirte ist der Herr« (und niemand sonst)“ (Hossfeld/Zenger 1993, 153). Psalm 23 vergleicht Gottes Fürsorge mit der eines Hirten für seine Schafe.</w:t>
      </w:r>
    </w:p>
  </w:footnote>
  <w:footnote w:id="934">
    <w:p>
      <w:pPr>
        <w:pStyle w:val="Funote"/>
        <w:rPr/>
      </w:pPr>
      <w:r>
        <w:rPr>
          <w:rStyle w:val="Funotenzeichen"/>
        </w:rPr>
        <w:footnoteRef/>
      </w:r>
      <w:r>
        <w:rPr/>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935">
    <w:p>
      <w:pPr>
        <w:pStyle w:val="Funote"/>
        <w:rPr/>
      </w:pPr>
      <w:r>
        <w:rPr>
          <w:rStyle w:val="Funotenzeichen"/>
        </w:rPr>
        <w:footnoteRef/>
      </w:r>
      <w:r>
        <w:rPr/>
        <w:tab/>
        <w:t>so Waltke 2010, S. 434</w:t>
      </w:r>
    </w:p>
  </w:footnote>
  <w:footnote w:id="936">
    <w:p>
      <w:pPr>
        <w:pStyle w:val="Funote"/>
        <w:rPr/>
      </w:pPr>
      <w:r>
        <w:rPr>
          <w:rStyle w:val="Funotenzeichen"/>
        </w:rPr>
        <w:footnoteRef/>
      </w:r>
      <w:r>
        <w:rPr/>
        <w:tab/>
        <w:t>Die Constructus-Verbindung hier kann verschieden aufgelöst werden. Diese Übersetzung ist wörtlicher; s.a. NGÜ, GNB.</w:t>
      </w:r>
    </w:p>
  </w:footnote>
  <w:footnote w:id="937">
    <w:p>
      <w:pPr>
        <w:pStyle w:val="Funote"/>
        <w:rPr/>
      </w:pPr>
      <w:r>
        <w:rPr>
          <w:rStyle w:val="Funotenzeichen"/>
        </w:rPr>
        <w:footnoteRef/>
      </w:r>
      <w:r>
        <w:rPr/>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938">
    <w:p>
      <w:pPr>
        <w:pStyle w:val="Funote"/>
        <w:rPr/>
      </w:pPr>
      <w:r>
        <w:rPr>
          <w:rStyle w:val="Funotenzeichen"/>
        </w:rPr>
        <w:footnoteRef/>
      </w:r>
      <w:r>
        <w:rPr/>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939">
    <w:p>
      <w:pPr>
        <w:pStyle w:val="Funote"/>
        <w:rPr/>
      </w:pPr>
      <w:r>
        <w:rPr>
          <w:rStyle w:val="Funotenzeichen"/>
        </w:rPr>
        <w:footnoteRef/>
      </w:r>
      <w:r>
        <w:rPr/>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Wibilex.de, Art. „Leben“,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940">
    <w:p>
      <w:pPr>
        <w:pStyle w:val="Funote"/>
        <w:rPr/>
      </w:pPr>
      <w:r>
        <w:rPr>
          <w:rStyle w:val="Funotenzeichen"/>
        </w:rPr>
        <w:footnoteRef/>
      </w:r>
      <w:r>
        <w:rPr/>
        <w:tab/>
        <w:t>Die Einheitsübersetzung hat: „Er stillt mein Verlangen.“ E. Zenger schlägt in seinem Kommentar als Alternative hierzu vor: „Er stellt meine Lebenskraft wieder her.“ (Hossfeld/Zenger 1993, 153)</w:t>
      </w:r>
    </w:p>
  </w:footnote>
  <w:footnote w:id="941">
    <w:p>
      <w:pPr>
        <w:pStyle w:val="Funote"/>
        <w:rPr/>
      </w:pPr>
      <w:r>
        <w:rPr>
          <w:rStyle w:val="Funotenzeichen"/>
        </w:rPr>
        <w:footnoteRef/>
      </w:r>
      <w:r>
        <w:rPr/>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942">
    <w:p>
      <w:pPr>
        <w:pStyle w:val="Funote"/>
        <w:rPr/>
      </w:pPr>
      <w:r>
        <w:rPr>
          <w:rStyle w:val="Funotenzeichen"/>
        </w:rPr>
        <w:footnoteRef/>
      </w:r>
      <w:r>
        <w:rPr/>
        <w:tab/>
        <w:t>vgl. Ehrlich 1905, S. 60: „</w:t>
      </w:r>
      <w:r>
        <w:rPr>
          <w:rtl w:val="true"/>
          <w:lang w:bidi="he-IL"/>
        </w:rPr>
        <w:t>ילך</w:t>
      </w:r>
      <w:r>
        <w:rPr/>
        <w:t xml:space="preserve"> </w:t>
      </w:r>
      <w:r>
        <w:rPr/>
        <w:t>kann nur ein Hingehen oder Hineingehen, nicht aber eine Bewegung innerhalb gegebener Grenzen bezeichnen.“</w:t>
      </w:r>
    </w:p>
  </w:footnote>
  <w:footnote w:id="943">
    <w:p>
      <w:pPr>
        <w:pStyle w:val="Funote"/>
        <w:rPr/>
      </w:pPr>
      <w:r>
        <w:rPr>
          <w:rStyle w:val="Funotenzeichen"/>
        </w:rPr>
        <w:footnoteRef/>
      </w:r>
      <w:r>
        <w:rPr/>
        <w:tab/>
        <w:t>vgl. Sabottka 1972, S. 129</w:t>
      </w:r>
    </w:p>
  </w:footnote>
  <w:footnote w:id="944">
    <w:p>
      <w:pPr>
        <w:pStyle w:val="Funote"/>
        <w:rPr/>
      </w:pPr>
      <w:r>
        <w:rPr>
          <w:rStyle w:val="Funotenzeichen"/>
        </w:rPr>
        <w:footnoteRef/>
      </w:r>
      <w:r>
        <w:rPr>
          <w:rtl w:val="true"/>
          <w:lang w:bidi="he-IL"/>
        </w:rPr>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945">
    <w:p>
      <w:pPr>
        <w:pStyle w:val="Funote"/>
        <w:rPr/>
      </w:pPr>
      <w:r>
        <w:rPr>
          <w:rStyle w:val="Funotenzeichen"/>
        </w:rPr>
        <w:footnoteRef/>
      </w:r>
      <w:r>
        <w:rPr/>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946">
    <w:p>
      <w:pPr>
        <w:pStyle w:val="Funote"/>
        <w:rPr/>
      </w:pPr>
      <w:r>
        <w:rPr>
          <w:rStyle w:val="Funotenzeichen"/>
        </w:rPr>
        <w:footnoteRef/>
      </w:r>
      <w:r>
        <w:rPr/>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947">
    <w:p>
      <w:pPr>
        <w:pStyle w:val="Funote"/>
        <w:rPr/>
      </w:pPr>
      <w:r>
        <w:rPr>
          <w:rStyle w:val="Funotenzeichen"/>
        </w:rPr>
        <w:footnoteRef/>
      </w:r>
      <w:r>
        <w:rPr/>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948">
    <w:p>
      <w:pPr>
        <w:pStyle w:val="Funote"/>
        <w:rPr/>
      </w:pPr>
      <w:r>
        <w:rPr>
          <w:rStyle w:val="Funotenzeichen"/>
        </w:rPr>
        <w:footnoteRef/>
      </w:r>
      <w:r>
        <w:rPr/>
        <w:tab/>
        <w:t>pluralis maiestatis / intensitatis; so Sabottka 1972, S. 129</w:t>
      </w:r>
    </w:p>
  </w:footnote>
  <w:footnote w:id="949">
    <w:p>
      <w:pPr>
        <w:pStyle w:val="Funote"/>
        <w:rPr/>
      </w:pPr>
      <w:r>
        <w:rPr>
          <w:rStyle w:val="Funotenzeichen"/>
        </w:rPr>
        <w:footnoteRef/>
      </w:r>
      <w:r>
        <w:rPr/>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950">
    <w:p>
      <w:pPr>
        <w:pStyle w:val="Funote"/>
        <w:rPr/>
      </w:pPr>
      <w:r>
        <w:rPr>
          <w:rStyle w:val="Funotenzeichen"/>
        </w:rPr>
        <w:footnoteRef/>
      </w:r>
      <w:r>
        <w:rPr/>
        <w:tab/>
        <w:t>„</w:t>
      </w:r>
      <w:r>
        <w:rPr/>
        <w:t>randvoll (fließt über)“ ist wörtlich eigentlich ein Substantiv: „Mein Becher [ist] Überfluss“; der Einsatz von Substantiven als Adjektiven ist aber ganz gewöhnlich im Hebräischen; s. z.B. GKC §141c.</w:t>
      </w:r>
    </w:p>
  </w:footnote>
  <w:footnote w:id="951">
    <w:p>
      <w:pPr>
        <w:pStyle w:val="Funote"/>
        <w:rPr/>
      </w:pPr>
      <w:r>
        <w:rPr>
          <w:rStyle w:val="Funotenzeichen"/>
        </w:rPr>
        <w:footnoteRef/>
      </w:r>
      <w:r>
        <w:rPr/>
        <w:tab/>
        <w:t>An dieser Stelle kann das Wort sowohl bekräftigend als auch einschränkend verstanden werden.</w:t>
      </w:r>
    </w:p>
  </w:footnote>
  <w:footnote w:id="952">
    <w:p>
      <w:pPr>
        <w:pStyle w:val="Funote"/>
        <w:rPr/>
      </w:pPr>
      <w:r>
        <w:rPr>
          <w:rStyle w:val="Funotenzeichen"/>
        </w:rPr>
        <w:footnoteRef/>
      </w:r>
      <w:r>
        <w:rPr/>
        <w:tab/>
        <w:t>nach Knauf 2001, S. 556.</w:t>
      </w:r>
    </w:p>
  </w:footnote>
  <w:footnote w:id="953">
    <w:p>
      <w:pPr>
        <w:pStyle w:val="Funote"/>
        <w:rPr/>
      </w:pPr>
      <w:r>
        <w:rPr>
          <w:rStyle w:val="Funotenzeichen"/>
        </w:rPr>
        <w:footnoteRef/>
      </w:r>
      <w:r>
        <w:rPr/>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954">
    <w:p>
      <w:pPr>
        <w:pStyle w:val="Funote"/>
        <w:rPr/>
      </w:pPr>
      <w:r>
        <w:rPr>
          <w:rStyle w:val="Funotenzeichen"/>
        </w:rPr>
        <w:footnoteRef/>
      </w:r>
      <w:r>
        <w:rPr/>
        <w:tab/>
        <w:t>[Status: Zuverlässig]</w:t>
      </w:r>
    </w:p>
  </w:footnote>
  <w:footnote w:id="955">
    <w:p>
      <w:pPr>
        <w:pStyle w:val="Funote"/>
        <w:rPr/>
      </w:pPr>
      <w:r>
        <w:rPr>
          <w:rStyle w:val="Funotenzeichen"/>
        </w:rPr>
        <w:footnoteRef/>
      </w:r>
      <w:r>
        <w:rPr/>
        <w:tab/>
        <w:t>Die „Tempelweihe“ ist das seit 165 v. Chr. begangene Fest der Wiederherstellung des Tempels (vgl. 1Makk 4,52ff; 2Makk 10,5ff; Joh 10,22). Nach Sopherim 18,2 wurde der Psalm in der Tat zu dieser Gelegenheit gesungen.</w:t>
      </w:r>
    </w:p>
  </w:footnote>
  <w:footnote w:id="956">
    <w:p>
      <w:pPr>
        <w:pStyle w:val="Funote"/>
        <w:rPr/>
      </w:pPr>
      <w:r>
        <w:rPr>
          <w:rStyle w:val="Funotenzeichen"/>
        </w:rPr>
        <w:footnoteRef/>
      </w:r>
      <w:r>
        <w:rPr/>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957">
    <w:p>
      <w:pPr>
        <w:pStyle w:val="Funote"/>
        <w:rPr/>
      </w:pPr>
      <w:r>
        <w:rPr>
          <w:rStyle w:val="Funotenzeichen"/>
        </w:rPr>
        <w:footnoteRef/>
      </w:r>
      <w:r>
        <w:rPr/>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958">
    <w:p>
      <w:pPr>
        <w:pStyle w:val="Funote"/>
        <w:rPr/>
      </w:pPr>
      <w:r>
        <w:rPr>
          <w:rStyle w:val="Funotenzeichen"/>
        </w:rPr>
        <w:footnoteRef/>
      </w:r>
      <w:r>
        <w:rPr/>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959">
    <w:p>
      <w:pPr>
        <w:pStyle w:val="Funote"/>
        <w:rPr/>
      </w:pPr>
      <w:r>
        <w:rPr>
          <w:rStyle w:val="Funotenzeichen"/>
        </w:rPr>
        <w:footnoteRef/>
      </w:r>
      <w:r>
        <w:rPr/>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960">
    <w:p>
      <w:pPr>
        <w:pStyle w:val="Funote"/>
        <w:rPr/>
      </w:pPr>
      <w:r>
        <w:rPr>
          <w:rStyle w:val="Funotenzeichen"/>
        </w:rPr>
        <w:footnoteRef/>
      </w:r>
      <w:r>
        <w:rPr/>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961">
    <w:p>
      <w:pPr>
        <w:pStyle w:val="Funote"/>
        <w:rPr/>
      </w:pPr>
      <w:r>
        <w:rPr>
          <w:rStyle w:val="Funotenzeichen"/>
        </w:rPr>
        <w:footnoteRef/>
      </w:r>
      <w:r>
        <w:rPr/>
        <w:tab/>
        <w:t>W. „meine Seele“, doch im Hebräischen dient dies fast stets als Wechselbegriff für „mich“ (vgl. ad loc. Briggs 1906, S. 262; Terrien 2003, S. 282); übersetze durchaus wie vorgeschlagen.</w:t>
      </w:r>
    </w:p>
  </w:footnote>
  <w:footnote w:id="962">
    <w:p>
      <w:pPr>
        <w:pStyle w:val="Funote"/>
        <w:rPr/>
      </w:pPr>
      <w:r>
        <w:rPr>
          <w:rStyle w:val="Funotenzeichen"/>
        </w:rPr>
        <w:footnoteRef/>
      </w:r>
      <w:r>
        <w:rPr/>
        <w:tab/>
        <w:t>gut verständlich ALB, HfA: „du hast mich dem Tode entrissen“</w:t>
      </w:r>
    </w:p>
  </w:footnote>
  <w:footnote w:id="963">
    <w:p>
      <w:pPr>
        <w:pStyle w:val="Funote"/>
        <w:rPr/>
      </w:pPr>
      <w:r>
        <w:rPr>
          <w:rStyle w:val="Funotenzeichen"/>
        </w:rPr>
        <w:footnoteRef/>
      </w:r>
      <w:r>
        <w:rPr/>
        <w:tab/>
        <w:t>zu „Grube“ als Metapher für die Unterwelt vgl. FN c</w:t>
      </w:r>
    </w:p>
  </w:footnote>
  <w:footnote w:id="964">
    <w:p>
      <w:pPr>
        <w:pStyle w:val="Funote"/>
        <w:rPr/>
      </w:pPr>
      <w:r>
        <w:rPr>
          <w:rStyle w:val="Funotenzeichen"/>
        </w:rPr>
        <w:footnoteRef/>
      </w:r>
      <w:r>
        <w:rPr/>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965">
    <w:p>
      <w:pPr>
        <w:pStyle w:val="Funote"/>
        <w:rPr/>
      </w:pPr>
      <w:r>
        <w:rPr>
          <w:rStyle w:val="Funotenzeichen"/>
        </w:rPr>
        <w:footnoteRef/>
      </w:r>
      <w:r>
        <w:rPr/>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966">
    <w:p>
      <w:pPr>
        <w:pStyle w:val="Funote"/>
        <w:rPr/>
      </w:pPr>
      <w:r>
        <w:rPr>
          <w:rStyle w:val="Funotenzeichen"/>
        </w:rPr>
        <w:footnoteRef/>
      </w:r>
      <w:r>
        <w:rPr/>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967">
    <w:p>
      <w:pPr>
        <w:pStyle w:val="Funote"/>
        <w:rPr/>
      </w:pPr>
      <w:r>
        <w:rPr>
          <w:rStyle w:val="Funotenzeichen"/>
        </w:rPr>
        <w:footnoteRef/>
      </w:r>
      <w:r>
        <w:rPr/>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968">
    <w:p>
      <w:pPr>
        <w:pStyle w:val="Funote"/>
        <w:rPr/>
      </w:pPr>
      <w:r>
        <w:rPr>
          <w:rStyle w:val="Funotenzeichen"/>
        </w:rPr>
        <w:footnoteRef/>
      </w:r>
      <w:r>
        <w:rPr/>
        <w:tab/>
        <w:t xml:space="preserve">emphatisches </w:t>
      </w:r>
      <w:r>
        <w:rPr>
          <w:rtl w:val="true"/>
          <w:lang w:bidi="he-IL"/>
        </w:rPr>
        <w:t>כי</w:t>
      </w:r>
      <w:r>
        <w:rPr/>
        <w:t>, so auch Deissler 1989; Kraus 1961. Im Deutschen nicht zu übersetzen.</w:t>
      </w:r>
    </w:p>
  </w:footnote>
  <w:footnote w:id="969">
    <w:p>
      <w:pPr>
        <w:pStyle w:val="Funote"/>
        <w:rPr/>
      </w:pPr>
      <w:r>
        <w:rPr>
          <w:rStyle w:val="Funotenzeichen"/>
        </w:rPr>
        <w:footnoteRef/>
      </w:r>
      <w:r>
        <w:rPr/>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 Es wird einfach ein Verb ergänzt, z.B.: „Nur kurz [handelt er] in seinem Zorn...“: Briggs 1906; Deissler 1989; Kraus 1961; Weber 2007</w:t>
      </w:r>
    </w:p>
  </w:footnote>
  <w:footnote w:id="970">
    <w:p>
      <w:pPr>
        <w:pStyle w:val="Funote"/>
        <w:rPr/>
      </w:pPr>
      <w:r>
        <w:rPr>
          <w:rStyle w:val="Funotenzeichen"/>
        </w:rPr>
        <w:footnoteRef/>
      </w:r>
      <w:r>
        <w:rPr/>
        <w:tab/>
        <w:t>verbringt man die Nacht auch weinend - so sinnvoll Buttenwieser 1938. Wegen des Parallelismus ist aber doch die Standard-Deutung vorzuziehen.</w:t>
      </w:r>
    </w:p>
  </w:footnote>
  <w:footnote w:id="971">
    <w:p>
      <w:pPr>
        <w:pStyle w:val="Funote"/>
        <w:rPr/>
      </w:pPr>
      <w:r>
        <w:rPr>
          <w:rStyle w:val="Funotenzeichen"/>
        </w:rPr>
        <w:footnoteRef/>
      </w:r>
      <w:r>
        <w:rPr/>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972">
    <w:p>
      <w:pPr>
        <w:pStyle w:val="Funote"/>
        <w:rPr/>
      </w:pPr>
      <w:r>
        <w:rPr>
          <w:rStyle w:val="Funotenzeichen"/>
        </w:rPr>
        <w:footnoteRef/>
      </w:r>
      <w:r>
        <w:rPr/>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973">
    <w:p>
      <w:pPr>
        <w:pStyle w:val="Funote"/>
        <w:rPr/>
      </w:pPr>
      <w:r>
        <w:rPr>
          <w:rStyle w:val="Funotenzeichen"/>
        </w:rPr>
        <w:footnoteRef/>
      </w:r>
      <w:r>
        <w:rPr/>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974">
    <w:p>
      <w:pPr>
        <w:pStyle w:val="Funote"/>
        <w:rPr/>
      </w:pPr>
      <w:r>
        <w:rPr>
          <w:rStyle w:val="Funotenzeichen"/>
        </w:rPr>
        <w:footnoteRef/>
      </w:r>
      <w:r>
        <w:rPr/>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975">
    <w:p>
      <w:pPr>
        <w:pStyle w:val="Funote"/>
        <w:rPr/>
      </w:pPr>
      <w:r>
        <w:rPr>
          <w:rStyle w:val="Funotenzeichen"/>
        </w:rPr>
        <w:footnoteRef/>
      </w:r>
      <w:r>
        <w:rPr/>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976">
    <w:p>
      <w:pPr>
        <w:pStyle w:val="Funote"/>
        <w:rPr/>
      </w:pPr>
      <w:r>
        <w:rPr>
          <w:rStyle w:val="Funotenzeichen"/>
        </w:rPr>
        <w:footnoteRef/>
      </w:r>
      <w:r>
        <w:rPr/>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977">
    <w:p>
      <w:pPr>
        <w:pStyle w:val="Funote"/>
        <w:rPr/>
      </w:pPr>
      <w:r>
        <w:rPr>
          <w:rStyle w:val="Funotenzeichen"/>
        </w:rPr>
        <w:footnoteRef/>
      </w:r>
      <w:r>
        <w:rPr/>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978">
    <w:p>
      <w:pPr>
        <w:pStyle w:val="Funote"/>
        <w:rPr/>
      </w:pPr>
      <w:r>
        <w:rPr>
          <w:rStyle w:val="Funotenzeichen"/>
        </w:rPr>
        <w:footnoteRef/>
      </w:r>
      <w:r>
        <w:rPr/>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979">
    <w:p>
      <w:pPr>
        <w:pStyle w:val="Funote"/>
        <w:rPr/>
      </w:pPr>
      <w:r>
        <w:rPr>
          <w:rStyle w:val="Funotenzeichen"/>
        </w:rPr>
        <w:footnoteRef/>
      </w:r>
      <w:r>
        <w:rPr/>
        <w:tab/>
        <w:t>zu »Schacht« als Metapher für die Unterwelt vgl. FN c.</w:t>
      </w:r>
    </w:p>
  </w:footnote>
  <w:footnote w:id="980">
    <w:p>
      <w:pPr>
        <w:pStyle w:val="Funote"/>
        <w:rPr/>
      </w:pPr>
      <w:r>
        <w:rPr>
          <w:rStyle w:val="Funotenzeichen"/>
        </w:rPr>
        <w:footnoteRef/>
      </w:r>
      <w:r>
        <w:rPr/>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981">
    <w:p>
      <w:pPr>
        <w:pStyle w:val="Funote"/>
        <w:rPr/>
      </w:pPr>
      <w:r>
        <w:rPr>
          <w:rStyle w:val="Funotenzeichen"/>
        </w:rPr>
        <w:footnoteRef/>
      </w:r>
      <w:r>
        <w:rPr/>
        <w:tab/>
        <w:t>W. hören, ein häufiger term. tech. für die Gebetserhörung; so wohl auch hier.</w:t>
      </w:r>
    </w:p>
  </w:footnote>
  <w:footnote w:id="982">
    <w:p>
      <w:pPr>
        <w:pStyle w:val="Funote"/>
        <w:rPr/>
      </w:pPr>
      <w:r>
        <w:rPr>
          <w:rStyle w:val="Funotenzeichen"/>
        </w:rPr>
        <w:footnoteRef/>
      </w:r>
      <w:r>
        <w:rPr/>
        <w:tab/>
        <w:t>Da hast du gut nach EÜ; Gerstenberger 1972; GUAR; Schmidt 1934; Zenger 1987; ZÜR: V. 12 schildert die Reaktion Gottes auf den Flehruf des Psalmisten.</w:t>
      </w:r>
    </w:p>
  </w:footnote>
  <w:footnote w:id="983">
    <w:p>
      <w:pPr>
        <w:pStyle w:val="Funote"/>
        <w:rPr/>
      </w:pPr>
      <w:r>
        <w:rPr>
          <w:rStyle w:val="Funotenzeichen"/>
        </w:rPr>
        <w:footnoteRef/>
      </w:r>
      <w:r>
        <w:rPr/>
        <w:tab/>
        <w:t xml:space="preserve">meist: „gegürtet“, aber </w:t>
      </w:r>
      <w:r>
        <w:rPr>
          <w:rtl w:val="true"/>
          <w:lang w:bidi="he-IL"/>
        </w:rPr>
        <w:t>אור</w:t>
      </w:r>
      <w:r>
        <w:rPr/>
        <w:t xml:space="preserve"> </w:t>
      </w:r>
      <w:r>
        <w:rPr/>
        <w:t>kann auch allgemein „Kleiden“ bedeuten, was hier sehr viel besser passt.</w:t>
      </w:r>
    </w:p>
  </w:footnote>
  <w:footnote w:id="984">
    <w:p>
      <w:pPr>
        <w:pStyle w:val="Funote"/>
        <w:rPr/>
      </w:pPr>
      <w:r>
        <w:rPr>
          <w:rStyle w:val="Funotenzeichen"/>
        </w:rPr>
        <w:footnoteRef/>
      </w:r>
      <w:r>
        <w:rPr/>
        <w:tab/>
        <w:t xml:space="preserve">zu kausalem </w:t>
      </w:r>
      <w:r>
        <w:rPr>
          <w:rtl w:val="true"/>
          <w:lang w:bidi="he-IL"/>
        </w:rPr>
        <w:t>לְמַעַן</w:t>
      </w:r>
      <w:r>
        <w:rPr/>
        <w:t xml:space="preserve"> </w:t>
      </w:r>
      <w:r>
        <w:rPr/>
        <w:t>vgl. Fürst 847; Ges18 713; Kön 237.</w:t>
      </w:r>
    </w:p>
  </w:footnote>
  <w:footnote w:id="985">
    <w:p>
      <w:pPr>
        <w:pStyle w:val="Funote"/>
        <w:rPr/>
      </w:pPr>
      <w:r>
        <w:rPr>
          <w:rStyle w:val="Funotenzeichen"/>
        </w:rPr>
        <w:footnoteRef/>
      </w:r>
      <w:r>
        <w:rPr/>
        <w:tab/>
        <w:t>Textkritik: Leber (Herrlichkeit, Seele) - „Leber“ und „Herrlichkeit“ waren ursprünglich gleich geschrieben worden. Sehr nah verwandt ist diese Stelle mit Ps 16,9; 57,9; 108,2: An allen vier Stellen wird Gott entweder von der „Leber“ oder von der „Herrlichkeit“ des Beters besungen und die Masoreten haben sich jedes Mal für „Herrlichkeit“ entschieden. Einige Hebraisten glauben deshalb, dass „Herrlichkeit“ auch „Seele“ bedeuten und als solche Gott besingen kann. Dass es auch im Akkadischen stets entweder das Herz oder eben die „Leber“ ist, die sich freut und jubelt (vgl. Dhorme 1922, S. 509f.), spricht aber stark dafür, dass auch im Heb. md. an diesen vier Stellen „Leber“ zu lesen ist.W.: „Darum will Leber dich besingen“; wohl mit double duty-Suffix (-&gt;Brachylogie) aus V. 12: „[meine] Leber“ (alternativ ergänzen fast alle Exegeten ein Suffix).</w:t>
      </w:r>
    </w:p>
  </w:footnote>
  <w:footnote w:id="986">
    <w:p>
      <w:pPr>
        <w:pStyle w:val="Funote"/>
        <w:rPr/>
      </w:pPr>
      <w:r>
        <w:rPr>
          <w:rStyle w:val="Funotenzeichen"/>
        </w:rPr>
        <w:footnoteRef/>
      </w:r>
      <w:r>
        <w:rPr/>
        <w:tab/>
        <w:t>JHWH</w:t>
      </w:r>
    </w:p>
  </w:footnote>
  <w:footnote w:id="987">
    <w:p>
      <w:pPr>
        <w:pStyle w:val="Funote"/>
        <w:rPr/>
      </w:pPr>
      <w:r>
        <w:rPr>
          <w:rStyle w:val="Funotenzeichen"/>
        </w:rPr>
        <w:footnoteRef/>
      </w:r>
      <w:r>
        <w:rPr/>
        <w:tab/>
        <w:t>[Status: Zuverlässig]</w:t>
      </w:r>
    </w:p>
  </w:footnote>
  <w:footnote w:id="988">
    <w:p>
      <w:pPr>
        <w:pStyle w:val="Funote"/>
        <w:rPr/>
      </w:pPr>
      <w:r>
        <w:rPr>
          <w:rStyle w:val="Funotenzeichen"/>
        </w:rPr>
        <w:footnoteRef/>
      </w:r>
      <w:r>
        <w:rPr/>
        <w:tab/>
        <w:t>Chorleiter - Heb. menatseach; genaue Bedeutung unklar. Die Primärübersetzung „Chorleiter“ ist mehr oder weniger Konvention. S. noch nächste FN.</w:t>
      </w:r>
    </w:p>
  </w:footnote>
  <w:footnote w:id="989">
    <w:p>
      <w:pPr>
        <w:pStyle w:val="Funote"/>
        <w:rPr/>
      </w:pPr>
      <w:r>
        <w:rPr>
          <w:rStyle w:val="Funotenzeichen"/>
        </w:rPr>
        <w:footnoteRef/>
      </w:r>
      <w:r>
        <w:rPr/>
        <w:tab/>
        <w:t>`al-machalat - Unklarer Begriff. Für einen guten Vorschlag zur Deutung der ersten beiden Zeilen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„machalat“, bei dem der Psalm vorzuträgen war. Doch ist auch dies nur ein „educated guess“ und „Chorleiter“ ist in dt. Üss. so etabliert, dass die LF doch besser dieser Konvention folgen sollte.</w:t>
      </w:r>
    </w:p>
  </w:footnote>
  <w:footnote w:id="990">
    <w:p>
      <w:pPr>
        <w:pStyle w:val="Funote"/>
        <w:rPr/>
      </w:pPr>
      <w:r>
        <w:rPr>
          <w:rStyle w:val="Funotenzeichen"/>
        </w:rPr>
        <w:footnoteRef/>
      </w:r>
      <w:r>
        <w:rPr/>
        <w:tab/>
        <w:t>Es gibt keinen Gott - Gemeint ist kein theoretischer Atheismus, der im Alten Israel schwerlich vorstellbar ist. Der „Narr“ vertritt einen praktischen Atheismus: Er lebt und handelt so, als gäbe es keinen Gott, wie dann auch in den nächsten Zeilen näher ausgeführt wird.</w:t>
      </w:r>
    </w:p>
  </w:footnote>
  <w:footnote w:id="991">
    <w:p>
      <w:pPr>
        <w:pStyle w:val="Funote"/>
        <w:rPr/>
      </w:pPr>
      <w:r>
        <w:rPr>
          <w:rStyle w:val="Funotenzeichen"/>
        </w:rPr>
        <w:footnoteRef/>
      </w:r>
      <w:r>
        <w:rPr/>
        <w:tab/>
        <w:t>begehen und verbrechen Untat - Die beiden Verben benötigen eigentlich kein Objekt; das erste bedeutet schon allein „verderblich handeln“, das zweite „abscheulich handeln“. Die eigentlich unnötige Hinzufügung des Substantivs soll den Ausdruck noch intensiver machen.Sinnvoll daher NL: „Sie sind durch und durch schlecht, und ihre Taten sind böse“.</w:t>
      </w:r>
    </w:p>
  </w:footnote>
  <w:footnote w:id="992">
    <w:p>
      <w:pPr>
        <w:pStyle w:val="Funote"/>
        <w:rPr/>
      </w:pPr>
      <w:r>
        <w:rPr>
          <w:rStyle w:val="Funotenzeichen"/>
        </w:rPr>
        <w:footnoteRef/>
      </w:r>
      <w:r>
        <w:rPr/>
        <w:tab/>
        <w:t>: - Vv. 3-4 schildern das Ergebnis von Gottes Prüfung: Die gesamte Menschheit hat sie nicht bestanden.Dass Gott in V. 4 von sich selbst in der 3. Pers. spricht, kommt häufiger vor (vgl. dazu z.B. Malone 2009). Zu ähnlichen nicht durch ein Verb des Sagens eingeleiteten Zitaten vgl. z.B. Gordis 1949, S. 167-173.</w:t>
      </w:r>
    </w:p>
  </w:footnote>
  <w:footnote w:id="993">
    <w:p>
      <w:pPr>
        <w:pStyle w:val="Funote"/>
        <w:rPr/>
      </w:pPr>
      <w:r>
        <w:rPr>
          <w:rStyle w:val="Funotenzeichen"/>
        </w:rPr>
        <w:footnoteRef/>
      </w:r>
      <w:r>
        <w:rPr/>
        <w:tab/>
        <w:t>[Die] mein Volk fressen? / Sie fressen Brot - Oft übersetzt als »Die mein Volk fressen, wie man Brot isst«, aber dann wären die beiden unterschiedlichen Verbformen (Zeile 2: Partizip, Zeile 3: Qatal) unerklärlich (richtig Eerdmans 1947, S. 135). Unsere Üs. folgt daher deClaissé-Walford/Jacobson/Tanner 2014, S. 165; Eerdmans 1947, S. 134; vgl. auch schon Olshausen 1853, S. 79. Charakterisiert werden die Übeltäter hier also erstens darüber, dass sie »mein Volk fressen« (d.h. ausbeuten, s. ähnlich Spr 30,14; Jer 10,25; Mi 3,3; Hab 3,14), obwohl sie das nicht mal nötig hätten, da sie ja Brot zu fressen haben (d.h. keine Not leiden müssen), und zweitens darüber, dass sie Brot zu essen haben - dass es ihnen also gut geht -, aber nicht einmal dafür JHWH anrufen, also danken. Sowohl in ihrem Verhalten ihren Mitmenschen als auch Gott gegenüber sind sie durch und durch schlecht. Die Üs. von EÜ (»Sie verschlingen mein Volk. Sie essen das Brot JHWHs, doch seinen Namen rufen sie nicht an«) folgt einem unnötigen Textkorrekturvorschlag von Kissane 1953 (s. auch schon Duhm, Gunkel).</w:t>
      </w:r>
    </w:p>
  </w:footnote>
  <w:footnote w:id="994">
    <w:p>
      <w:pPr>
        <w:pStyle w:val="Funote"/>
        <w:rPr/>
      </w:pPr>
      <w:r>
        <w:rPr>
          <w:rStyle w:val="Funotenzeichen"/>
        </w:rPr>
        <w:footnoteRef/>
      </w:r>
      <w:r>
        <w:rPr/>
        <w:tab/>
        <w:t>Vv. 6ab - W.: „Da erschraken sie einen Schrecken / nicht war Schrecken.“ Unsere Üs. folgt Buttenwieser 1938, S. 478 (so auch Brueggemann/Bellinger 2014, S. 244; deClaissé-Walford/Jacobson/Tanner 2014, S. 465). Alternativ könnte man den zweiten Satz mit einigen alten Exegeten (z.B. Hitzig und Ewald) als eine sog. „Epanorthosis“ auffassen: als emphatische Ersetzung eines Textstücks durch ein anderes (z.B.: „Wenn du das tust, gebe ich dir hundert Euro. Ach was, hundert - tausend Euro geb ich dir!“): Da erschraken sie einen Schrecken. Doch nein, nicht nur Schrecken wars, [sondern]...So und so wäre der Sinn der zweiten Zeilen die erste Zeile noch zusätzlich zu intensivieren.</w:t>
      </w:r>
    </w:p>
  </w:footnote>
  <w:footnote w:id="995">
    <w:p>
      <w:pPr>
        <w:pStyle w:val="Funote"/>
        <w:rPr/>
      </w:pPr>
      <w:r>
        <w:rPr>
          <w:rStyle w:val="Funotenzeichen"/>
        </w:rPr>
        <w:footnoteRef/>
      </w:r>
      <w:r>
        <w:rPr/>
        <w:tab/>
        <w:t>des bei dir Lagernden - Sehr schwierige Stelle (Weiss 1968, S. 131: „completely meaningless“). Am besten wohl so zu verstehen: Der Psalmist wendet sich hier an die Israeliten und erinnert sie daran, wie sie mit Gottes Hilfe die Ausländer, die unrechtmäßig ihr Land okkupiert hatten (wie z.B. die Edomiter zur Zeit der babylonischen Gefangenschaft), zuschanden machen konnten. Der „bei dir Lagernde“ ist also „dein Okkupant“.</w:t>
      </w:r>
    </w:p>
  </w:footnote>
  <w:footnote w:id="996">
    <w:p>
      <w:pPr>
        <w:pStyle w:val="Funote"/>
        <w:rPr/>
      </w:pPr>
      <w:r>
        <w:rPr>
          <w:rStyle w:val="Funotenzeichen"/>
        </w:rPr>
        <w:footnoteRef/>
      </w:r>
      <w:r>
        <w:rPr/>
        <w:tab/>
        <w:t>Zion - Der Berg in Jerusalem, auf dem Gott in seinem Tempel wohnt. Hilfe von Gott kommt daher „vom Zion“ (vgl. z.B. Zion/Zionstheologie (WiBiLex).</w:t>
      </w:r>
    </w:p>
  </w:footnote>
  <w:footnote w:id="997">
    <w:p>
      <w:pPr>
        <w:pStyle w:val="Funote"/>
        <w:rPr/>
      </w:pPr>
      <w:r>
        <w:rPr>
          <w:rStyle w:val="Funotenzeichen"/>
        </w:rPr>
        <w:footnoteRef/>
      </w:r>
      <w:r>
        <w:rPr/>
        <w:tab/>
        <w:t>Möge es doch vom Zion Rettung für Israel geben! - W.: „Wer wird geben vom Zion Rettung für Israel!?“, die heb. Wendung „Wer wird geben X“ ist ein Idiom für „Es möge sein, dass... X“.</w:t>
      </w:r>
    </w:p>
  </w:footnote>
  <w:footnote w:id="998">
    <w:p>
      <w:pPr>
        <w:pStyle w:val="Funote"/>
        <w:rPr/>
      </w:pPr>
      <w:r>
        <w:rPr>
          <w:rStyle w:val="Funotenzeichen"/>
        </w:rPr>
        <w:footnoteRef/>
      </w:r>
      <w:r>
        <w:rPr/>
        <w:tab/>
        <w:t>Jakob - Alternativer Begriff für Israel, da Jakob nach Gen 25 der Stammvater der Israeliten war.</w:t>
      </w:r>
    </w:p>
  </w:footnote>
  <w:footnote w:id="999">
    <w:p>
      <w:pPr>
        <w:pStyle w:val="Funote"/>
        <w:rPr/>
      </w:pPr>
      <w:r>
        <w:rPr>
          <w:rStyle w:val="Funotenzeichen"/>
        </w:rPr>
        <w:footnoteRef/>
      </w:r>
      <w:r>
        <w:rPr/>
        <w:tab/>
        <w:t>[Status: Sehr gut]</w:t>
      </w:r>
    </w:p>
  </w:footnote>
  <w:footnote w:id="1000">
    <w:p>
      <w:pPr>
        <w:pStyle w:val="Funote"/>
        <w:rPr/>
      </w:pPr>
      <w:r>
        <w:rPr>
          <w:rStyle w:val="Funotenzeichen"/>
        </w:rPr>
        <w:footnoteRef/>
      </w:r>
      <w:r>
        <w:rPr/>
        <w:tab/>
        <w:t>Für den obersten Musiker Manche Übersetzungen verstehen dieses Wort als Anweisung, den Psalm vorzusingen (LUT, GNB).</w:t>
      </w:r>
    </w:p>
  </w:footnote>
  <w:footnote w:id="1001">
    <w:p>
      <w:pPr>
        <w:pStyle w:val="Funote"/>
        <w:rPr/>
      </w:pPr>
      <w:r>
        <w:rPr>
          <w:rStyle w:val="Funotenzeichen"/>
        </w:rPr>
        <w:footnoteRef/>
      </w:r>
      <w:r>
        <w:rPr/>
        <w:tab/>
        <w:t>Mit Saiteninstrumenten (fröhlicher Musik, Zupfinstrumenten) Das Wort heißt etwa „fröhliche (in anderen Kontexten: spottende) Musik, die auf zu zupfenden Saiteninstrumenten gespielt wird“, bezeichnet in Psalmentiteln aber die Instrumente an sich (BDB 618.3; TWOT 1292.1; DBLH 5593; Kraus 21962, XXIV).</w:t>
      </w:r>
    </w:p>
  </w:footnote>
  <w:footnote w:id="1002">
    <w:p>
      <w:pPr>
        <w:pStyle w:val="Funote"/>
        <w:rPr/>
      </w:pPr>
      <w:r>
        <w:rPr>
          <w:rStyle w:val="Funotenzeichen"/>
        </w:rPr>
        <w:footnoteRef/>
      </w:r>
      <w:r>
        <w:rPr/>
        <w:tab/>
        <w:t>Er lasse sein Gesicht bei (auf, über) uns scheinen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(Zenger 2000, 238–239). Einige Übersetzungen interpretieren: „blicke uns freundlich an“ (GNB), „May he smile on us“ („Möge er über uns lächeln“, NET).</w:t>
      </w:r>
    </w:p>
  </w:footnote>
  <w:footnote w:id="1003">
    <w:p>
      <w:pPr>
        <w:pStyle w:val="Funote"/>
        <w:rPr/>
      </w:pPr>
      <w:r>
        <w:rPr>
          <w:rStyle w:val="Funotenzeichen"/>
        </w:rPr>
        <w:footnoteRef/>
      </w:r>
      <w:r>
        <w:rPr/>
        <w:tab/>
        <w:t>Vers 2 ist eine freie Wiedergabe des "aaronitischen Segens" aus Num 6,24-26. Dieses bekannte Gebet wurde vermutlich beim Gottesdienst im Tempel häufig vorgetragen (Talstra/Bosma, Psalm 67. Blessing, Harvest and History, 311). Der Autor gibt hier nur die Teile des Gebets wieder, die Gottes Segen für den Betenden einfordern.</w:t>
      </w:r>
    </w:p>
  </w:footnote>
  <w:footnote w:id="1004">
    <w:p>
      <w:pPr>
        <w:pStyle w:val="Funote"/>
        <w:rPr/>
      </w:pPr>
      <w:r>
        <w:rPr>
          <w:rStyle w:val="Funotenzeichen"/>
        </w:rPr>
        <w:footnoteRef/>
      </w:r>
      <w:r>
        <w:rPr/>
        <w:tab/>
        <w:t xml:space="preserve">dein Weg 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w:t>
      </w:r>
    </w:p>
  </w:footnote>
  <w:footnote w:id="1005">
    <w:p>
      <w:pPr>
        <w:pStyle w:val="Funote"/>
        <w:rPr/>
      </w:pPr>
      <w:r>
        <w:rPr>
          <w:rStyle w:val="Funotenzeichen"/>
        </w:rPr>
        <w:footnoteRef/>
      </w:r>
      <w:r>
        <w:rPr/>
        <w:tab/>
        <w:t xml:space="preserve">Völkern (Nationen)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1006">
    <w:p>
      <w:pPr>
        <w:pStyle w:val="Funote"/>
        <w:rPr/>
      </w:pPr>
      <w:r>
        <w:rPr>
          <w:rStyle w:val="Funotenzeichen"/>
        </w:rPr>
        <w:footnoteRef/>
      </w:r>
      <w:r>
        <w:rPr/>
        <w:tab/>
        <w:t>deine rettende Kraft (Hilfe, Rettung, dein Eingeifen, Heil) So wie V. 5 Gottes „Weg“ (3a) genauer beschreibt, erklärt der Verfasser in V. 7-8 Aspekte von Gottes „rettender Kraft“. Sein Heilshandeln kommt einerseits in Form der ertragreichen Ernte zum Ausdruck. Sie war im Bund zwischen Gott und Israel ein konkretes Zeichen von Gottes Wohlwollen. In Lev 26,4-5.10; Dtn 28,4.11-12 ist sie Teil des Segens, den Gott für Israels Bundesgehorsam verspricht. Andererseits äußert sich Gottes Heilshandeln darin, dass auch die anderen Völker ihn erkennen werden. Israel als Folge der Segnung Israels, als der höchsten Form des geistlichen Segens.</w:t>
      </w:r>
    </w:p>
  </w:footnote>
  <w:footnote w:id="1007">
    <w:p>
      <w:pPr>
        <w:pStyle w:val="Funote"/>
        <w:rPr/>
      </w:pPr>
      <w:r>
        <w:rPr>
          <w:rStyle w:val="Funotenzeichen"/>
        </w:rPr>
        <w:footnoteRef/>
      </w:r>
      <w:r>
        <w:rPr/>
        <w:tab/>
        <w:t xml:space="preserve">preisen (bekennen, dir danken)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1008">
    <w:p>
      <w:pPr>
        <w:pStyle w:val="Funote"/>
        <w:rPr/>
      </w:pPr>
      <w:r>
        <w:rPr>
          <w:rStyle w:val="Funotenzeichen"/>
        </w:rPr>
        <w:footnoteRef/>
      </w:r>
      <w:r>
        <w:rPr/>
        <w:tab/>
        <w:t>gerecht ([mit] Gerechtigkeit) Einige Übersetzungen und Kommentare formulieren „Geradheit“ (Zenger 2000, Buber/Rosenzweig, REB,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Ps 9,9; 96,10; 98,9.</w:t>
      </w:r>
    </w:p>
  </w:footnote>
  <w:footnote w:id="1009">
    <w:p>
      <w:pPr>
        <w:pStyle w:val="Funote"/>
        <w:rPr/>
      </w:pPr>
      <w:r>
        <w:rPr>
          <w:rStyle w:val="Funotenzeichen"/>
        </w:rPr>
        <w:footnoteRef/>
      </w:r>
      <w:r>
        <w:rPr/>
        <w:tab/>
        <w:t>Die zweite und dritte Zeile des Verses (5bc) stellen zwei Aspekte von Gottes „Weg“ (3a) dar – sie erklären also, warum Gott Lobpreis zusteht, nachdem die Völker seine Herrschaft erkannt haben. Dieses Anliegen durchzieht den ganzen Psalm. Vgl. Fußnote f.</w:t>
      </w:r>
    </w:p>
  </w:footnote>
  <w:footnote w:id="1010">
    <w:p>
      <w:pPr>
        <w:pStyle w:val="Funote"/>
        <w:rPr/>
      </w:pPr>
      <w:r>
        <w:rPr>
          <w:rStyle w:val="Funotenzeichen"/>
        </w:rPr>
        <w:footnoteRef/>
      </w:r>
      <w:r>
        <w:rPr/>
        <w:tab/>
        <w:t>[Das] Land hat seinen Ertrag gegeben. Es segne uns Gott, unser Gott! An den Klammern im Fließtext ist zu erkennen, dass sich die beiden Verben auf viele verschiedene Weisen übersetzen lassen. 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1011">
    <w:p>
      <w:pPr>
        <w:pStyle w:val="Funote"/>
        <w:rPr/>
      </w:pPr>
      <w:r>
        <w:rPr>
          <w:rStyle w:val="Funotenzeichen"/>
        </w:rPr>
        <w:footnoteRef/>
      </w:r>
      <w:r>
        <w:rPr/>
        <w:tab/>
        <w:t xml:space="preserve">fürchten (Hebr. </w:t>
      </w:r>
      <w:r>
        <w:rPr>
          <w:rtl w:val="true"/>
          <w:lang w:bidi="he-IL"/>
        </w:rPr>
        <w:t>יָרֵא</w:t>
      </w:r>
      <w:r>
        <w:rPr/>
        <w:t xml:space="preserve"> </w:t>
      </w:r>
      <w:r>
        <w:rPr/>
        <w:t>steht hier für religiöse Verehrung (vgl. Ps 33,8; 34,10; 47,3; 64,10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Die zweite Zeile des Verses könnte man auch so übersetzen: „und alle Enden der Erde sollen (mögen, werden) ihn fürchten“</w:t>
      </w:r>
    </w:p>
  </w:footnote>
  <w:footnote w:id="1012">
    <w:p>
      <w:pPr>
        <w:pStyle w:val="Funote"/>
        <w:rPr/>
      </w:pPr>
      <w:r>
        <w:rPr>
          <w:rStyle w:val="Funotenzeichen"/>
        </w:rPr>
        <w:footnoteRef/>
      </w:r>
      <w:r>
        <w:rPr/>
        <w:tab/>
        <w:t>[Status: Zuverlässig]</w:t>
      </w:r>
    </w:p>
  </w:footnote>
  <w:footnote w:id="1013">
    <w:p>
      <w:pPr>
        <w:pStyle w:val="Funote"/>
        <w:rPr/>
      </w:pPr>
      <w:r>
        <w:rPr>
          <w:rStyle w:val="Funotenzeichen"/>
        </w:rPr>
        <w:footnoteRef/>
      </w:r>
      <w:r>
        <w:rPr/>
        <w:tab/>
        <w:t>D.h. wahrscheinlich „in allen Generationen“</w:t>
      </w:r>
    </w:p>
  </w:footnote>
  <w:footnote w:id="1014">
    <w:p>
      <w:pPr>
        <w:pStyle w:val="Funote"/>
        <w:rPr/>
      </w:pPr>
      <w:r>
        <w:rPr>
          <w:rStyle w:val="Funotenzeichen"/>
        </w:rPr>
        <w:footnoteRef/>
      </w:r>
      <w:r>
        <w:rPr/>
        <w:tab/>
        <w:t>Dieses Wort hat keinen allumfassenden Sinn wie „Kosmos“, sondern ist i.d.R. mit „Erde“ Synonym – hier klar ein Hendiadyoin.</w:t>
      </w:r>
    </w:p>
  </w:footnote>
  <w:footnote w:id="1015">
    <w:p>
      <w:pPr>
        <w:pStyle w:val="Funote"/>
        <w:rPr/>
      </w:pPr>
      <w:r>
        <w:rPr>
          <w:rStyle w:val="Funotenzeichen"/>
        </w:rPr>
        <w:footnoteRef/>
      </w:r>
      <w:r>
        <w:rPr/>
        <w:tab/>
        <w:t>Das Verb heißt eigentlich „sich (in Schmerzen) winden“ und steht oft in Zusammenhang mit der Geburt. Hier wird es bildhaft verwendet. Die Grenzen der deutschen Sprache machen eine genauere Übersetzung nicht möglich.</w:t>
      </w:r>
    </w:p>
  </w:footnote>
  <w:footnote w:id="1016">
    <w:p>
      <w:pPr>
        <w:pStyle w:val="Funote"/>
        <w:rPr/>
      </w:pPr>
      <w:r>
        <w:rPr>
          <w:rStyle w:val="Funotenzeichen"/>
        </w:rPr>
        <w:footnoteRef/>
      </w:r>
      <w:r>
        <w:rPr/>
        <w:tab/>
        <w:t>Nach der LXX und anderen Zeugen kein Polel, sondern Polal → Passiv: „Bevor … die Erde und die Welt hervorgebracht waren“ (NET Ps 90,2 Fußnote 3)</w:t>
      </w:r>
    </w:p>
  </w:footnote>
  <w:footnote w:id="1017">
    <w:p>
      <w:pPr>
        <w:pStyle w:val="Funote"/>
        <w:rPr/>
      </w:pPr>
      <w:r>
        <w:rPr>
          <w:rStyle w:val="Funotenzeichen"/>
        </w:rPr>
        <w:footnoteRef/>
      </w:r>
      <w:r>
        <w:rPr/>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1018">
    <w:p>
      <w:pPr>
        <w:pStyle w:val="Funote"/>
        <w:rPr/>
      </w:pPr>
      <w:r>
        <w:rPr>
          <w:rStyle w:val="Funotenzeichen"/>
        </w:rPr>
        <w:footnoteRef/>
      </w:r>
      <w:r>
        <w:rPr/>
        <w:tab/>
        <w:t>LXX: „Du lässt nicht zurückkehren“ (vgl. letzte Fußnote V. 5)</w:t>
      </w:r>
    </w:p>
  </w:footnote>
  <w:footnote w:id="1019">
    <w:p>
      <w:pPr>
        <w:pStyle w:val="Funote"/>
        <w:rPr/>
      </w:pPr>
      <w:r>
        <w:rPr>
          <w:rStyle w:val="Funotenzeichen"/>
        </w:rPr>
        <w:footnoteRef/>
      </w:r>
      <w:r>
        <w:rPr/>
        <w:tab/>
        <w:t>Kehrt zurück wird meistens als Wiederholung und Verstärkung der ersten Vershälfte verstanden: Keht zurück [zu Staub]! = Werdet wieder zu Staub! (vgl. Hossfeld/Zenger 2000, S. 608). Denkbar ist aber auch die Deutung: Kehrt zurück ins Leben!</w:t>
      </w:r>
    </w:p>
  </w:footnote>
  <w:footnote w:id="1020">
    <w:p>
      <w:pPr>
        <w:pStyle w:val="Funote"/>
        <w:rPr/>
      </w:pPr>
      <w:r>
        <w:rPr>
          <w:rStyle w:val="Funotenzeichen"/>
        </w:rPr>
        <w:footnoteRef/>
      </w:r>
      <w:r>
        <w:rPr/>
        <w:tab/>
        <w:t>Eigentlich ein (zeitloses) Imperfekt. Im Kontext des gestrigen Tages als Vergangenheit übersetzt.</w:t>
      </w:r>
    </w:p>
  </w:footnote>
  <w:footnote w:id="1021">
    <w:p>
      <w:pPr>
        <w:pStyle w:val="Funote"/>
        <w:rPr/>
      </w:pPr>
      <w:r>
        <w:rPr>
          <w:rStyle w:val="Funotenzeichen"/>
        </w:rPr>
        <w:footnoteRef/>
      </w:r>
      <w:r>
        <w:rPr/>
        <w:tab/>
        <w:t>Kann sich auf die israelitische Nachtzeiteinheit „Nachtwache“ beziehen (NET Ps 90,4 Fußnote 8).</w:t>
      </w:r>
    </w:p>
  </w:footnote>
  <w:footnote w:id="1022">
    <w:p>
      <w:pPr>
        <w:pStyle w:val="Funote"/>
        <w:rPr/>
      </w:pPr>
      <w:r>
        <w:rPr>
          <w:rStyle w:val="Funotenzeichen"/>
        </w:rPr>
        <w:footnoteRef/>
      </w:r>
      <w:r>
        <w:rPr/>
        <w:tab/>
        <w:t>Die genaue Bedeutung des Verbs ist unklar. NET: „beendest ihr Leben“</w:t>
      </w:r>
    </w:p>
  </w:footnote>
  <w:footnote w:id="1023">
    <w:p>
      <w:pPr>
        <w:pStyle w:val="Funote"/>
        <w:rPr/>
      </w:pPr>
      <w:r>
        <w:rPr>
          <w:rStyle w:val="Funotenzeichen"/>
        </w:rPr>
        <w:footnoteRef/>
      </w:r>
      <w:r>
        <w:rPr/>
        <w:tab/>
        <w:t>Oder: „[wie] Schlaf am Morgen, wie Gras“</w:t>
      </w:r>
    </w:p>
  </w:footnote>
  <w:footnote w:id="1024">
    <w:p>
      <w:pPr>
        <w:pStyle w:val="Funote"/>
        <w:rPr/>
      </w:pPr>
      <w:r>
        <w:rPr>
          <w:rStyle w:val="Funotenzeichen"/>
        </w:rPr>
        <w:footnoteRef/>
      </w:r>
      <w:r>
        <w:rPr/>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1025">
    <w:p>
      <w:pPr>
        <w:pStyle w:val="Funote"/>
        <w:rPr/>
      </w:pPr>
      <w:r>
        <w:rPr>
          <w:rStyle w:val="Funotenzeichen"/>
        </w:rPr>
        <w:footnoteRef/>
      </w:r>
      <w:r>
        <w:rPr/>
        <w:tab/>
        <w:t>EÜ: „wird es geschnitten“</w:t>
      </w:r>
    </w:p>
  </w:footnote>
  <w:footnote w:id="1026">
    <w:p>
      <w:pPr>
        <w:pStyle w:val="Funote"/>
        <w:rPr/>
      </w:pPr>
      <w:r>
        <w:rPr>
          <w:rStyle w:val="Funotenzeichen"/>
        </w:rPr>
        <w:footnoteRef/>
      </w:r>
      <w:r>
        <w:rPr/>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1027">
    <w:p>
      <w:pPr>
        <w:pStyle w:val="Funote"/>
        <w:rPr/>
      </w:pPr>
      <w:r>
        <w:rPr>
          <w:rStyle w:val="Funotenzeichen"/>
        </w:rPr>
        <w:footnoteRef/>
      </w:r>
      <w:r>
        <w:rPr/>
        <w:tab/>
        <w:t>So Hossfeld/Zenger 2000, S. 602. Die meisten deutschen Übersetzungen halten es hier mit Luther: „wenn es hoch kommt“</w:t>
      </w:r>
    </w:p>
  </w:footnote>
  <w:footnote w:id="1028">
    <w:p>
      <w:pPr>
        <w:pStyle w:val="Funote"/>
        <w:rPr/>
      </w:pPr>
      <w:r>
        <w:rPr>
          <w:rStyle w:val="Funotenzeichen"/>
        </w:rPr>
        <w:footnoteRef/>
      </w:r>
      <w:r>
        <w:rPr/>
        <w:tab/>
        <w:t>D.h. der Stolz der Jahre → die Blüte des Lebens.</w:t>
      </w:r>
    </w:p>
  </w:footnote>
  <w:footnote w:id="1029">
    <w:p>
      <w:pPr>
        <w:pStyle w:val="Funote"/>
        <w:rPr/>
      </w:pPr>
      <w:r>
        <w:rPr>
          <w:rStyle w:val="Funotenzeichen"/>
        </w:rPr>
        <w:footnoteRef/>
      </w:r>
      <w:r>
        <w:rPr/>
        <w:tab/>
        <w:t>Die parallele Satzstruktur weist darauf hin, dass aus der einen vergleichenden Präposition (vor „Tage“) weitere ergänzt werden müssen. In hebräischer Dichtung ist das nicht ungewöhnlich (vgl. V. 5).</w:t>
      </w:r>
    </w:p>
  </w:footnote>
  <w:footnote w:id="1030">
    <w:p>
      <w:pPr>
        <w:pStyle w:val="Funote"/>
        <w:rPr/>
      </w:pPr>
      <w:r>
        <w:rPr>
          <w:rStyle w:val="Funotenzeichen"/>
        </w:rPr>
        <w:footnoteRef/>
      </w:r>
      <w:r>
        <w:rPr/>
        <w:tab/>
        <w:t>REB: „Lass an deinen Knechten sichtbar werden“</w:t>
      </w:r>
    </w:p>
  </w:footnote>
  <w:footnote w:id="1031">
    <w:p>
      <w:pPr>
        <w:pStyle w:val="Funote"/>
        <w:rPr/>
      </w:pPr>
      <w:r>
        <w:rPr>
          <w:rStyle w:val="Funotenzeichen"/>
        </w:rPr>
        <w:footnoteRef/>
      </w:r>
      <w:r>
        <w:rPr/>
        <w:tab/>
        <w:t>SLT: „fördere“, EÜ: „lass gedeihen“</w:t>
      </w:r>
    </w:p>
  </w:footnote>
  <w:footnote w:id="1032">
    <w:p>
      <w:pPr>
        <w:pStyle w:val="Funote"/>
        <w:rPr/>
      </w:pPr>
      <w:r>
        <w:rPr>
          <w:rStyle w:val="Funotenzeichen"/>
        </w:rPr>
        <w:footnoteRef/>
      </w:r>
      <w:r>
        <w:rPr/>
        <w:tab/>
        <w:t>[Status: Zuverlässig]</w:t>
      </w:r>
    </w:p>
  </w:footnote>
  <w:footnote w:id="1033">
    <w:p>
      <w:pPr>
        <w:pStyle w:val="Funote"/>
        <w:rPr/>
      </w:pPr>
      <w:r>
        <w:rPr>
          <w:rStyle w:val="Funotenzeichen"/>
        </w:rPr>
        <w:footnoteRef/>
      </w:r>
      <w:r>
        <w:rPr/>
        <w:tab/>
        <w:t>Wechselgesang - so kürzlich Amzallag 2014, doch ist das eher unwahrscheinlich.</w:t>
      </w:r>
    </w:p>
  </w:footnote>
  <w:footnote w:id="1034">
    <w:p>
      <w:pPr>
        <w:pStyle w:val="Funote"/>
        <w:rPr/>
      </w:pPr>
      <w:r>
        <w:rPr>
          <w:rStyle w:val="Funotenzeichen"/>
        </w:rPr>
        <w:footnoteRef/>
      </w:r>
      <w:r>
        <w:rPr>
          <w:rtl w:val="true"/>
          <w:lang w:bidi="he-IL"/>
        </w:rPr>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1035">
    <w:p>
      <w:pPr>
        <w:pStyle w:val="Funote"/>
        <w:rPr/>
      </w:pPr>
      <w:r>
        <w:rPr>
          <w:rStyle w:val="Funotenzeichen"/>
        </w:rPr>
        <w:footnoteRef/>
      </w:r>
      <w:r>
        <w:rPr/>
        <w:tab/>
        <w:t>Im Hebräischen Plural, da natürlich „ganze Erde“ - gleich, wie es genau zu deuten ist (s. nächste FN) - auf die Bewohner dieser Erde zu beziehen ist.</w:t>
      </w:r>
    </w:p>
  </w:footnote>
  <w:footnote w:id="1036">
    <w:p>
      <w:pPr>
        <w:pStyle w:val="Funote"/>
        <w:rPr/>
      </w:pPr>
      <w:r>
        <w:rPr>
          <w:rStyle w:val="Funotenzeichen"/>
        </w:rPr>
        <w:footnoteRef/>
      </w:r>
      <w:r>
        <w:rPr/>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1037">
    <w:p>
      <w:pPr>
        <w:pStyle w:val="Funote"/>
        <w:rPr/>
      </w:pPr>
      <w:r>
        <w:rPr>
          <w:rStyle w:val="Funotenzeichen"/>
        </w:rPr>
        <w:footnoteRef/>
      </w:r>
      <w:r>
        <w:rPr>
          <w:rtl w:val="true"/>
          <w:lang w:bidi="he-IL"/>
        </w:rPr>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&lt;blockquote&gt;„daß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99f).&lt;/blockquote&gt;</w:t>
      </w:r>
    </w:p>
  </w:footnote>
  <w:footnote w:id="1038">
    <w:p>
      <w:pPr>
        <w:pStyle w:val="Funote"/>
        <w:rPr/>
      </w:pPr>
      <w:r>
        <w:rPr>
          <w:rStyle w:val="Funotenzeichen"/>
        </w:rPr>
        <w:footnoteRef/>
      </w:r>
      <w:r>
        <w:rPr>
          <w:rtl w:val="true"/>
          <w:lang w:bidi="he-IL"/>
        </w:rPr>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1039">
    <w:p>
      <w:pPr>
        <w:pStyle w:val="Funote"/>
        <w:rPr/>
      </w:pPr>
      <w:r>
        <w:rPr>
          <w:rStyle w:val="Funotenzeichen"/>
        </w:rPr>
        <w:footnoteRef/>
      </w:r>
      <w:r>
        <w:rPr>
          <w:rtl w:val="true"/>
          <w:lang w:bidi="he-IL"/>
        </w:rPr>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1040">
    <w:p>
      <w:pPr>
        <w:pStyle w:val="Funote"/>
        <w:rPr/>
      </w:pPr>
      <w:r>
        <w:rPr>
          <w:rStyle w:val="Funotenzeichen"/>
        </w:rPr>
        <w:footnoteRef/>
      </w:r>
      <w:r>
        <w:rPr/>
        <w:tab/>
        <w:t xml:space="preserve">Nicht: JHWH, er [ist] Gott - </w:t>
      </w:r>
      <w:r>
        <w:rPr>
          <w:rtl w:val="true"/>
          <w:lang w:bidi="he-IL"/>
        </w:rPr>
        <w:t>הוּא</w:t>
      </w:r>
      <w:r>
        <w:rPr/>
        <w:t xml:space="preserve"> </w:t>
      </w:r>
      <w:r>
        <w:rPr/>
        <w:t>verwendet als Pro-Kopula; vgl. dazu z.B. zuletzt wieder Holmstedt/Jones 2013.</w:t>
      </w:r>
    </w:p>
  </w:footnote>
  <w:footnote w:id="1041">
    <w:p>
      <w:pPr>
        <w:pStyle w:val="Funote"/>
        <w:rPr/>
      </w:pPr>
      <w:r>
        <w:rPr>
          <w:rStyle w:val="Funotenzeichen"/>
        </w:rPr>
        <w:footnoteRef/>
      </w:r>
      <w:r>
        <w:rPr/>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1042">
    <w:p>
      <w:pPr>
        <w:pStyle w:val="Funote"/>
        <w:rPr/>
      </w:pPr>
      <w:r>
        <w:rPr>
          <w:rStyle w:val="Funotenzeichen"/>
        </w:rPr>
        <w:footnoteRef/>
      </w:r>
      <w:r>
        <w:rPr/>
        <w:tab/>
        <w:t>Zu ergänzen aus Sticho 3b (-&gt;Brachylogie).</w:t>
      </w:r>
    </w:p>
  </w:footnote>
  <w:footnote w:id="1043">
    <w:p>
      <w:pPr>
        <w:pStyle w:val="Funote"/>
        <w:rPr/>
      </w:pPr>
      <w:r>
        <w:rPr>
          <w:rStyle w:val="Funotenzeichen"/>
        </w:rPr>
        <w:footnoteRef/>
      </w:r>
      <w:r>
        <w:rPr/>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1044">
    <w:p>
      <w:pPr>
        <w:pStyle w:val="Funote"/>
        <w:rPr/>
      </w:pPr>
      <w:r>
        <w:rPr>
          <w:rStyle w:val="Funotenzeichen"/>
        </w:rPr>
        <w:footnoteRef/>
      </w:r>
      <w:r>
        <w:rPr/>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1045">
    <w:p>
      <w:pPr>
        <w:pStyle w:val="Funote"/>
        <w:rPr/>
      </w:pPr>
      <w:r>
        <w:rPr>
          <w:rStyle w:val="Funotenzeichen"/>
        </w:rPr>
        <w:footnoteRef/>
      </w:r>
      <w:r>
        <w:rPr/>
        <w:tab/>
        <w:t>s. zur Alternative FN f</w:t>
      </w:r>
    </w:p>
  </w:footnote>
  <w:footnote w:id="1046">
    <w:p>
      <w:pPr>
        <w:pStyle w:val="Funote"/>
        <w:rPr/>
      </w:pPr>
      <w:r>
        <w:rPr>
          <w:rStyle w:val="Funotenzeichen"/>
        </w:rPr>
        <w:footnoteRef/>
      </w:r>
      <w:r>
        <w:rPr/>
        <w:tab/>
        <w:t>Hier wird das selbe Wort wie in der Überschrift wiederholt; zu den Übersetzungsvarianten vgl. die erste FN.</w:t>
      </w:r>
    </w:p>
  </w:footnote>
  <w:footnote w:id="1047">
    <w:p>
      <w:pPr>
        <w:pStyle w:val="Funote"/>
        <w:rPr/>
      </w:pPr>
      <w:r>
        <w:rPr>
          <w:rStyle w:val="Funotenzeichen"/>
        </w:rPr>
        <w:footnoteRef/>
      </w:r>
      <w:r>
        <w:rPr/>
        <w:tab/>
        <w:t>Zu ergänzen aus Sticho 4a (-&gt;Brachylogie).</w:t>
      </w:r>
    </w:p>
  </w:footnote>
  <w:footnote w:id="1048">
    <w:p>
      <w:pPr>
        <w:pStyle w:val="Funote"/>
        <w:rPr/>
      </w:pPr>
      <w:r>
        <w:rPr>
          <w:rStyle w:val="Funotenzeichen"/>
        </w:rPr>
        <w:footnoteRef/>
      </w:r>
      <w:r>
        <w:rPr/>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1049">
    <w:p>
      <w:pPr>
        <w:pStyle w:val="Funote"/>
        <w:rPr/>
      </w:pPr>
      <w:r>
        <w:rPr>
          <w:rStyle w:val="Funotenzeichen"/>
        </w:rPr>
        <w:footnoteRef/>
      </w:r>
      <w:r>
        <w:rPr/>
        <w:tab/>
        <w:t>Besonders im Kontext von Aussagen über JHWH steht sein „Name“ meist metonymisch für JHWH selbst; man bezeichnet so JHWH „im Menschenmund“.</w:t>
      </w:r>
    </w:p>
  </w:footnote>
  <w:footnote w:id="1050">
    <w:p>
      <w:pPr>
        <w:pStyle w:val="Funote"/>
        <w:rPr/>
      </w:pPr>
      <w:r>
        <w:rPr>
          <w:rStyle w:val="Funotenzeichen"/>
        </w:rPr>
        <w:footnoteRef/>
      </w:r>
      <w:r>
        <w:rPr/>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1051">
    <w:p>
      <w:pPr>
        <w:pStyle w:val="Funote"/>
        <w:rPr/>
      </w:pPr>
      <w:r>
        <w:rPr>
          <w:rStyle w:val="Funotenzeichen"/>
        </w:rPr>
        <w:footnoteRef/>
      </w:r>
      <w:r>
        <w:rPr/>
        <w:tab/>
        <w:t>[Status: Zuverlässig]</w:t>
      </w:r>
    </w:p>
  </w:footnote>
  <w:footnote w:id="1052">
    <w:p>
      <w:pPr>
        <w:pStyle w:val="Funote"/>
        <w:rPr/>
      </w:pPr>
      <w:r>
        <w:rPr>
          <w:rStyle w:val="Funotenzeichen"/>
        </w:rPr>
        <w:footnoteRef/>
      </w:r>
      <w:r>
        <w:rPr/>
        <w:tab/>
        <w:t>Textkritik: Die in Psalmen häufige, den angeblichen Verfasser angebende Überschrift „von David“ findet sich nicht in allen Überlieferungen des Textes – u.a. nicht Grundtext der BHS / BHQ –, dafür aber gerade in den sehr alten Textzeugen 11QPsa, LXX, Aq und evt. (vgl. Flint 1997, S. 96) in 4QPse. Das ist eine sehr starke Bezeugung; Goldingay 2008, S. 178 etwa sieht diese Überschrift daher als ursprünglich an. Die unterschiedliche Überlieferung lässt sich aber leichter erklären als Ergänzung (statt Streichung) zwecks einer Angleichung der sog. „anonymen“ Psalmen an die häufigeren Psalmen mit Autorenangabe. LXX allein hat wohl aus diesem Grund bei 13 anonymen Psalmen eine solche Angabe, wo der Codex Leningradensis sie nicht hat.</w:t>
      </w:r>
    </w:p>
  </w:footnote>
  <w:footnote w:id="1053">
    <w:p>
      <w:pPr>
        <w:pStyle w:val="Funote"/>
        <w:rPr/>
      </w:pPr>
      <w:r>
        <w:rPr>
          <w:rStyle w:val="Funotenzeichen"/>
        </w:rPr>
        <w:footnoteRef/>
      </w:r>
      <w:r>
        <w:rPr/>
        <w:tab/>
        <w:t>Preise, meine Seele, JHWH - Eine Selbtermunterung zum Gebet; ähnliches findet sich z.B. auch in Ps 34,2; Ps 42,5.11; 43,5; 103,1.22; 116,7; 145,21. Zur wohl dahinterstehenden Vorstellung vgl. am besten Ps 77,2 („Meine Seele weigerte sich, sich trösten zu lassen“); 131,2 („Ich habe meine Seele besänftigt und beruhigt“): Wie jeder Beter weiß, hat das Herz manchmal seine eigene Dynamik und ist nicht von vornherein dazu bereit(et), beten zu können - daher muss der Beter bewusst Einfluss auf die Stimmung seines Herzens nehmen. Das selbe Motiv findet sich übrigens auch in deutschen Kirchenliedern; man vergleiche etwa Paul Gerhards Lieder „Du meine Seele, singe“ und „Auf, auf, mein Herz, mit Freuden / nimm wahr, was heut geschieht“.</w:t>
      </w:r>
    </w:p>
  </w:footnote>
  <w:footnote w:id="1054">
    <w:p>
      <w:pPr>
        <w:pStyle w:val="Funote"/>
        <w:rPr/>
      </w:pPr>
      <w:r>
        <w:rPr>
          <w:rStyle w:val="Funotenzeichen"/>
        </w:rPr>
        <w:footnoteRef/>
      </w:r>
      <w:r>
        <w:rPr/>
        <w:tab/>
        <w:t>Textkritik - Die auffällige Aneinanderreihung dreier Gottesbezeichnungen (2x JHWH, 1x mein-Gott) hat in der Textüberlieferung für etwas Verwirrung gesorgt: In einigen heb. Handschriften fehlt eines der beiden JHWH, in einer Handschrift der LXX finden sich drei davon. 11QPsa hat statt „mein Gott“ die Variante „unser Gott“, 4QPsd die Variante „Gott“. Ursprünglich ist sicher die Variante im Fließtext.</w:t>
      </w:r>
    </w:p>
  </w:footnote>
  <w:footnote w:id="1055">
    <w:p>
      <w:pPr>
        <w:pStyle w:val="Funote"/>
        <w:rPr/>
      </w:pPr>
      <w:r>
        <w:rPr>
          <w:rStyle w:val="Funotenzeichen"/>
        </w:rPr>
        <w:footnoteRef/>
      </w:r>
      <w:r>
        <w:rPr/>
        <w:tab/>
        <w:t>Majestät und Herrlichkeit - Zwei häufigere Züge bei der Beschreibung Gottes: „Bei ihm“ ist Majestät und Herrlichkeit und er selbst ist majestätisch und herrlich (vgl. 1 Chr 16,27; 96,6; 111,3; 145,5), daher kann auch einzig er einzelnen Menschen diese Eigenschaften gewähren (vgl. Ps 21,5; 45,2f.; sarkastisch in Ijob 40,10). Das zweite Wort, hadar, kann auch konkret den Schmuck bezeichnen; entsprechend ist es auch in Ijob 40,10; Spr 31,25; Jes 63,1; Ez 16,14 (vgl. ähnlich Ps 93,1) etwas, womit man sich „kleiden“ kann.</w:t>
      </w:r>
    </w:p>
  </w:footnote>
  <w:footnote w:id="1056">
    <w:p>
      <w:pPr>
        <w:pStyle w:val="Funote"/>
        <w:rPr/>
      </w:pPr>
      <w:r>
        <w:rPr>
          <w:rStyle w:val="Funotenzeichen"/>
        </w:rPr>
        <w:footnoteRef/>
      </w:r>
      <w:r>
        <w:rPr/>
        <w:tab/>
        <w:t>Mit Licht umhüllt + Himmel ausgespannt - Binnenreim der beiden Partizipien: `oteh-´or + noteh schamajim.</w:t>
      </w:r>
    </w:p>
  </w:footnote>
  <w:footnote w:id="1057">
    <w:p>
      <w:pPr>
        <w:pStyle w:val="Funote"/>
        <w:rPr/>
      </w:pPr>
      <w:r>
        <w:rPr>
          <w:rStyle w:val="Funotenzeichen"/>
        </w:rPr>
        <w:footnoteRef/>
      </w:r>
      <w:r>
        <w:rPr/>
        <w:tab/>
        <w:t>mit Licht umhüllt - Ps 104 hat viele Anklänge an die Schöpfungserzählung in Genesis 1; die Rede vom „sich mit Licht umhüllen“ spielt daher wohl auf die auch dort geschilderte Schöpfung des Lichts an.</w:t>
      </w:r>
    </w:p>
  </w:footnote>
  <w:footnote w:id="1058">
    <w:p>
      <w:pPr>
        <w:pStyle w:val="Funote"/>
        <w:rPr/>
      </w:pPr>
      <w:r>
        <w:rPr>
          <w:rStyle w:val="Funotenzeichen"/>
        </w:rPr>
        <w:footnoteRef/>
      </w:r>
      <w:r>
        <w:rPr/>
        <w:tab/>
        <w:t>[Oh, du] - rein funktionale Übersetzung: Die folgenden Verben stehen im Partizip und es ist nicht einmal offensichtlich, dass Gott hier tatsächlich angesprochen ist. Derartige Aneinanderreihungen von Partizipien finden sich aber häufig in hymnischen Psalmen; ihre Funktion ist es, Wesenszüge Gottes aufzuzählen, um ihn damit zu preisen (vgl. z.B. Seybold 1990, S. 114).</w:t>
      </w:r>
    </w:p>
  </w:footnote>
  <w:footnote w:id="1059">
    <w:p>
      <w:pPr>
        <w:pStyle w:val="Funote"/>
        <w:rPr/>
      </w:pPr>
      <w:r>
        <w:rPr>
          <w:rStyle w:val="Funotenzeichen"/>
        </w:rPr>
        <w:footnoteRef/>
      </w:r>
      <w:r>
        <w:rPr/>
        <w:tab/>
        <w:t>Himmel wie eine Zeltdecke ausspannte - Nach biblischer Vorstellung ist der Himmel ein festes Gebilde (vgl. z.B. Ijob 37,18; Ez 1,22), das „ausgebreitet“ oder „ausgespannt“ (vgl. Ijob 9,8; 42,5; 44,24) wurde, um die Wasser über der Erde vom Überfluten der Erde zurückzuhalten (vgl. z.B. Ijob 37,11). Sehr häufig ist er außerdem vorgestellt als die „Wohnstatt Gottes“. Beides wird hier kombiniert zur Vorstellung des Himmels als dem „Zelt Gottes“, das nach seinem ausgespannt-Werden dann in V. 3 noch weiter ausgebaut wird.</w:t>
      </w:r>
    </w:p>
  </w:footnote>
  <w:footnote w:id="1060">
    <w:p>
      <w:pPr>
        <w:pStyle w:val="Funote"/>
        <w:rPr/>
      </w:pPr>
      <w:r>
        <w:rPr>
          <w:rStyle w:val="Funotenzeichen"/>
        </w:rPr>
        <w:footnoteRef/>
      </w:r>
      <w:r>
        <w:rPr/>
        <w:tab/>
        <w:t>im Wasser bälkte - D.h. JHWH hat im Himmel sein Obergemach errichtet, indem er im oder mit Wasser - nämlich dem, aus dem der Himmel besteht und das vom Firmament davon zurückgehalten wird, die Erde zu überfluten - seine Wohnung „zimmert“. Die Rede vom Himmel als „Obergemach“ ist schön und sehr treffend - impliziert sie doch, dass Gott zu diesem Obergemach auch ein „Erdgeschoss“ hat, was den Rest des Psalms vorbereitet.</w:t>
      </w:r>
    </w:p>
  </w:footnote>
  <w:footnote w:id="1061">
    <w:p>
      <w:pPr>
        <w:pStyle w:val="Funote"/>
        <w:rPr/>
      </w:pPr>
      <w:r>
        <w:rPr>
          <w:rStyle w:val="Funotenzeichen"/>
        </w:rPr>
        <w:footnoteRef/>
      </w:r>
      <w:r>
        <w:rPr/>
        <w:tab/>
        <w:t>Dort - nämlich im himmlischen Obergemach.</w:t>
      </w:r>
    </w:p>
  </w:footnote>
  <w:footnote w:id="1062">
    <w:p>
      <w:pPr>
        <w:pStyle w:val="Funote"/>
        <w:rPr/>
      </w:pPr>
      <w:r>
        <w:rPr>
          <w:rStyle w:val="Funotenzeichen"/>
        </w:rPr>
        <w:footnoteRef/>
      </w:r>
      <w:r>
        <w:rPr/>
        <w:tab/>
        <w:t>Wolken [als] seinen Wagen - Eine alte Vorstellung; auch der altorientalische Gott Baal wird häufig als „Wolkenreiter“ bezeichnet (vgl. z.B. DDD, S. 704).</w:t>
      </w:r>
    </w:p>
  </w:footnote>
  <w:footnote w:id="1063">
    <w:p>
      <w:pPr>
        <w:pStyle w:val="Funote"/>
        <w:rPr/>
      </w:pPr>
      <w:r>
        <w:rPr>
          <w:rStyle w:val="Funotenzeichen"/>
        </w:rPr>
        <w:footnoteRef/>
      </w:r>
      <w:r>
        <w:rPr/>
        <w:tab/>
        <w:t>Wind (Vv. 3f.); Feuer (V. 4); fliehendes Wasser (Vv. 6f.) - man beachte, wie hier der Wind etwas Reitbares (s. nächste FN), das Feuer etwas Dienstbares und das Wasser etwas zur Flucht Fähiges ist - die Natur wird durchgehend personifiziert oder wenigstens „semi-personal“ (Andersen 1972, S. 720) gedacht. Von einer „Entmythisierung der Natur“ kann ins Ps 104 nicht die Rede sein.</w:t>
      </w:r>
    </w:p>
  </w:footnote>
  <w:footnote w:id="1064">
    <w:p>
      <w:pPr>
        <w:pStyle w:val="Funote"/>
        <w:rPr/>
      </w:pPr>
      <w:r>
        <w:rPr>
          <w:rStyle w:val="Funotenzeichen"/>
        </w:rPr>
        <w:footnoteRef/>
      </w:r>
      <w:r>
        <w:rPr/>
        <w:tab/>
        <w:t>&lt;center&gt;miniatur&lt;/center&gt;Flügel des Windes - Die Winde werden in vielen alten Kulturen als geflügelte Gestalten vorgestellt. Im babylonischen Adapa-mythos etwa bricht der Held Adapa die Flügel des Südwindes Šûtu. Zusammen mit einem ihrer drei Brüdern ist sie oben links zu sehen; auf dem ganzen Siegel (s. Wiggermann 2007, S. 142; hier auch weitere Darstellungen der personifizierten vier Winde im Alten Orient) sind auch die anderen beiden Brüder abgebildet. In der ägyptischen Bilderwelt sind die personifizierten Winde mal als geflügelte Humanoide, mal als geflügelte Tierwesen dargestellt; in den beiden unteren Bildausschnitten (zu finden an der Decke des Hathor-Tempels in Dendera; Foto: Olaf Tausch) etwa ist der Südwind ein geflügelter Widder und der Westwind ein widderköpfiger Sperber. Eine schöne Rekonstruktion einer weiteren ägyptischen Darstellung mit allen vier Winden lässt sich hier betrachten. Sehr bekannt sind auch die griechischen personifizierten Winde Boreas, Apheliotes, Notos und Zephyros; oben rechts z.B. ein Bronzerelief von Boreas (Grafik aus Richter 1915, S. 30).In der Bibel scheinen die Winde personifiziert durch die geflügelten Cheruben gedacht zu sein (vgl. Offb 7,1 („Danach sah ich vier Engel, die auf den vier Ecken der Erde standen und die vier Winde der Erde festhielten...“)), auf denen Gott gelegentlich auch reitet (vgl. Ps 18,11 („Er ritt auf einem Cherub und flog und schwebte auf den Flügeln des Windes“) und die anderen Parallelstellen). Die beiden Zeilen sprechen also von zwei unterschiedlichen Fortbewegungsmitteln: JHWH ist sowohl Wolken- als auch Wind-/Cherubenreiter.</w:t>
      </w:r>
    </w:p>
  </w:footnote>
  <w:footnote w:id="1065">
    <w:p>
      <w:pPr>
        <w:pStyle w:val="Funote"/>
        <w:rPr/>
      </w:pPr>
      <w:r>
        <w:rPr>
          <w:rStyle w:val="Funotenzeichen"/>
        </w:rPr>
        <w:footnoteRef/>
      </w:r>
      <w:r>
        <w:rPr/>
        <w:tab/>
        <w:t>Winde - Das selbe Wort findet sich in der Zeile zuvor im Sg., hier im Pl. Eine solche Sg-Pl-Variation ist ein häufigeres Stilmittel in der heb. Lyrik (ad loc. vgl. Yona 2005, S. 157).</w:t>
      </w:r>
    </w:p>
  </w:footnote>
  <w:footnote w:id="1066">
    <w:p>
      <w:pPr>
        <w:pStyle w:val="Funote"/>
        <w:rPr/>
      </w:pPr>
      <w:r>
        <w:rPr>
          <w:rStyle w:val="Funotenzeichen"/>
        </w:rPr>
        <w:footnoteRef/>
      </w:r>
      <w:r>
        <w:rPr/>
        <w:tab/>
        <w:t>Zu seinen Boten Winde (seine Boten zu Winden) - Diese und die nächste Zeile lässt sich auf vier verschiedene Weisen verstehen; wegen V. 3 ist die wahrscheinlichste Deutung die vierte. # „Er macht seine Boten zu Winden (und Flammen)“, d.h. er lässt seine Engel unter anderem in der Gestalt dieser Elementen erscheinen. Von der Wortstellung liegt diese Auflösung am nächsten; es ist dies auch die Deutung des Verses in Heb 1,7 und es finden sich dafür auch deutliche Parallelen in der frühjüdischen Literatur; s. etwa 4 Esr 8,21f.: „[...] das Heer der Engel [...], deren dienende Schar sich in Wind und Feuer wandelt [...]“. So ist unser Vers auch klar im Midrasch Exodus Rabba verstanden worden: „[JHWH heißt] ‚Der Gott der Heerschaaren,‘ denn er thut den Willen an seinen Engeln. Wenn er will, lässt er sie sitzen, s. Ri 7,11 [...] und zuweilen lässt er sie stehen, s. Jes 6,2 [...], zuweilen lässt er sie in weiblicher Gestalt erscheinen, s. [Sach] 5,9 [...], zuweilen aber in männlicher Gestalt s. Gen 18,2 [...], zuweilen macht er sie zu Winden, wie es heisst Ps 104,4 [...], zuweilen aber auch zu Feuer, s. das. [...].“ (ExR 25,2; Üs.: Wünsche 1882, S. 188f.). So heute noch z.B. Loretz 1979, S. 105: „Der seine Boten zu Winden macht...“ # „Er macht seine Boten zu Winden (und Flammen)“ als Metapher für „schnell wie Wind“ und „gefährlich (?) wie Feuer“. So übersetzt den Vers z.B. der Targum; es ist auch die Deutung des Kirchenvaters Athanasius in seinen Expositiones in Psalmos und noch Edel 1966, S. 139 schlägt diese Deutung vor. # „Er macht zu seinen Boten Winde (und Flammen)“, d.h. er erschafft sie aus Wind und Feuer (entsprechend den arabischen Dschinn, die ebenfalls aus Feuer erschaffen sind; ähnlich vgl. z.B. ApkAbr 19,6, wo die „Feuerengel“ die höchste und über die „geistigen Engel“ gebietende Engelgattung ist.). Auch hierfür gibt es Parallelen in der frühjüdischen Literatur; vgl. z.B. 2 Hen 29,3: „Aus dem Fels schnitt ich [= Gott] ein großes Feuer, und aus dem Feuer schuf ich die Reihen der körperlosen Armeen - zehn Myriaden Engel - und ihre Waffen sind feuerig und ihre Kleider brennende Flammen.“ (Üs. nach Kaduri 2015, S. 140; ähnlich versteht unseren Vers z.B. noch Delitzsch 1894: „Machend seine Boten aus Winden...“). # „Er macht zu seinen Boten Winde (und Flammen)“, d.h.: Gott ist Herr auch über Wind und Feuer, die er daher „in seinen Dienst“ nehmen und über die er gebieten kann: Winde sind seine „Dienstboten“, Feuerflammen seine „Diener“. Das ist hier durchaus die wahrscheinlichste Deutung, denn inwiefern Gott z.B. die (Personifikationen der) Winde „in Dienst nehmen“ kann, sieht man ja exemplarisch im vorigen Vers: Als Reittiere.</w:t>
      </w:r>
    </w:p>
  </w:footnote>
  <w:footnote w:id="1067">
    <w:p>
      <w:pPr>
        <w:pStyle w:val="Funote"/>
        <w:rPr/>
      </w:pPr>
      <w:r>
        <w:rPr>
          <w:rStyle w:val="Funotenzeichen"/>
        </w:rPr>
        <w:footnoteRef/>
      </w:r>
      <w:r>
        <w:rPr/>
        <w:tab/>
        <w:t>tFN: zu Dienern flammendes Feuer (Flamme [und] Feuer) - Etwas schwierige Stelle. Der heb. Text wirkt auf den ersten Blick so, als müsste er klar wie im Fließtext übersetzt werden. Im Heb. wäre dann aber zu erwarten, dass Diener, flammend und Feuer alle im selben Numerus und Genus stünden. Hier allerdings ist „Diener“ Maskulin Plural, „Feuer“ Feminin Singular und „flammend“ Maskulin Singular (4QPsa verändert daher das letzte Wort nach Feminin). Gunkel 1926, S. 454; Herkenne 1936, S. 334 und Kraus 1966, S. 708 wollen daher korrigieren von „flammendes Feuer“ zu „Flamme und Feuer“, so dass das vorangehende Pluralpartizip „Diener“ sich auf beide beziehen würde und damit Plural und auch Maskulin sein könnte.Vermutlich ist dies aber gar nicht nötig: ´esch findet sich bisweilen auch als maskulines Nomen und gehört damit zu jenen, die beide Genera haben können. Es könnte also auch hier als maskulines Nomen aufgefasst werden, womit sich das „flammend“ problemlos auf es beziehen könnte. In der heb. Grammatik findet sich außerdem häufig der Fall, dass ein „kollektives“ Nomen (wie z.B. „Menschenmasse“, in dessen Wortsinn es liegt, dass mehrere Menschen damit bezeichnet werden) trotz grammatischem Singular ein Pluralprädikat erhält (vgl. z.B. JM §148a), was dann hier das Plural von „Diener“ erklären würde.</w:t>
      </w:r>
    </w:p>
  </w:footnote>
  <w:footnote w:id="1068">
    <w:p>
      <w:pPr>
        <w:pStyle w:val="Funote"/>
        <w:rPr/>
      </w:pPr>
      <w:r>
        <w:rPr>
          <w:rStyle w:val="Funotenzeichen"/>
        </w:rPr>
        <w:footnoteRef/>
      </w:r>
      <w:r>
        <w:rPr/>
        <w:tab/>
        <w:t>Textkritik: [Bists,] der gründete (er gründete) - Im MT und ähnlich bei 4QPsI&lt;span style="color:#FFFFFF"&gt;_&lt;/span&gt;jasad („Er gründete“) in der Verbform Qatal; in 4QPsd, nach einigen LXX-Handschriften, Hier, Tg und einigen MT-Handschriften aber als Partizip jo(w)sed („[bists,] der gründete“). Im ursprünglichen Text wären beide Varianten gleich geschrieben worden; 4QPsI hätte dann durch nicht-Einfügung des w und MT durch die Vokalisierung vereindeutigt zur Variante 1, die anderen Versionen durch Einfügung des w, durch Vokalisierung oder durch Übersetzung zu Variante 2. Der Wechsel von der zweiten Pers. in V. 2 zur dritten hier (und dann in V. 7 wieder zurück zur zweiten Pers.) ist so schwer erklärlich und so überflüssig , dass die zweite Deutung des ursprünglichen Textes viel besser passt. So auch viele Exegeten (z.B. Clifford 1981, S. 87; deClaissé-Walford/Jacobson/Tanner 2014, S. 771; Kraus 1966, S. 225; anders aber z.B. Hossfeld/Zenger 2008, S. 70 und Krüger 2010, S. 33).</w:t>
      </w:r>
    </w:p>
  </w:footnote>
  <w:footnote w:id="1069">
    <w:p>
      <w:pPr>
        <w:pStyle w:val="Funote"/>
        <w:rPr/>
      </w:pPr>
      <w:r>
        <w:rPr>
          <w:rStyle w:val="Funotenzeichen"/>
        </w:rPr>
        <w:footnoteRef/>
      </w:r>
      <w:r>
        <w:rPr/>
        <w:tab/>
        <w:t>miniatur|Das biblische Weltbild (Grafik von www.religionsunterricht-pfalz.de)Fundamente - Gemeint sind die Säulen, auf denen nach biblischer Vorstellung die Erde über dem Urmeer aufruht; s. die Grafik rechts und vgl. z.B. noch Ijob 38,6; Ps 24,2. Dass die Erde „wankt“, ist ein häufigeres Motiv in der Bibel; vgl. z.B. Ps 46,2; 60,2; 82,5; Jes 24,19</w:t>
      </w:r>
    </w:p>
  </w:footnote>
  <w:footnote w:id="1070">
    <w:p>
      <w:pPr>
        <w:pStyle w:val="Funote"/>
        <w:rPr/>
      </w:pPr>
      <w:r>
        <w:rPr>
          <w:rStyle w:val="Funotenzeichen"/>
        </w:rPr>
        <w:footnoteRef/>
      </w:r>
      <w:r>
        <w:rPr/>
        <w:tab/>
        <w:t>wie mit einem - W. „wie mit dem“; Vergleiche sind im Heb. oft determiniert, wo sie das im Dt. nicht wären. Vgl. ähnlich z.B. Ps 33,7; Ob 4.</w:t>
      </w:r>
    </w:p>
  </w:footnote>
  <w:footnote w:id="1071">
    <w:p>
      <w:pPr>
        <w:pStyle w:val="Funote"/>
        <w:rPr/>
      </w:pPr>
      <w:r>
        <w:rPr>
          <w:rStyle w:val="Funotenzeichen"/>
        </w:rPr>
        <w:footnoteRef/>
      </w:r>
      <w:r>
        <w:rPr/>
        <w:tab/>
        <w:t>Das Urmeer bedecktest du wie mit einem Gewand - nämlich eben mit dem Himmel, der wie ein Zelttuch über die Welt gebreitet ist (vgl. Ijob 38,9: „Als ich Wolken zu seinem (=des Meeres) Gewand machte...“). Ganz recht B-R: „Der Urwirbel, wie mit einem Kleid bedecktest du ihn“.Textkritik: Die verschiedenen alternativen Übersetzungsvarianten, die sich in fast allen Übersetzungen und Kommentaren finden, basieren sämtlich auf Korrekturen des heb. Textes, die aber nicht nötig sind (nämlich statt kisito („du bedecktest es“) meist kisita(h) („du bedecktest sie“, also die Erde; vgl. hierzu am besten Seidl 1984, S. 46f.), kisata(h) („es (=das Urmeer) bedeckte sie (=die Erde)“) oder kesuto („es (= das Urmeer) war seine (=JHWHs) Bedeckung“). Wie in Gen 1 ist also auch hier das Urmeer anders als Himmel und Erde keine der Schöpfungen Gottes, sondern seinem Schaffen schon vorgegeben (vgl. 2 Pet 3,5).</w:t>
      </w:r>
    </w:p>
  </w:footnote>
  <w:footnote w:id="1072">
    <w:p>
      <w:pPr>
        <w:pStyle w:val="Funote"/>
        <w:rPr/>
      </w:pPr>
      <w:r>
        <w:rPr>
          <w:rStyle w:val="Funotenzeichen"/>
        </w:rPr>
        <w:footnoteRef/>
      </w:r>
      <w:r>
        <w:rPr/>
        <w:tab/>
        <w:t>tFN: V. 6. Unsere Aufteilung von V. 6 und die Übersetzung des ersten Wortes von 6b mit „auf“ statt „über“ ist ungewöhnlich. Für gewöhnlich zieht man 6a und 6b zu einer Doppelzeile zusammen und übersetzt: „Mit dem Urmeer bedecktest du [die Erde] wie mit einem Gewand / Über den Bergen standen die Wasser“, die beiden Zeilen würden dann beide aussagen, dass Gott zu Beginn der Schöpfung die Erde und selbst die Berge komplett von Wasser bedeckt sein lassen habe. Dagegen spricht aber, dass dafür erstens eine Korrektur des heb. Textes in 6a nötig ist (s. vorige FN), dass zweitens 6a klar zu 2b-5 zu ziehen ist, da 5a.6a eine sehr deutliche Inclusio mit 2b.3a bilden: Gott spannt den Himmel wie eine Zeltdecke aus (2b) und bedeckt das Urmeer wie mit einem Gewand (6a); er bälkt den Himmel im (oberen) Wasser als sein Obergemach (3a) und gründet die Erde auf ihren Fundamenten (gemeint sind die Säulen der Erde im unteren Wasser, s. die Grafik oben). Drittens ist die nätürlichste Bedeutung von V. 8, dass die Wasser auf die Berge hinaufziehen sollen (s. dort), also in V. 6 eher nicht schon über den Bergen stehen. Viertens verwenden 6a und 6b unterschiedliche Verbformen, berichten also offenbar von unterschiedlichen zeitlichen Abschnitten im Handeln Gottes.V. 6 ist dann besser so aufzulösen: 6a ist wegen der Inclusio zu 1b-5 zu ziehen; 1b-6a berichten dann von der Errichtung der kosmischen Grundarchitektur. 6b-8 leiten dann mit Yiqtol-Verben ein, zu beschreiben, wie die Wasser, mit denen Strophe 1 schloss, dem Willen Gottes gemäß zu handeln hatten (vgl. Weber 2003, S. 182): Sie sollten auf den Bergen stehen (6b), darum sollten sie vor seinem Befehl (7) unter anderem auch dort hin (8a) fliehen, um von dort aus dann als Gebirgsbäche in die Täler fließen zu können (10).</w:t>
      </w:r>
    </w:p>
  </w:footnote>
  <w:footnote w:id="1073">
    <w:p>
      <w:pPr>
        <w:pStyle w:val="Funote"/>
        <w:rPr/>
      </w:pPr>
      <w:r>
        <w:rPr>
          <w:rStyle w:val="Funotenzeichen"/>
        </w:rPr>
        <w:footnoteRef/>
      </w:r>
      <w:r>
        <w:rPr/>
        <w:tab/>
        <w:t>hinaufziehen [auf] Berge, hinabsteigen [in] Täler - Gott verlagert also die Wasser von der „ganzen Erde“ an zwei Orte, nämlich auf die Berge, von wo sie dann als Gebirtsbäche wieder hinabfließen, und ins in „den Tälern“ gelegene Meer (vgl. Ehrlich 1905, S. 247; Sutcliffe 1952). Dass hier von zwei verschiedenen Zielorten die Rede ist, macht die alte Handschrift 2QPs deutlich, indem sie einfügt: „zu[ jede]m Ort“.tFN: Die häufige Übersetzung „Es hoben sich Berge, es senkten sich Täler“ ist klar falsch. „Täler“ ist im Heb. feminin, das Verb „sie stiegen hinab“ / „es senkten sich“ aber maskulin. Subjekt sind also sicher die Wasser (vgl. Spieckermann 1989, S. 22 FN 5).</w:t>
      </w:r>
    </w:p>
  </w:footnote>
  <w:footnote w:id="1074">
    <w:p>
      <w:pPr>
        <w:pStyle w:val="Funote"/>
        <w:rPr/>
      </w:pPr>
      <w:r>
        <w:rPr>
          <w:rStyle w:val="Funotenzeichen"/>
        </w:rPr>
        <w:footnoteRef/>
      </w:r>
      <w:r>
        <w:rPr/>
        <w:tab/>
        <w:t xml:space="preserve">Sie - Gemeint sind die „Quellen“, wobei das Wort wie in Joel 4,18 sowohl die Quelle der Bäche als auch ihren Verlauf bezeichnet (so richtig Alexander 1856, S. 35).Textkritik: LXX hält für das Subjekt immer noch die „Wasser“ aus V. 6b (da das Wort i.d.R. eben nur die tatsächliche Quelle bezeichnet) und erwähnt daher diese Wasser (heb.: </w:t>
      </w:r>
      <w:r>
        <w:rPr>
          <w:rtl w:val="true"/>
          <w:lang w:bidi="he-IL"/>
        </w:rPr>
        <w:t>מים</w:t>
      </w:r>
      <w:r>
        <w:rPr/>
        <w:t xml:space="preserve">) hier noch einmal explizit. Ursprünglich ist eher die Version ohne „Wasser“ (anders Kissane 1954 und Loretz 1979); ein Schreibfehler ließe sich auch grafisch leicht erlären (Haplographie wg. der Doppelung von </w:t>
      </w:r>
      <w:r>
        <w:rPr>
          <w:rtl w:val="true"/>
          <w:lang w:bidi="he-IL"/>
        </w:rPr>
        <w:t>ים</w:t>
      </w:r>
      <w:r>
        <w:rPr/>
        <w:t xml:space="preserve"> </w:t>
      </w:r>
      <w:r>
        <w:rPr/>
        <w:t xml:space="preserve">(jm) in </w:t>
      </w:r>
      <w:r>
        <w:rPr>
          <w:rtl w:val="true"/>
          <w:lang w:bidi="he-IL"/>
        </w:rPr>
        <w:t>הרים מים</w:t>
      </w:r>
      <w:r>
        <w:rPr/>
        <w:t xml:space="preserve"> </w:t>
      </w:r>
      <w:r>
        <w:rPr/>
        <w:t>(hrjm mjm).</w:t>
      </w:r>
    </w:p>
  </w:footnote>
  <w:footnote w:id="1075">
    <w:p>
      <w:pPr>
        <w:pStyle w:val="Funote"/>
        <w:rPr/>
      </w:pPr>
      <w:r>
        <w:rPr>
          <w:rStyle w:val="Funotenzeichen"/>
        </w:rPr>
        <w:footnoteRef/>
      </w:r>
      <w:r>
        <w:rPr/>
        <w:tab/>
        <w:t>Textkritik: + [den] nach 4QPsd, LXX: Die Rede ist von den Bergen aus V. 8.</w:t>
      </w:r>
    </w:p>
  </w:footnote>
  <w:footnote w:id="1076">
    <w:p>
      <w:pPr>
        <w:pStyle w:val="Funote"/>
        <w:rPr/>
      </w:pPr>
      <w:r>
        <w:rPr>
          <w:rStyle w:val="Funotenzeichen"/>
        </w:rPr>
        <w:footnoteRef/>
      </w:r>
      <w:r>
        <w:rPr/>
        <w:tab/>
        <w:t xml:space="preserve">Textkritik / tFN: alle wilden Tiere ist w. „alles Getier des Feldes“; das letzte Wort ist geschrieben mit der selteneren Schreibweise </w:t>
      </w:r>
      <w:r>
        <w:rPr>
          <w:rtl w:val="true"/>
          <w:lang w:bidi="he-IL"/>
        </w:rPr>
        <w:t>שדי</w:t>
      </w:r>
      <w:r>
        <w:rPr/>
        <w:t xml:space="preserve"> </w:t>
      </w:r>
      <w:r>
        <w:rPr/>
        <w:t xml:space="preserve">statt </w:t>
      </w:r>
      <w:r>
        <w:rPr>
          <w:rtl w:val="true"/>
          <w:lang w:bidi="he-IL"/>
        </w:rPr>
        <w:t>השדה</w:t>
      </w:r>
      <w:r>
        <w:rPr/>
        <w:t xml:space="preserve"> </w:t>
      </w:r>
      <w:r>
        <w:rPr/>
        <w:t>(wie in Jes 56,9; s. auch Dtn 32,13; Ps 8,8; 50,11; 80,14; 96,12; Jer 4,17; 18,14; Klg 4,9; Hos 10,4; 12,12; Joel 2,22). In der alten Handschrift 4QPsd findet sich stattdessen „alles Getier Ws (=JHWHs)“; statt „Feldes“ haben die Schreiber dieser Handschrift das Wort also wohl wegen der selteneren Schreibweise offenbar für die ebenso geschriebene Bezeichnung Gottes schaddaj („der vom Berge“) gehalten und durch den Gottesnamen JHWH ersetzt (vgl. Nebe 1981). Angezielt war sicher die Bedeutung „alles Getier des Feldes“.</w:t>
      </w:r>
    </w:p>
  </w:footnote>
  <w:footnote w:id="1077">
    <w:p>
      <w:pPr>
        <w:pStyle w:val="Funote"/>
        <w:rPr/>
      </w:pPr>
      <w:r>
        <w:rPr>
          <w:rStyle w:val="Funotenzeichen"/>
        </w:rPr>
        <w:footnoteRef/>
      </w:r>
      <w:r>
        <w:rPr/>
        <w:tab/>
        <w:t>sollen - Assonanz der beiden ersten Worte in 11a und 11b: jischqu und jischberu.</w:t>
      </w:r>
    </w:p>
  </w:footnote>
  <w:footnote w:id="1078">
    <w:p>
      <w:pPr>
        <w:pStyle w:val="Funote"/>
        <w:rPr/>
      </w:pPr>
      <w:r>
        <w:rPr>
          <w:rStyle w:val="Funotenzeichen"/>
        </w:rPr>
        <w:footnoteRef/>
      </w:r>
      <w:r>
        <w:rPr/>
        <w:tab/>
        <w:t>[Selbst] - Fokuspartikel wie „nur“, „selbst“ usw. werden im Heb. oft nicht gesetzt, wo das Dt. sie setzen würde; im Dt. muss man sie sich daher dazudenken. Ähnlich z.B. Rut 1,17; Ps 9,21; Ps 13,3; Ob 5.6. Die Wildesel sind deshalb ein Sonderfall, weil diese in den 30er Jahren ausgestorbenen Tiere Einzelgänger in der israelitischen Wüste waren (s. Ijob 24,5; Jes 32,14; Jer 2,24; Hos 8,9) und im Alten Orient daher für ungezügelte Freiheit stehen konnten (Mustafa 1983, S. 64 und vgl. Krüger 2010, S. 168-70).</w:t>
      </w:r>
    </w:p>
  </w:footnote>
  <w:footnote w:id="1079">
    <w:p>
      <w:pPr>
        <w:pStyle w:val="Funote"/>
        <w:rPr/>
      </w:pPr>
      <w:r>
        <w:rPr>
          <w:rStyle w:val="Funotenzeichen"/>
        </w:rPr>
        <w:footnoteRef/>
      </w:r>
      <w:r>
        <w:rPr/>
        <w:tab/>
        <w:t>brechen - d.h. „stillen“; das Idiom „den Durst brechen“ als „dem Durst seinen Stachel nehmen“, d.h. „ihn stillen“ findet sich auch im Lateinischen (frangere sitim) und im Arabischen (vgl. Driver 1943, S. 19). Der in der Bibel einmalige Ausdruck wird gestützt durch die Handschrift 2QPs; 4QPsd allerdings hat statt jšbrw die Konsonanten jškjrw („sie betranken sich“); Syr setzt voraus: jßb`w („sie wurden satt“; dem folgen deClaissé-Walford/Jacobson/Tanner 2014, S. 771).</w:t>
      </w:r>
    </w:p>
  </w:footnote>
  <w:footnote w:id="1080">
    <w:p>
      <w:pPr>
        <w:pStyle w:val="Funote"/>
        <w:rPr/>
      </w:pPr>
      <w:r>
        <w:rPr>
          <w:rStyle w:val="Funotenzeichen"/>
        </w:rPr>
        <w:footnoteRef/>
      </w:r>
      <w:r>
        <w:rPr/>
        <w:tab/>
        <w:t>miniatur|Felsenbrütende Tauben in einem sog. "Columbarium"Textkritik: Felsen (Zweigen) - Heb. `opha´im (</w:t>
      </w:r>
      <w:r>
        <w:rPr>
          <w:rtl w:val="true"/>
          <w:lang w:bidi="he-IL"/>
        </w:rPr>
        <w:t>עפאים</w:t>
      </w:r>
      <w:r>
        <w:rPr/>
        <w:t>). Ursprünglich wäre dies geschrieben worden als `ophaim (</w:t>
      </w:r>
      <w:r>
        <w:rPr>
          <w:rtl w:val="true"/>
          <w:lang w:bidi="he-IL"/>
        </w:rPr>
        <w:t>עפים</w:t>
      </w:r>
      <w:r>
        <w:rPr/>
        <w:t>); Qere punktiert auch so, als stünden im Ketiv nur diese Buchstaben. LXX, Syr und VUL übersetzen alle mit „Felsen“, setzen also für den ursprünglichen Text das grafisch sehr ähnlliche kephim (</w:t>
      </w:r>
      <w:r>
        <w:rPr>
          <w:rtl w:val="true"/>
          <w:lang w:bidi="he-IL"/>
        </w:rPr>
        <w:t>כפים</w:t>
      </w:r>
      <w:r>
        <w:rPr/>
        <w:t>; s. in der Bibel noch in Ijob 30,6; Jer 4,29. Das Wort im MT dagegen findet sich in der Bibel nur noch dreimal in Dan 4 und ist damit aramäisch, nicht hebräisch, vgl. Wagner 1966, s. 92f.) voraus. Viele Vögel in Israel bauen ihre Nester nicht in Bäume, sondern sind Felsenbrüter. Rechts etwa ein Bild von Tauben, für die wegen ihres „Felsenbrütertums“ eigene Niststationen namens „Columbarien“ erbaut wurden. Die vorgestellte Szenerie ist also die, dass Gebirgsbäche auf Bergen entspringen und zwischen Felsen, in deren Klüften Vögel brüten, in die Täler hinabfließen.</w:t>
      </w:r>
    </w:p>
  </w:footnote>
  <w:footnote w:id="1081">
    <w:p>
      <w:pPr>
        <w:pStyle w:val="Funote"/>
        <w:rPr/>
      </w:pPr>
      <w:r>
        <w:rPr>
          <w:rStyle w:val="Funotenzeichen"/>
        </w:rPr>
        <w:footnoteRef/>
      </w:r>
      <w:r>
        <w:rPr/>
        <w:tab/>
        <w:t>geben sie - Plural, da das Kollektivnomen `oph („Gevögel“) in Zeile 1 Sg. ist, aber als Kollektivnomen auch mehrere Tiere bezeichnen kann. Die Variation von Sg. mit Pl. in zwei aufeinanderfolgenden Zeilen ist ein häufiges Stilmittel in heb. Texten („N-Shift“).</w:t>
      </w:r>
    </w:p>
  </w:footnote>
  <w:footnote w:id="1082">
    <w:p>
      <w:pPr>
        <w:pStyle w:val="Funote"/>
        <w:rPr/>
      </w:pPr>
      <w:r>
        <w:rPr>
          <w:rStyle w:val="Funotenzeichen"/>
        </w:rPr>
        <w:footnoteRef/>
      </w:r>
      <w:r>
        <w:rPr/>
        <w:tab/>
        <w:t>Textkritik: Lies mit einer MT-Handschrift und einigen alten Üss. qolam („ihre Stimme“) statt qol („Stimme“) (so z.B. Alter 2007, S. 364; König 1927, S. 159). Grafisch ist der Schreibfehler leicht erklärlich: Haplographie des Mem am Ende dieses und am Anfang des nächsten Wortes (vgl. ähnlich Dahood 1970, S. 39).</w:t>
      </w:r>
    </w:p>
  </w:footnote>
  <w:footnote w:id="1083">
    <w:p>
      <w:pPr>
        <w:pStyle w:val="Funote"/>
        <w:rPr/>
      </w:pPr>
      <w:r>
        <w:rPr>
          <w:rStyle w:val="Funotenzeichen"/>
        </w:rPr>
        <w:footnoteRef/>
      </w:r>
      <w:r>
        <w:rPr/>
        <w:tab/>
        <w:t xml:space="preserve">Frucht deiner Werke - Sehr umstrittener Ausdruck; viele verschiedene Korrekturen des heb. Textes sind vorgeschlagen worden (s.u.). Vermutlich sind sie aber nicht notwendig. Die Frucht von Gottes Arbeit (s. nächster Absatz) ist wohl der Regen, der hier die Berge „tränkt“ und die Erde „sitt macht“, wie er in V. 16 die Bäume „sitt macht“ (das Wort im Heb. kann sowohl „sitt machen/werden“ als auch „satt machen/werden“ bedeuten; zu „sitt werden“ vgl. z.B. noch Sir 12,16). Der Parallelismus mit „du tränkst die Berge“ macht das sehr wahrscheinlich; alternativ müsste man als die Frucht seiner Regenmacher-Arbeit die Pflanzen betrachten, von denen im Folgenden die Rede sein wird (so z.B. Allen 1983; Delitzsch 1894; Kissane 1954; vgl. die ähnliche Parallelisierung von Regen und Sättigung der Lebewesen in PsSal 5,9 („Du sättigst die Vögel und die Fische, / indem du der Steppe Regen giebst, damit das Gras sprossen kann.“) und den Parallelstellen zu 13b). „Die Erde“ stünde dann metonymisch für alle Bewohner der Erde. Auch V. 16 lässt sich so verstehen, dass nicht die Bäume „sitt werden“, sondern „sättigen“, nämlich die Vögel in ihren Zweigen.Gottes „Arbeit“ ist wahrscheinlich mehr als ein bloßes Befehlen und Gebieten. Nach Ijob 38,37 lässt Gott es etwa regnen, indem er „die im Himmel [gelagerten Wasser-]schläuche ausleert“. Nach b.Taan 9b z.B. muss das (Salz-)Wasser des Urmeeres, das Gott wieder herabregnen lässt, in den Wolken erst noch „gesüßt“ werden. In b.Taan 2ab ist außerdem zu lesen vom „Schlüssel des Regens“, über den (mit Ausnahme Elijas, b.San 113a) einzig Gott gebietet und mit dem er die Schleusen seiner in Dtn 28,12 erwähnten himmlischen Speicher öffnen muss, um es regnen zu lassen (vgl. auch Gen 8,2; Sir 43,14). Gottes Arbeit am Regen wird also häufiger als tatsächliche Handarbeit vorgestellt.Textkritik: Weil sie sämtlich grafisch nicht sehr nahe am heb. Text sind und auch nicht von alten Handschriften oder Üss. gedeckt werden, seien die wichtigeren Korrekturvorschläge hier bloß aus Gründen der Vollständigkeit angeführt. Das zweite Wort von </w:t>
      </w:r>
      <w:r>
        <w:rPr>
          <w:rtl w:val="true"/>
          <w:lang w:bidi="he-IL"/>
        </w:rPr>
        <w:t>מפרי מעשיך</w:t>
      </w:r>
      <w:r>
        <w:rPr/>
        <w:t xml:space="preserve"> </w:t>
      </w:r>
      <w:r>
        <w:rPr/>
        <w:t xml:space="preserve">wollen Nötscher 1953 nach </w:t>
      </w:r>
      <w:r>
        <w:rPr>
          <w:rtl w:val="true"/>
          <w:lang w:bidi="he-IL"/>
        </w:rPr>
        <w:t>נשאיך</w:t>
      </w:r>
      <w:r>
        <w:rPr/>
        <w:t xml:space="preserve"> </w:t>
      </w:r>
      <w:r>
        <w:rPr/>
        <w:t xml:space="preserve">(„von der Frucht deiner Wolken“) und Weiser 1959 nach </w:t>
      </w:r>
      <w:r>
        <w:rPr>
          <w:rtl w:val="true"/>
          <w:lang w:bidi="he-IL"/>
        </w:rPr>
        <w:t>שמיך</w:t>
      </w:r>
      <w:r>
        <w:rPr/>
        <w:t xml:space="preserve"> </w:t>
      </w:r>
      <w:r>
        <w:rPr/>
        <w:t xml:space="preserve">(„von der Frucht deines Himmels“) korrigieren. Als Alternativen für den ganzen Ausdruck schlägt mit Kraus 1966 </w:t>
      </w:r>
      <w:r>
        <w:rPr>
          <w:rtl w:val="true"/>
          <w:lang w:bidi="he-IL"/>
        </w:rPr>
        <w:t>מרי אסמיך</w:t>
      </w:r>
      <w:r>
        <w:rPr/>
        <w:t xml:space="preserve"> </w:t>
      </w:r>
      <w:r>
        <w:rPr/>
        <w:t xml:space="preserve">(„Vom Nass deiner Kammern“) vor; ähnlich Loretz 1979 mit </w:t>
      </w:r>
      <w:r>
        <w:rPr>
          <w:rtl w:val="true"/>
          <w:lang w:bidi="he-IL"/>
        </w:rPr>
        <w:t>מרי אסמיו</w:t>
      </w:r>
      <w:r>
        <w:rPr/>
        <w:t xml:space="preserve"> </w:t>
      </w:r>
      <w:r>
        <w:rPr/>
        <w:t xml:space="preserve">(„Vom Nass seiner Speicher“). EÜ ersetzt den ganzen Ausdruck durch </w:t>
      </w:r>
      <w:r>
        <w:rPr>
          <w:rtl w:val="true"/>
          <w:lang w:bidi="he-IL"/>
        </w:rPr>
        <w:t>מנשאיך</w:t>
      </w:r>
      <w:r>
        <w:rPr/>
        <w:t xml:space="preserve"> </w:t>
      </w:r>
      <w:r>
        <w:rPr/>
        <w:t>(„aus deinen Wolken“); dem folgt wohl ASTADLER. Nach jeder dieser Korrekturen wäre also auch in Zeile 2 vom Regen die Rede.</w:t>
      </w:r>
    </w:p>
  </w:footnote>
  <w:footnote w:id="1084">
    <w:p>
      <w:pPr>
        <w:pStyle w:val="Funote"/>
        <w:rPr/>
      </w:pPr>
      <w:r>
        <w:rPr>
          <w:rStyle w:val="Funotenzeichen"/>
        </w:rPr>
        <w:footnoteRef/>
      </w:r>
      <w:r>
        <w:rPr/>
        <w:tab/>
        <w:t>sitt werden (sättigen) - s. zu den beiden verschiedenen möglichen Üss. s. FN af.</w:t>
      </w:r>
    </w:p>
  </w:footnote>
  <w:footnote w:id="1085">
    <w:p>
      <w:pPr>
        <w:pStyle w:val="Funote"/>
        <w:rPr/>
      </w:pPr>
      <w:r>
        <w:rPr>
          <w:rStyle w:val="Funotenzeichen"/>
        </w:rPr>
        <w:footnoteRef/>
      </w:r>
      <w:r>
        <w:rPr/>
        <w:tab/>
        <w:t xml:space="preserve">Textkritik: des Feldes (JHWHs) - Im MT: „JHWHs“. LXX hat hier „Bäume des Feldes“ (wie es sich z.B. auch in Lev 26,4; Dtn 20,19; Jes 55,12 u.ö. findet; zur Schreibweise s. zu V. 11). Wahrscheinlich liegt also die selbe Textgeschichte vor wie in V. 11 (s. FN y): Im ursprünglichen Text war die Rede vom „Feld“, ein alter Schreiber verwechselte dies wegen der seltenen Schreibweise </w:t>
      </w:r>
      <w:r>
        <w:rPr>
          <w:rtl w:val="true"/>
          <w:lang w:bidi="he-IL"/>
        </w:rPr>
        <w:t>שדי</w:t>
      </w:r>
      <w:r>
        <w:rPr/>
        <w:t xml:space="preserve"> </w:t>
      </w:r>
      <w:r>
        <w:rPr/>
        <w:t>mit der ebenso geschriebenen Gottesbezeichnung schaddaj („der vom Berge“) und ersetzte dies durch den Gottesnamen JHWH (zur Stelle vgl. Sparks 1947, S. 57).</w:t>
      </w:r>
    </w:p>
  </w:footnote>
  <w:footnote w:id="1086">
    <w:p>
      <w:pPr>
        <w:pStyle w:val="Funote"/>
        <w:rPr/>
      </w:pPr>
      <w:r>
        <w:rPr>
          <w:rStyle w:val="Funotenzeichen"/>
        </w:rPr>
        <w:footnoteRef/>
      </w:r>
      <w:r>
        <w:rPr/>
        <w:tab/>
        <w:t>Libanon-zedern - Bäume, sprichwörtlich für ihre Größe und Majestät. S. z.B. bes. klar Ez 31,3, auch 1 Kön 4,33; Jes 2,13; 37,24.</w:t>
      </w:r>
    </w:p>
  </w:footnote>
  <w:footnote w:id="1087">
    <w:p>
      <w:pPr>
        <w:pStyle w:val="Funote"/>
        <w:rPr/>
      </w:pPr>
      <w:r>
        <w:rPr>
          <w:rStyle w:val="Funotenzeichen"/>
        </w:rPr>
        <w:footnoteRef/>
      </w:r>
      <w:r>
        <w:rPr/>
        <w:tab/>
        <w:t>Textkritik: Dort (, auf denen) - Im Heb. mit Relativpartikel ´ascher eingeleiteter Relativsatz. Diese Relativpartikel wird gestützt von Tg und Sym, nicht aber von LXX, Aq, Syr, Hier und VUL. Am einfachsten ließe sich das damit erklären, dass die Relativpartikel, die auch schon das vorletzte Wort in V. 16 ist, hier von einem Schreiber fälschlicherweise ein zweites Mal geschrieben worden ist. So z.B. EÜ, H-R, HER05, PAT, TAF.</w:t>
      </w:r>
    </w:p>
  </w:footnote>
  <w:footnote w:id="1088">
    <w:p>
      <w:pPr>
        <w:pStyle w:val="Funote"/>
        <w:rPr/>
      </w:pPr>
      <w:r>
        <w:rPr>
          <w:rStyle w:val="Funotenzeichen"/>
        </w:rPr>
        <w:footnoteRef/>
      </w:r>
      <w:r>
        <w:rPr/>
        <w:tab/>
        <w:t>miniatur|Storch, Reiher und GleitaarHabicht (Storch?, Reiher?) - Trad. übersetzt mit „Storch“, und in der Tat können Störche trotz ihrer bis zu zwei Tonnen schwerer Horste sowohl in weniger stabilen Bäumen wie „Zypressen“ als auch auf „Wipfeln“, also den schwächsten Stellen von Bäumen, nisten; s. das linke Bild. Für die Übersetzung des Wortes mit „Storch“ gibt es aber fast keine Indizien. Syr übersetzt mit chorba´, was sowohl den Storch als auch den Reiher bezeichnen kann (so an jeder Stelle; s. noch Lev 11,19; Dtn 14,18; Ijob 39,13; Jer 8,7). Mit „Reiher“ übersetzen auch Sym, Theod und VUL bisweilen; wenn, sollte man von diesen Üss. also eher auf Reiher schließen.Sein Name (chasidah) leitet sich außerdem her von chesed („Treue“). Aristoteles berichtet in HA VIII 615b einmal davon, dass alte Störche von den jungen gefüttert würden, und deshalb (!) denken einige, dieser Name passe besonders gut zum Storch. Diese Parallele ist jedoch sehr weit hergeholt. Viel näher ist die talmudische Parallelstelle b.Chul 63a: „Die ‚chasidah‘ ist eine weiße dajjah. Warum lautet ihr Name chasidah? Weil sie Treue (‚chasidot‘) gegenüber ihren Gefährten zeigt.“ dajjah nun bezeichnet, wie Dalman in AuS VI, S. 97 richtig anmerkt, einen kleinen Greifvogel (in b.Mez 24b z.B. raubt eine dajjah Fleisch vom Marktplatz und verspeist es auf einem Baum), und entsprechend ist dies die zweite verbreitete alte Üs.: „Habicht“ (so nämlich bisweilen Tg, Hier, VUL, Sym, Sexta). Weitere Indizien sind dann die weiße Farbe (s. eben b.Chul 63a; ebenso TgO Dtn 14,18; TgPsJ Lev 11,19; TgN Lev 11,19; TgPs 104,17: „weiße dajjah“ u.Ä.), die Tatsache, dass er ein Zugvogel ist (vgl. Jer 8,7) und seine Nennung zusammen mit Taube, Schwalbe, Drossel (Jer 8,7), Wiedehopf, Fledermaus und ´anapah (TgPsJ, TgN, FTV, b.Chul 63a: „schwarze dajjah“, also wohl Mohrenweihe, Schieferfalke o.Ä.) (Lev 11,19; Dtn 14,18), sämtlich also eher kleinen Vögeln. Gemeint sein könnte also zum Beispiel der habichtartige Gleitaar, s. rechtes Bild. Dahin weist auch Folgendes: Auf diesen Vogelabschnitt folgt ein Abschnitt über Landtiere (Vv. 18-22) und einer über Meerestiere (Vv. 25f.); in beiden Abschnitten steht an zweiter Stelle ein gefährliches Tier: Auf Steinbock und Klippdachs (Vv. 18-20) folgt der Löwe (Vv. 20f.), auf die kleinen und großen Meerestiere (V. 25) der Leviathan (V. 26). Es machte Sinn, wenn auch hier auf die Vögel (tsipporim, also speziell „kleine Vögel“, statt allgemein `oph, „Vögel“!) eine für dese gefährliche Tierart folgte.</w:t>
      </w:r>
    </w:p>
  </w:footnote>
  <w:footnote w:id="1089">
    <w:p>
      <w:pPr>
        <w:pStyle w:val="Funote"/>
        <w:rPr/>
      </w:pPr>
      <w:r>
        <w:rPr>
          <w:rStyle w:val="Funotenzeichen"/>
        </w:rPr>
        <w:footnoteRef/>
      </w:r>
      <w:r>
        <w:rPr/>
        <w:tab/>
        <w:t>Textkritik: in ihren Wipfeln (auf Zypressen) - Im Heb. beroschim („auf den Zedern“). LXX setzt aber sinnvoller voraus, dass der Urtext beroscham („auf ihrem Haupt“, d.h. „in ihren Wipfeln“) lautete. Dem folgen z.B. auch CTAT; Deissler 1989, S. 407; Kissane 1954, S. 154; Krüger 2010, S. 26: Die Einführung einer zweiten speziellen Baumart liegt poetisch nicht sehr nahe und eine Verlesung der beiden (ursprünglich wohl ohnehin gleich geschriebenen) Worte ließe sich leicht damit erklären, dass „Zedern“ und „Zypressen“ als zwei Edelhölzer häufig in Kombination erwähnt werden, s. etwa 1 Kön 5,8.10; Jes 14,8; Jes 37,24; Ez 27,5 u.ö.</w:t>
      </w:r>
    </w:p>
  </w:footnote>
  <w:footnote w:id="1090">
    <w:p>
      <w:pPr>
        <w:pStyle w:val="Funote"/>
        <w:rPr/>
      </w:pPr>
      <w:r>
        <w:rPr>
          <w:rStyle w:val="Funotenzeichen"/>
        </w:rPr>
        <w:footnoteRef/>
      </w:r>
      <w:r>
        <w:rPr/>
        <w:tab/>
        <w:t>für Festzeiten - nämlich zum Anzeigen derselben: Noch heute orientiert man sich im Judentum zur Bestimmung der Festzeiten an einem Mondkalender. Zur Bed. „Festzeiten“ vgl. Rudolph 2003.</w:t>
      </w:r>
    </w:p>
  </w:footnote>
  <w:footnote w:id="1091">
    <w:p>
      <w:pPr>
        <w:pStyle w:val="Funote"/>
        <w:rPr/>
      </w:pPr>
      <w:r>
        <w:rPr>
          <w:rStyle w:val="Funotenzeichen"/>
        </w:rPr>
        <w:footnoteRef/>
      </w:r>
      <w:r>
        <w:rPr/>
        <w:tab/>
        <w:t>kennt ihren Untergang - d.h. sie weiß, wann oder wo sie unterzugehen hat.</w:t>
      </w:r>
    </w:p>
  </w:footnote>
  <w:footnote w:id="1092">
    <w:p>
      <w:pPr>
        <w:pStyle w:val="Funote"/>
        <w:rPr/>
      </w:pPr>
      <w:r>
        <w:rPr>
          <w:rStyle w:val="Funotenzeichen"/>
        </w:rPr>
        <w:footnoteRef/>
      </w:r>
      <w:r>
        <w:rPr/>
        <w:tab/>
        <w:t>tFN: 20ab - Häufig nach JM §167a als temporales Satzgefüge übersetzt: „Setzt du Finsternis, wird es Nacht“; „und es soll werden“ für „dann wird es“ soll eine „seltene und poetische“ Konstruktion für solche Satzgefüge sein (ebd.). Das ist aber bei keiner von Joüons Parallelen (notwendig) so: Mic 7,10; Sach 9,5 sprechen klar üble Wünsche aus; ähnlich Ps 146,4. In Ijob 19,18; Ps 40,6; Ps 139,8f. sollen die Kohortativ nur ähnlich wie ein historisches Präsens die Dramatik stärken, z.B.: „Ich will mir die Unterwelt betten - doch du bist da!“Auch das Jussiv lässt sich aber ja problemlos so verstehen wie die vorigen Yiqtols: Sie sollen anzeigen, dass auch die Nacht (ebenso wie der Tag, V. 22) und das Wimmeln von Waldtieren Gottes Willen unterliegt. Von 20a auf 20b liegt dann zusätzlich zum P-Shift also auch ein D(iathesen)-Shift vor.</w:t>
      </w:r>
    </w:p>
  </w:footnote>
  <w:footnote w:id="1093">
    <w:p>
      <w:pPr>
        <w:pStyle w:val="Funote"/>
        <w:rPr/>
      </w:pPr>
      <w:r>
        <w:rPr>
          <w:rStyle w:val="Funotenzeichen"/>
        </w:rPr>
        <w:footnoteRef/>
      </w:r>
      <w:r>
        <w:rPr/>
        <w:tab/>
        <w:t>Löwen sind in der Antike noch häufiger als nachtaktive, in (Gebirgs-)höhlen wohnende Tiere vorgestellt; vgl. für die Bibel noch Ijob 38,40; Hld 4,8; Am 3,4; Nah 2,13. Auch in einem ägyptischen Spruch zum Schutz des Horus heißt es: „Der Schutz des Horus ist der Löwe in der Nacht, der im Westgebirge umherzieht“ (TUAT II/3, S. 369). Ähnlich auch in Griechenland, z.B. bei Herodot (Hdt 7.125f: „Nachts [vom Gebirge] herabkommend und ihr Reich zurücklassend fielen sie (=die Löwen) weder Mensch noch Vieh an; nur die Kamele raubten sie).“ und in der Sage vom nemeischen Löwen, der nach Diod 4.11.3f. in einer Höhle haust. Jensen 2016, S. 79 erwägt daher gar, ob zu dieser Zeit der schon lange ausgestorbene Höhlenlöwe vielleicht noch lebte. Zur Verortung des Löwen in den Wald vgl. noch Jer 5,6; Am 3,4.</w:t>
      </w:r>
    </w:p>
  </w:footnote>
  <w:footnote w:id="1094">
    <w:p>
      <w:pPr>
        <w:pStyle w:val="Funote"/>
        <w:rPr/>
      </w:pPr>
      <w:r>
        <w:rPr>
          <w:rStyle w:val="Funotenzeichen"/>
        </w:rPr>
        <w:footnoteRef/>
      </w:r>
      <w:r>
        <w:rPr/>
        <w:tab/>
        <w:t>tFN: So auch (Dies – das, dort [ist]) - schwer erklärliche Verwendung des Demonstrativpronomens zeh. LXX, Syr, Hier, VUL und Tg übersetzen schlicht mit „Dieses Meer (ist)...“ (wofür im Heb. der Artikel ganz ausgereicht hätte), eine rein automatische Übersetzungen des Pronomens. 11QPsa streicht das Pronomen; vielleicht ein Indiz dafür, dass es dem Schreiber ebenfalls überflüssig schien.Zur Üs. mit „dort“ vgl. Ges18, S. 294; so die meisten Üss., z.B. EÜ, LUT17. Warum hier aber ein Deiktikum kommen sollte, ist ebenso wenig erklärlich. Zu „so [auch]“ vgl. HALOT, S. 264; Berlin 2005, S. 81; z.B. auch Zorell 1928, S. 181 („item mare magnum...“); ähnlich offenbar die Verwendung z.B. in Ps 24,6. Trotz der wenigen Belege für diese Verwendung wird man sich hier notgedrungen wohl hieran anschließen müssen.</w:t>
      </w:r>
    </w:p>
  </w:footnote>
  <w:footnote w:id="1095">
    <w:p>
      <w:pPr>
        <w:pStyle w:val="Funote"/>
        <w:rPr/>
      </w:pPr>
      <w:r>
        <w:rPr>
          <w:rStyle w:val="Funotenzeichen"/>
        </w:rPr>
        <w:footnoteRef/>
      </w:r>
      <w:r>
        <w:rPr/>
        <w:tab/>
        <w:t>groß und weit {die Seiten} - d.h. „groß und weit [nach allen] Seiten“, vgl. Ges18, S. 438. Das selbe Idiom findet sich auch in Gen 34,21; Jes 22,18; Jes 33,21.</w:t>
      </w:r>
    </w:p>
  </w:footnote>
  <w:footnote w:id="1096">
    <w:p>
      <w:pPr>
        <w:pStyle w:val="Funote"/>
        <w:rPr/>
      </w:pPr>
      <w:r>
        <w:rPr>
          <w:rStyle w:val="Funotenzeichen"/>
        </w:rPr>
        <w:footnoteRef/>
      </w:r>
      <w:r>
        <w:rPr/>
        <w:tab/>
        <w:t>Gewürm - Heb. remeß. Das Nomen und das dazugehörige Verb bezeichnen eigentlich speziell Kriechtiere und Gewürm auf der Erde; von Wassertieren aber auch in Gen 1,21; Lev 11,46; Ps 69,35. Gemeint sind hier also wohl Meerwürmer, Seeschnecken etc. und in Vv. 25f. steigert sich derart nach und nach die Größe der genannten Tiere: Gewürm - kleine Tiere - große Tiere - Leviathan.</w:t>
      </w:r>
    </w:p>
  </w:footnote>
  <w:footnote w:id="1097">
    <w:p>
      <w:pPr>
        <w:pStyle w:val="Funote"/>
        <w:rPr/>
      </w:pPr>
      <w:r>
        <w:rPr>
          <w:rStyle w:val="Funotenzeichen"/>
        </w:rPr>
        <w:footnoteRef/>
      </w:r>
      <w:r>
        <w:rPr/>
        <w:tab/>
        <w:t>schwimmen Schiffe (schwimmen dort gleich Schiffen.) - die umstrittenste Stelle des Psalms. Auf den ersten Blick scheint wegen dieser Zeile in Vv. 27f. gesagt zu werden, dass Gott Schiffe füttere, und in V. 29, dass Gott nicht nur Lebewesen, sondern auch den Schiffen den Atem geben und auch nehmen könne, in welchem Falle dann die Schiffe erschrecken und sterben würden. Hinzu kommt die grammatische Schwierigkeit, dass „Schiffe“ Feminin Plural ist, das Verb „schwimmen“ aber Maskulin Plural. Die einfachste Erklärung ist die, dass die Schiffe hier metonymisch für die (vielen) Menschen auf diesen Schiffen stehen, was sich auch im Maskulinum des Verbs niederschlägt. Vermöge seiner Schiffe ist der Mensch auch ein „Wassertier“, vermöge der Größe seiner Schiffe nach dem Leviathan sogar das größte von ihnen.Alternativ ließen sich die „Schiffe“ mit Ehrlich 1905, S. 251f. als adverbialer Akkusativ des Vergleichs erklären (vgl. GKC §118r; z.B. auch Psalm 11,1; Ps 21,8; mit ähnlicher Syntax Ijob 24,4: „[Wie] Wildesel in der Wüste arbeiten [sie] in der Früh“): „Die kleinen Tiere und die großen schwimmen dort [wie] Schiffe“. Einige ältere Exegeten haben außerdem unwahrscheinliche Textkorrekturen vorgeschlagen, nämlich für onijot („Schiffe“) entweder emoth („Schrecknisse“, so z.B. Gunkel 1926; Herkenne 1936) oder taninim („Tiefe“; so z.B. Schlögl 1915; Weiser 1959), zwei Bezeichnungen für weitere Meeresungeheuer neben dem Leviathan.</w:t>
      </w:r>
    </w:p>
  </w:footnote>
  <w:footnote w:id="1098">
    <w:p>
      <w:pPr>
        <w:pStyle w:val="Funote"/>
        <w:rPr/>
      </w:pPr>
      <w:r>
        <w:rPr>
          <w:rStyle w:val="Funotenzeichen"/>
        </w:rPr>
        <w:footnoteRef/>
      </w:r>
      <w:r>
        <w:rPr/>
        <w:tab/>
        <w:t>um mit ihm Spaß zu haben (damit er darinnen Spaß habe) - Das mythische Meeresungeheuer Leviathan (vgl. Jer 27,1) wird hier degradiert zum Schoßhündchen Gottes.Grammatisch sind beide Auflösungen möglich; nach der Parallelstelle Ijob 40,29 liegt aber die Deutung im Fließtext wesentlich näher. Vgl. auch b.AZ 3b, wo Rabbi Aricha Gottes zwölfstündiger Tagesablauf schildert: Die ersten drei Stunden studiert er die Torah, die zweiten drei Stunden beurteilt er die Welt (und weil er dabei stets erkennt, dass er sie eigentlich zerstören müsste, entscheidet er jeden Tag von Neuem, gnädig zu sein), die dritten drei Stunden ernährt er sie und die vierten drei Stunden vergnügt er sich mit dem Leviathan.Gemeint ist nicht „um ihn zu verspotten“ (Grill 1959, S. 102; so schon Athanasius); vgl. richtig Kwakkel 2017, S. 83. Ohnehin stünde dafür im Heb. das Verb im Qal statt im Piel.</w:t>
      </w:r>
    </w:p>
  </w:footnote>
  <w:footnote w:id="1099">
    <w:p>
      <w:pPr>
        <w:pStyle w:val="Funote"/>
        <w:rPr/>
      </w:pPr>
      <w:r>
        <w:rPr>
          <w:rStyle w:val="Funotenzeichen"/>
        </w:rPr>
        <w:footnoteRef/>
      </w:r>
      <w:r>
        <w:rPr/>
        <w:tab/>
        <w:t>Textkritik: [ihnen] (wie in V. 28) findet sich zusätzlich in 11QPsa und LXX. Dass „sie“ es sind, die gesättigt werden sollen, ist aber auch so klar und das „ihnen“ aus V. 28 wirkt auch im MT zurück auf V. 27 („backward gapping“); 11QPsa und LXX explizieren also wohl nur das „ihnen“ aus V. 28 und man muss nicht von zwei unterschiedlichen Textversionen ausgehen.</w:t>
      </w:r>
    </w:p>
  </w:footnote>
  <w:footnote w:id="1100">
    <w:p>
      <w:pPr>
        <w:pStyle w:val="Funote"/>
        <w:rPr/>
      </w:pPr>
      <w:r>
        <w:rPr>
          <w:rStyle w:val="Funotenzeichen"/>
        </w:rPr>
        <w:footnoteRef/>
      </w:r>
      <w:r>
        <w:rPr/>
        <w:tab/>
        <w:t>zur rechten Zeit - W. „zu ihrer (d.i. der Nahrung) Zeit“; ähnlich in Ps 1,3</w:t>
      </w:r>
    </w:p>
  </w:footnote>
  <w:footnote w:id="1101">
    <w:p>
      <w:pPr>
        <w:pStyle w:val="Funote"/>
        <w:rPr/>
      </w:pPr>
      <w:r>
        <w:rPr>
          <w:rStyle w:val="Funotenzeichen"/>
        </w:rPr>
        <w:footnoteRef/>
      </w:r>
      <w:r>
        <w:rPr/>
        <w:tab/>
        <w:t>Nahrung / sie aus V. 27 steht hier nicht mehr explizit, ist aber klar mitgemeint. Eine ähnliche Verschränkung von backward gapping und forward gapping findet sich z.B. auch in Ob 18.</w:t>
      </w:r>
    </w:p>
  </w:footnote>
  <w:footnote w:id="1102">
    <w:p>
      <w:pPr>
        <w:pStyle w:val="Funote"/>
        <w:rPr/>
      </w:pPr>
      <w:r>
        <w:rPr>
          <w:rStyle w:val="Funotenzeichen"/>
        </w:rPr>
        <w:footnoteRef/>
      </w:r>
      <w:r>
        <w:rPr/>
        <w:tab/>
        <w:t>sie werden gesättigt mit Gutem, wie in Vv. 13.16 die Erde von Gott „gesättigt“ wird. Eine ähnliche Gedankenverbindung findet sich explizit in PsSal 5,9f.: „Vögel und Fische sättigst du, indem du der Wüste Regen gibst, so dass grünes Gras wächst, um in der Wüste Futter für alles Lebendige zu bereiten.“</w:t>
      </w:r>
    </w:p>
  </w:footnote>
  <w:footnote w:id="1103">
    <w:p>
      <w:pPr>
        <w:pStyle w:val="Funote"/>
        <w:rPr/>
      </w:pPr>
      <w:r>
        <w:rPr>
          <w:rStyle w:val="Funotenzeichen"/>
        </w:rPr>
        <w:footnoteRef/>
      </w:r>
      <w:r>
        <w:rPr/>
        <w:tab/>
        <w:t>verbirgst dein Gesicht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30,8; 44,25; 69,18; 88,15; 102,3; 143,7; Jes 8,17; 54,8; 59,2; 64,6; Jer 33,5; Ez 39,23f.29; Mic 3,4): JHWH verbirgt sein Gesicht vor jemandem = JHWH schaut jemanden nicht mehr gnädig an (und lässt so zu, dass Unheil über ihn hereinbricht).</w:t>
      </w:r>
    </w:p>
  </w:footnote>
  <w:footnote w:id="1104">
    <w:p>
      <w:pPr>
        <w:pStyle w:val="Funote"/>
        <w:rPr/>
      </w:pPr>
      <w:r>
        <w:rPr>
          <w:rStyle w:val="Funotenzeichen"/>
        </w:rPr>
        <w:footnoteRef/>
      </w:r>
      <w:r>
        <w:rPr/>
        <w:tab/>
        <w:t>Zu Zeilen 2 und 3 vgl. Gen 2,7: Der Mensch ist aus Erde/Staub gebildet (Gen 3,19, 18,27; Ps 103,14) und wird erst durch die Einhauchung von Gottes Atem zum lebendigen Wesen (Pred 12,7; Jes 57,16; Jer 38,16; LXX hat daher hier wie in V. 30 „deinen Atem“ statt „ihren Atem“). Stirbt er, wird er daher nach dem Tod wieder zu „Staub“ (Gen 3,19, Ijob 10,9; 34,15; Pred 3,20), aus dem dann wieder andere Menschen entstehen können (Ijob 8,19) – der alttestamentliche „Circle of Life“, der auch in der Ringkomposition von Vv. 29f. (vgl. Renaud 1981, S. 16) zum Ausdruck kommt: „Du verbirgst dein Gesicht, sie erschrecken; : Du nimmst ihren Atem, sie sterben :: Und zu ihrem Staub kehren sie zurück. : Du sendest deinen Atem, sie werden geschaffen; Du erneuerst das Gesicht der Erde.“</w:t>
      </w:r>
    </w:p>
  </w:footnote>
  <w:footnote w:id="1105">
    <w:p>
      <w:pPr>
        <w:pStyle w:val="Funote"/>
        <w:rPr/>
      </w:pPr>
      <w:r>
        <w:rPr>
          <w:rStyle w:val="Funotenzeichen"/>
        </w:rPr>
        <w:footnoteRef/>
      </w:r>
      <w:r>
        <w:rPr/>
        <w:tab/>
        <w:t>Der auf die Erde blickt, so dass sie bebt – Das Heb. hat in 32a andere Verbformen als sonst in 27-30.32b, nämlich ein Partizip („anblicken“) und ein Wayyiqtol („beben“). 32 gehört daher nicht in die Reihung in diesen Versen, wie die meisten Üss. übersetzen, sondern ist eine Umschreibung Gottes (Er ist „der, der auf die Erde blickt“) und das Wayyiqtol gibt die logische Folge dieses Blickens an („so dass sie bebt“; vgl. JM §118h). Richtig daher FREE: „Der die Erde anschaut, und sie bebt; er rührt die Berge an, und sie rauchen.“ V. 32 ist damit der exakte Gegenvers zu V. 5.</w:t>
      </w:r>
    </w:p>
  </w:footnote>
  <w:footnote w:id="1106">
    <w:p>
      <w:pPr>
        <w:pStyle w:val="Funote"/>
        <w:rPr/>
      </w:pPr>
      <w:r>
        <w:rPr>
          <w:rStyle w:val="Funotenzeichen"/>
        </w:rPr>
        <w:footnoteRef/>
      </w:r>
      <w:r>
        <w:rPr/>
        <w:tab/>
        <w:t>Das bekannte Hallelujah findet sich hier das erste Mal in der Bibel und auch sonst nur im Psalter. Es kann sowohl am Ende vom Psalmen stehen (z.B. Ps 106,48) als auch am Anfang (z.B. Ps 111,1). LXX verschiebt es an den Anfang von Ps 105; dem folgen grundlos z.B. Dahood 1970; deClaissé-Walford/Jacobson/Tanner 2014; Herkenne 1936.</w:t>
      </w:r>
    </w:p>
  </w:footnote>
  <w:footnote w:id="1107">
    <w:p>
      <w:pPr>
        <w:pStyle w:val="Funote"/>
        <w:rPr/>
      </w:pPr>
      <w:r>
        <w:rPr>
          <w:rStyle w:val="Funotenzeichen"/>
        </w:rPr>
        <w:footnoteRef/>
      </w:r>
      <w:r>
        <w:rPr/>
        <w:tab/>
        <w:t>[Status: Zuverlässig]</w:t>
      </w:r>
    </w:p>
  </w:footnote>
  <w:footnote w:id="1108">
    <w:p>
      <w:pPr>
        <w:pStyle w:val="Funote"/>
        <w:rPr/>
      </w:pPr>
      <w:r>
        <w:rPr>
          <w:rStyle w:val="Funotenzeichen"/>
        </w:rPr>
        <w:footnoteRef/>
      </w:r>
      <w:r>
        <w:rPr/>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1109">
    <w:p>
      <w:pPr>
        <w:pStyle w:val="Funote"/>
        <w:rPr/>
      </w:pPr>
      <w:r>
        <w:rPr>
          <w:rStyle w:val="Funotenzeichen"/>
        </w:rPr>
        <w:footnoteRef/>
      </w:r>
      <w:r>
        <w:rPr/>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1110">
    <w:p>
      <w:pPr>
        <w:pStyle w:val="Funote"/>
        <w:rPr/>
      </w:pPr>
      <w:r>
        <w:rPr>
          <w:rStyle w:val="Funotenzeichen"/>
        </w:rPr>
        <w:footnoteRef/>
      </w:r>
      <w:r>
        <w:rPr/>
        <w:tab/>
        <w:t>W. „Mein Herz ist“, aber übersetze „Ich bin“ (so auch HfA, GN): das „Herz“ ist in der Bibel häufig Wechselbegriff für das Ich; bes. in Zhgg., in denen dieses Ich als „fühlende, gestimmte Person“ vorgestellt wird (s. z.B. Wolff 1973, S. 74f).</w:t>
      </w:r>
    </w:p>
  </w:footnote>
  <w:footnote w:id="1111">
    <w:p>
      <w:pPr>
        <w:pStyle w:val="Funote"/>
        <w:rPr/>
      </w:pPr>
      <w:r>
        <w:rPr>
          <w:rStyle w:val="Funotenzeichen"/>
        </w:rPr>
        <w:footnoteRef/>
      </w:r>
      <w:r>
        <w:rPr/>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1112">
    <w:p>
      <w:pPr>
        <w:pStyle w:val="Funote"/>
        <w:rPr/>
      </w:pPr>
      <w:r>
        <w:rPr>
          <w:rStyle w:val="Funotenzeichen"/>
        </w:rPr>
        <w:footnoteRef/>
      </w:r>
      <w:r>
        <w:rPr/>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1113">
    <w:p>
      <w:pPr>
        <w:pStyle w:val="Funote"/>
        <w:rPr/>
      </w:pPr>
      <w:r>
        <w:rPr>
          <w:rStyle w:val="Funotenzeichen"/>
        </w:rPr>
        <w:footnoteRef/>
      </w:r>
      <w:r>
        <w:rPr/>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1114">
    <w:p>
      <w:pPr>
        <w:pStyle w:val="Funote"/>
        <w:rPr/>
      </w:pPr>
      <w:r>
        <w:rPr>
          <w:rStyle w:val="Funotenzeichen"/>
        </w:rPr>
        <w:footnoteRef/>
      </w:r>
      <w:r>
        <w:rPr>
          <w:rtl w:val="true"/>
          <w:lang w:bidi="he-IL"/>
        </w:rPr>
        <w:tab/>
        <w:t>מִמֶּֽנִּי</w:t>
      </w:r>
      <w:r>
        <w:rPr/>
        <w:t xml:space="preserve"> </w:t>
      </w:r>
      <w:r>
        <w:rPr/>
        <w:t>zu ... für mich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1115">
    <w:p>
      <w:pPr>
        <w:pStyle w:val="Funote"/>
        <w:rPr/>
      </w:pPr>
      <w:r>
        <w:rPr>
          <w:rStyle w:val="Funotenzeichen"/>
        </w:rPr>
        <w:footnoteRef/>
      </w:r>
      <w:r>
        <w:rPr/>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1116">
    <w:p>
      <w:pPr>
        <w:pStyle w:val="Funote"/>
        <w:rPr/>
      </w:pPr>
      <w:r>
        <w:rPr>
          <w:rStyle w:val="Funotenzeichen"/>
        </w:rPr>
        <w:footnoteRef/>
      </w:r>
      <w:r>
        <w:rPr/>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1117">
    <w:p>
      <w:pPr>
        <w:pStyle w:val="Funote"/>
        <w:rPr/>
      </w:pPr>
      <w:r>
        <w:rPr>
          <w:rStyle w:val="Funotenzeichen"/>
        </w:rPr>
        <w:footnoteRef/>
      </w:r>
      <w:r>
        <w:rPr/>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1118">
    <w:p>
      <w:pPr>
        <w:pStyle w:val="Funote"/>
        <w:rPr/>
      </w:pPr>
      <w:r>
        <w:rPr>
          <w:rStyle w:val="Funotenzeichen"/>
        </w:rPr>
        <w:footnoteRef/>
      </w:r>
      <w:r>
        <w:rPr/>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1119">
    <w:p>
      <w:pPr>
        <w:pStyle w:val="Funote"/>
        <w:rPr/>
      </w:pPr>
      <w:r>
        <w:rPr>
          <w:rStyle w:val="Funotenzeichen"/>
        </w:rPr>
        <w:footnoteRef/>
      </w:r>
      <w:r>
        <w:rPr/>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1120">
    <w:p>
      <w:pPr>
        <w:pStyle w:val="Funote"/>
        <w:rPr/>
      </w:pPr>
      <w:r>
        <w:rPr>
          <w:rStyle w:val="Funotenzeichen"/>
        </w:rPr>
        <w:footnoteRef/>
      </w:r>
      <w:r>
        <w:rPr/>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1121">
    <w:p>
      <w:pPr>
        <w:pStyle w:val="Funote"/>
        <w:rPr/>
      </w:pPr>
      <w:r>
        <w:rPr>
          <w:rStyle w:val="Funotenzeichen"/>
        </w:rPr>
        <w:footnoteRef/>
      </w:r>
      <w:r>
        <w:rPr/>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Schreier 1904, S. 19)).</w:t>
      </w:r>
    </w:p>
  </w:footnote>
  <w:footnote w:id="1122">
    <w:p>
      <w:pPr>
        <w:pStyle w:val="Funote"/>
        <w:rPr/>
      </w:pPr>
      <w:r>
        <w:rPr>
          <w:rStyle w:val="Funotenzeichen"/>
        </w:rPr>
        <w:footnoteRef/>
      </w:r>
      <w:r>
        <w:rPr/>
        <w:tab/>
        <w:t>[Status: Zuverlässig]</w:t>
      </w:r>
    </w:p>
  </w:footnote>
  <w:footnote w:id="1123">
    <w:p>
      <w:pPr>
        <w:pStyle w:val="Funote"/>
        <w:rPr/>
      </w:pPr>
      <w:r>
        <w:rPr>
          <w:rStyle w:val="Funotenzeichen"/>
        </w:rPr>
        <w:footnoteRef/>
      </w:r>
      <w:r>
        <w:rPr/>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f) auf den Tempel beziehen. Vgl. ad loc. Ehrlich 1905, S. 359; SS, S. 41.</w:t>
      </w:r>
    </w:p>
  </w:footnote>
  <w:footnote w:id="1124">
    <w:p>
      <w:pPr>
        <w:pStyle w:val="Funote"/>
        <w:rPr/>
      </w:pPr>
      <w:r>
        <w:rPr>
          <w:rStyle w:val="Funotenzeichen"/>
        </w:rPr>
        <w:footnoteRef/>
      </w:r>
      <w:r>
        <w:rPr>
          <w:rtl w:val="true"/>
          <w:lang w:bidi="he-IL"/>
        </w:rPr>
        <w:tab/>
        <w:t>אֶל</w:t>
      </w:r>
      <w:r>
        <w:rPr/>
        <w:t xml:space="preserve"> </w:t>
      </w:r>
      <w:r>
        <w:rPr/>
        <w:t>hat nicht nur direktionale, sondern auch lokale Bedeutung; vgl. z.B. CDCH, S. 18; ad loc. auch Buttenwieser 1938, S. 686; Ehrlich 1905, S. 359; Grünewalder</w:t>
      </w:r>
    </w:p>
  </w:footnote>
  <w:footnote w:id="1125">
    <w:p>
      <w:pPr>
        <w:pStyle w:val="Funote"/>
        <w:rPr/>
      </w:pPr>
      <w:r>
        <w:rPr>
          <w:rStyle w:val="Funotenzeichen"/>
        </w:rPr>
        <w:footnoteRef/>
      </w:r>
      <w:r>
        <w:rPr/>
        <w:tab/>
        <w:t>Besonders im Kontext von Aussagen über JHWH steht sein „Name“ meist metonymisch für JHWH selbst; man bezeichnet so JHWH „im Menschenmund“.</w:t>
      </w:r>
    </w:p>
  </w:footnote>
  <w:footnote w:id="1126">
    <w:p>
      <w:pPr>
        <w:pStyle w:val="Funote"/>
        <w:rPr/>
      </w:pPr>
      <w:r>
        <w:rPr>
          <w:rStyle w:val="Funotenzeichen"/>
        </w:rPr>
        <w:footnoteRef/>
      </w:r>
      <w:r>
        <w:rPr/>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1127">
    <w:p>
      <w:pPr>
        <w:pStyle w:val="Funote"/>
        <w:rPr/>
      </w:pPr>
      <w:r>
        <w:rPr>
          <w:rStyle w:val="Funotenzeichen"/>
        </w:rPr>
        <w:footnoteRef/>
      </w:r>
      <w:r>
        <w:rPr/>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1128">
    <w:p>
      <w:pPr>
        <w:pStyle w:val="Funote"/>
        <w:rPr/>
      </w:pPr>
      <w:r>
        <w:rPr>
          <w:rStyle w:val="Funotenzeichen"/>
        </w:rPr>
        <w:footnoteRef/>
      </w:r>
      <w:r>
        <w:rPr/>
        <w:tab/>
        <w:t xml:space="preserve">Als W. eher An [dem] Tag, [an dem]. </w:t>
      </w:r>
      <w:r>
        <w:rPr>
          <w:rtl w:val="true"/>
          <w:lang w:bidi="he-IL"/>
        </w:rPr>
        <w:t>בּיוֹם</w:t>
      </w:r>
      <w:r>
        <w:rPr/>
        <w:t xml:space="preserve"> </w:t>
      </w:r>
      <w:r>
        <w:rPr/>
        <w:t>bezieht sich meist nicht auf einen tatsächlichen „Tag“, sondern fungiert als unbestimmte Zeitangabe.</w:t>
      </w:r>
    </w:p>
  </w:footnote>
  <w:footnote w:id="1129">
    <w:p>
      <w:pPr>
        <w:pStyle w:val="Funote"/>
        <w:rPr/>
      </w:pPr>
      <w:r>
        <w:rPr>
          <w:rStyle w:val="Funotenzeichen"/>
        </w:rPr>
        <w:footnoteRef/>
      </w:r>
      <w:r>
        <w:rPr/>
        <w:tab/>
        <w:t>Wenn von JHWH's „Antworten“ in Folge auf ein „Anrufen“ die Rede ist, hat es fast durchgehend die Bedeutung „erhören“.</w:t>
      </w:r>
    </w:p>
  </w:footnote>
  <w:footnote w:id="1130">
    <w:p>
      <w:pPr>
        <w:pStyle w:val="Funote"/>
        <w:rPr/>
      </w:pPr>
      <w:r>
        <w:rPr>
          <w:rStyle w:val="Funotenzeichen"/>
        </w:rPr>
        <w:footnoteRef/>
      </w:r>
      <w:r>
        <w:rPr/>
        <w:tab/>
        <w:t xml:space="preserve">hast mich ermutigt mit Seelenkraft (hast mir in meiner Seele Kraft gegeben)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1131">
    <w:p>
      <w:pPr>
        <w:pStyle w:val="Funote"/>
        <w:rPr/>
      </w:pPr>
      <w:r>
        <w:rPr>
          <w:rStyle w:val="Funotenzeichen"/>
        </w:rPr>
        <w:footnoteRef/>
      </w:r>
      <w:r>
        <w:rPr/>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1132">
    <w:p>
      <w:pPr>
        <w:pStyle w:val="Funote"/>
        <w:rPr/>
      </w:pPr>
      <w:r>
        <w:rPr>
          <w:rStyle w:val="Funotenzeichen"/>
        </w:rPr>
        <w:footnoteRef/>
      </w:r>
      <w:r>
        <w:rPr/>
        <w:tab/>
        <w:t>Walten (Wegen) Dass JHWHs „Wege“ sein herrschendes Walten bezeichnen, geht nicht nur aus ähnlichen Formulierungen im AT hervor. Dahood (1970, 278) sieht diese Deutung auch aus ugaritischen Texten (einer dem Hebräischen verwandten Sprache) bestätigt, dort im Zusammenhang mit Königen.</w:t>
      </w:r>
    </w:p>
  </w:footnote>
  <w:footnote w:id="1133">
    <w:p>
      <w:pPr>
        <w:pStyle w:val="Funote"/>
        <w:rPr/>
      </w:pPr>
      <w:r>
        <w:rPr>
          <w:rStyle w:val="Funotenzeichen"/>
        </w:rPr>
        <w:footnoteRef/>
      </w:r>
      <w:r>
        <w:rPr/>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1134">
    <w:p>
      <w:pPr>
        <w:pStyle w:val="Funote"/>
        <w:rPr/>
      </w:pPr>
      <w:r>
        <w:rPr>
          <w:rStyle w:val="Funotenzeichen"/>
        </w:rPr>
        <w:footnoteRef/>
      </w:r>
      <w:r>
        <w:rPr/>
        <w:tab/>
        <w:t xml:space="preserve">Waw apodoseos, es dient nur dazu, den Hauptsatz nach einem Vordersatz zu markieren und muss im Deutschen gestrichen werden; vgl. vgl. Lexikon / Lemma </w:t>
      </w:r>
      <w:r>
        <w:rPr>
          <w:rtl w:val="true"/>
          <w:lang w:bidi="he-IL"/>
        </w:rPr>
        <w:t>וְ</w:t>
      </w:r>
      <w:r>
        <w:rPr/>
        <w:t>.</w:t>
      </w:r>
    </w:p>
  </w:footnote>
  <w:footnote w:id="1135">
    <w:p>
      <w:pPr>
        <w:pStyle w:val="Funote"/>
        <w:rPr/>
      </w:pPr>
      <w:r>
        <w:rPr>
          <w:rStyle w:val="Funotenzeichen"/>
        </w:rPr>
        <w:footnoteRef/>
      </w:r>
      <w:r>
        <w:rPr/>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1136">
    <w:p>
      <w:pPr>
        <w:pStyle w:val="Funote"/>
        <w:rPr/>
      </w:pPr>
      <w:r>
        <w:rPr>
          <w:rStyle w:val="Funotenzeichen"/>
        </w:rPr>
        <w:footnoteRef/>
      </w:r>
      <w:r>
        <w:rPr/>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1137">
    <w:p>
      <w:pPr>
        <w:pStyle w:val="Funote"/>
        <w:rPr/>
      </w:pPr>
      <w:r>
        <w:rPr>
          <w:rStyle w:val="Funotenzeichen"/>
        </w:rPr>
        <w:footnoteRef/>
      </w:r>
      <w:r>
        <w:rPr/>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1138">
    <w:p>
      <w:pPr>
        <w:pStyle w:val="Funote"/>
        <w:rPr/>
      </w:pPr>
      <w:r>
        <w:rPr>
          <w:rStyle w:val="Funotenzeichen"/>
        </w:rPr>
        <w:footnoteRef/>
      </w:r>
      <w:r>
        <w:rPr/>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1139">
    <w:p>
      <w:pPr>
        <w:pStyle w:val="Funote"/>
        <w:rPr/>
      </w:pPr>
      <w:r>
        <w:rPr>
          <w:rStyle w:val="Funotenzeichen"/>
        </w:rPr>
        <w:footnoteRef/>
      </w:r>
      <w:r>
        <w:rPr/>
        <w:tab/>
        <w:t>meine Sache führen Nach Hossfeld 2008, 704. es für mich vollbringen nach SLT, mich rächen nach NET/HALAT. Dahood 1970, 282 punktiert das etwas um und übersetzt „möge mich rächen, solange ich lebe“.</w:t>
      </w:r>
    </w:p>
  </w:footnote>
  <w:footnote w:id="1140">
    <w:p>
      <w:pPr>
        <w:pStyle w:val="Funote"/>
        <w:rPr/>
      </w:pPr>
      <w:r>
        <w:rPr>
          <w:rStyle w:val="Funotenzeichen"/>
        </w:rPr>
        <w:footnoteRef/>
      </w:r>
      <w:r>
        <w:rPr/>
        <w:tab/>
        <w:t>Gib niemals auf Hossfeld 2008, 704: lass nicht ab. SLT: Lass niemals im Stich. An dieser Stelle wäre statt der modal-imperativischen Deutung des Yiqtol auch die futurische Übersetzung du wirst niemals aufgeben sehr gut denkbar.</w:t>
      </w:r>
    </w:p>
  </w:footnote>
  <w:footnote w:id="1141">
    <w:p>
      <w:pPr>
        <w:pStyle w:val="Funote"/>
        <w:rPr/>
      </w:pPr>
      <w:r>
        <w:rPr>
          <w:rStyle w:val="Funotenzeichen"/>
        </w:rPr>
        <w:footnoteRef/>
      </w:r>
      <w:r>
        <w:rPr/>
        <w:tab/>
        <w:t>[Status: Zuverlässig]</w:t>
      </w:r>
    </w:p>
  </w:footnote>
  <w:footnote w:id="1142">
    <w:p>
      <w:pPr>
        <w:pStyle w:val="Funote"/>
        <w:rPr/>
      </w:pPr>
      <w:r>
        <w:rPr>
          <w:rStyle w:val="Funotenzeichen"/>
        </w:rPr>
        <w:footnoteRef/>
      </w:r>
      <w:r>
        <w:rPr/>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1143">
    <w:p>
      <w:pPr>
        <w:pStyle w:val="Funote"/>
        <w:rPr/>
      </w:pPr>
      <w:r>
        <w:rPr>
          <w:rStyle w:val="Funotenzeichen"/>
        </w:rPr>
        <w:footnoteRef/>
      </w:r>
      <w:r>
        <w:rPr>
          <w:rtl w:val="true"/>
          <w:lang w:bidi="he-IL"/>
        </w:rPr>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1144">
    <w:p>
      <w:pPr>
        <w:pStyle w:val="Funote"/>
        <w:rPr/>
      </w:pPr>
      <w:r>
        <w:rPr>
          <w:rStyle w:val="Funotenzeichen"/>
        </w:rPr>
        <w:footnoteRef/>
      </w:r>
      <w:r>
        <w:rPr/>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1145">
    <w:p>
      <w:pPr>
        <w:pStyle w:val="Funote"/>
        <w:rPr/>
      </w:pPr>
      <w:r>
        <w:rPr>
          <w:rStyle w:val="Funotenzeichen"/>
        </w:rPr>
        <w:footnoteRef/>
      </w:r>
      <w:r>
        <w:rPr/>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1146">
    <w:p>
      <w:pPr>
        <w:pStyle w:val="Funote"/>
        <w:rPr/>
      </w:pPr>
      <w:r>
        <w:rPr>
          <w:rStyle w:val="Funotenzeichen"/>
        </w:rPr>
        <w:footnoteRef/>
      </w:r>
      <w:r>
        <w:rPr/>
        <w:tab/>
        <w:t>Der „Name Gottes“ steht in der Bibel fast stets metonymisch für Gott selbst; man bezeichnet damit „Gott im Menschenmund“. Übersetze daher: „Sie sollen ihn preisen“.</w:t>
      </w:r>
    </w:p>
  </w:footnote>
  <w:footnote w:id="1147">
    <w:p>
      <w:pPr>
        <w:pStyle w:val="Funote"/>
        <w:rPr/>
      </w:pPr>
      <w:r>
        <w:rPr>
          <w:rStyle w:val="Funotenzeichen"/>
        </w:rPr>
        <w:footnoteRef/>
      </w:r>
      <w:r>
        <w:rPr/>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1148">
    <w:p>
      <w:pPr>
        <w:pStyle w:val="Funote"/>
        <w:rPr/>
      </w:pPr>
      <w:r>
        <w:rPr>
          <w:rStyle w:val="Funotenzeichen"/>
        </w:rPr>
        <w:footnoteRef/>
      </w:r>
      <w:r>
        <w:rPr/>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1149">
    <w:p>
      <w:pPr>
        <w:pStyle w:val="Funote"/>
        <w:rPr/>
      </w:pPr>
      <w:r>
        <w:rPr>
          <w:rStyle w:val="Funotenzeichen"/>
        </w:rPr>
        <w:footnoteRef/>
      </w:r>
      <w:r>
        <w:rPr/>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1150">
    <w:p>
      <w:pPr>
        <w:pStyle w:val="Funote"/>
        <w:rPr/>
      </w:pPr>
      <w:r>
        <w:rPr>
          <w:rStyle w:val="Funotenzeichen"/>
        </w:rPr>
        <w:footnoteRef/>
      </w:r>
      <w:r>
        <w:rPr/>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1151">
    <w:p>
      <w:pPr>
        <w:pStyle w:val="Funote"/>
        <w:rPr/>
      </w:pPr>
      <w:r>
        <w:rPr>
          <w:rStyle w:val="Funotenzeichen"/>
        </w:rPr>
        <w:footnoteRef/>
      </w:r>
      <w:r>
        <w:rPr/>
        <w:tab/>
        <w:t>„</w:t>
      </w:r>
      <w:r>
        <w:rPr/>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1152">
    <w:p>
      <w:pPr>
        <w:pStyle w:val="Funote"/>
        <w:rPr/>
      </w:pPr>
      <w:r>
        <w:rPr>
          <w:rStyle w:val="Funotenzeichen"/>
        </w:rPr>
        <w:footnoteRef/>
      </w:r>
      <w:r>
        <w:rPr/>
        <w:tab/>
        <w:t xml:space="preserve">[seinem] evt. als double duty-Suffix (-&gt; Brachylogie) von </w:t>
      </w:r>
      <w:r>
        <w:rPr>
          <w:rtl w:val="true"/>
          <w:lang w:bidi="he-IL"/>
        </w:rPr>
        <w:t>בְעַמוֹ</w:t>
      </w:r>
      <w:r>
        <w:rPr/>
        <w:t xml:space="preserve"> </w:t>
      </w:r>
      <w:r>
        <w:rPr/>
        <w:t>zu ergänzen; vgl. FN t.</w:t>
      </w:r>
    </w:p>
  </w:footnote>
  <w:footnote w:id="1153">
    <w:p>
      <w:pPr>
        <w:pStyle w:val="Funote"/>
        <w:rPr/>
      </w:pPr>
      <w:r>
        <w:rPr>
          <w:rStyle w:val="Funotenzeichen"/>
        </w:rPr>
        <w:footnoteRef/>
      </w:r>
      <w:r>
        <w:rPr/>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1154">
    <w:p>
      <w:pPr>
        <w:pStyle w:val="Funote"/>
        <w:rPr/>
      </w:pPr>
      <w:r>
        <w:rPr>
          <w:rStyle w:val="Funotenzeichen"/>
        </w:rPr>
        <w:footnoteRef/>
      </w:r>
      <w:r>
        <w:rPr/>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1155">
    <w:p>
      <w:pPr>
        <w:pStyle w:val="Funote"/>
        <w:rPr/>
      </w:pPr>
      <w:r>
        <w:rPr>
          <w:rStyle w:val="Funotenzeichen"/>
        </w:rPr>
        <w:footnoteRef/>
      </w:r>
      <w:r>
        <w:rPr/>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1156">
    <w:p>
      <w:pPr>
        <w:pStyle w:val="Funote"/>
        <w:rPr/>
      </w:pPr>
      <w:r>
        <w:rPr>
          <w:rStyle w:val="Funotenzeichen"/>
        </w:rPr>
        <w:footnoteRef/>
      </w:r>
      <w:r>
        <w:rPr/>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1157">
    <w:p>
      <w:pPr>
        <w:pStyle w:val="Funote"/>
        <w:rPr/>
      </w:pPr>
      <w:r>
        <w:rPr>
          <w:rStyle w:val="Funotenzeichen"/>
        </w:rPr>
        <w:footnoteRef/>
      </w:r>
      <w:r>
        <w:rPr/>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1158">
    <w:p>
      <w:pPr>
        <w:pStyle w:val="Funote"/>
        <w:rPr/>
      </w:pPr>
      <w:r>
        <w:rPr>
          <w:rStyle w:val="Funotenzeichen"/>
        </w:rPr>
        <w:footnoteRef/>
      </w:r>
      <w:r>
        <w:rPr/>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1159">
    <w:p>
      <w:pPr>
        <w:pStyle w:val="Funote"/>
        <w:rPr/>
      </w:pPr>
      <w:r>
        <w:rPr>
          <w:rStyle w:val="Funotenzeichen"/>
        </w:rPr>
        <w:footnoteRef/>
      </w:r>
      <w:r>
        <w:rPr/>
        <w:tab/>
        <w:t>Übersetzungsalternativen nach Hossfeld/Zenger 2008, S. 857.</w:t>
      </w:r>
    </w:p>
  </w:footnote>
  <w:footnote w:id="1160">
    <w:p>
      <w:pPr>
        <w:pStyle w:val="Funote"/>
        <w:rPr/>
      </w:pPr>
      <w:r>
        <w:rPr>
          <w:rStyle w:val="Funotenzeichen"/>
        </w:rPr>
        <w:footnoteRef/>
      </w:r>
      <w:r>
        <w:rPr/>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1161">
    <w:p>
      <w:pPr>
        <w:pStyle w:val="Funote"/>
        <w:rPr/>
      </w:pPr>
      <w:r>
        <w:rPr>
          <w:rStyle w:val="Funotenzeichen"/>
        </w:rPr>
        <w:footnoteRef/>
      </w:r>
      <w:r>
        <w:rPr/>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1162">
    <w:p>
      <w:pPr>
        <w:pStyle w:val="Funote"/>
        <w:rPr/>
      </w:pPr>
      <w:r>
        <w:rPr>
          <w:rStyle w:val="Funotenzeichen"/>
        </w:rPr>
        <w:footnoteRef/>
      </w:r>
      <w:r>
        <w:rPr/>
        <w:tab/>
        <w:t>[Status: Zuverlässig]</w:t>
      </w:r>
    </w:p>
  </w:footnote>
  <w:footnote w:id="1163">
    <w:p>
      <w:pPr>
        <w:pStyle w:val="Funote"/>
        <w:rPr/>
      </w:pPr>
      <w:r>
        <w:rPr>
          <w:rStyle w:val="Funotenzeichen"/>
        </w:rPr>
        <w:footnoteRef/>
      </w:r>
      <w:r>
        <w:rPr/>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1164">
    <w:p>
      <w:pPr>
        <w:pStyle w:val="Funote"/>
        <w:rPr/>
      </w:pPr>
      <w:r>
        <w:rPr>
          <w:rStyle w:val="Funotenzeichen"/>
        </w:rPr>
        <w:footnoteRef/>
      </w:r>
      <w:r>
        <w:rPr/>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1165">
    <w:p>
      <w:pPr>
        <w:pStyle w:val="Funote"/>
        <w:rPr/>
      </w:pPr>
      <w:r>
        <w:rPr>
          <w:rStyle w:val="Funotenzeichen"/>
        </w:rPr>
        <w:footnoteRef/>
      </w:r>
      <w:r>
        <w:rPr/>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1964, S. 227; Nyberg 1942, S. 48; vgl. GKC §144p).</w:t>
      </w:r>
    </w:p>
  </w:footnote>
  <w:footnote w:id="1166">
    <w:p>
      <w:pPr>
        <w:pStyle w:val="Funote"/>
        <w:rPr/>
      </w:pPr>
      <w:r>
        <w:rPr>
          <w:rStyle w:val="Funotenzeichen"/>
        </w:rPr>
        <w:footnoteRef/>
      </w:r>
      <w:r>
        <w:rPr/>
        <w:tab/>
        <w:t>generisches Maskulinum</w:t>
      </w:r>
    </w:p>
  </w:footnote>
  <w:footnote w:id="1167">
    <w:p>
      <w:pPr>
        <w:pStyle w:val="Funote"/>
        <w:rPr/>
      </w:pPr>
      <w:r>
        <w:rPr>
          <w:rStyle w:val="Funotenzeichen"/>
        </w:rPr>
        <w:footnoteRef/>
      </w:r>
      <w:r>
        <w:rPr/>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1168">
    <w:p>
      <w:pPr>
        <w:pStyle w:val="Funote"/>
        <w:rPr/>
      </w:pPr>
      <w:r>
        <w:rPr>
          <w:rStyle w:val="Funotenzeichen"/>
        </w:rPr>
        <w:footnoteRef/>
      </w:r>
      <w:r>
        <w:rPr/>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1169">
    <w:p>
      <w:pPr>
        <w:pStyle w:val="Funote"/>
        <w:rPr/>
      </w:pPr>
      <w:r>
        <w:rPr>
          <w:rStyle w:val="Funotenzeichen"/>
        </w:rPr>
        <w:footnoteRef/>
      </w:r>
      <w:r>
        <w:rPr/>
        <w:tab/>
        <w:t>»Den Mund verschließen« ist wohl als Geste der Verehrung zu verstehen; vgl. Ijob 29,9; 40,4 (; Mic 7,16).</w:t>
      </w:r>
    </w:p>
  </w:footnote>
  <w:footnote w:id="1170">
    <w:p>
      <w:pPr>
        <w:pStyle w:val="Funote"/>
        <w:rPr/>
      </w:pPr>
      <w:r>
        <w:rPr>
          <w:rStyle w:val="Funotenzeichen"/>
        </w:rPr>
        <w:footnoteRef/>
      </w:r>
      <w:r>
        <w:rPr/>
        <w:tab/>
        <w:t>Vers 15 ist hier als prophetisches Perfekt übersetzt (vgl. Childs 2001, S. 407); alternativ möglich: Futur II. Eine weitere Übersetzungmöglichkeit ist: „so sehr schreckt er [nun] … auf, denn … sie haben es gesehen … sie haben es verstanden“.</w:t>
      </w:r>
    </w:p>
  </w:footnote>
  <w:footnote w:id="1171">
    <w:p>
      <w:pPr>
        <w:pStyle w:val="Funote"/>
        <w:rPr/>
      </w:pPr>
      <w:r>
        <w:rPr>
          <w:rStyle w:val="Funotenzeichen"/>
        </w:rPr>
        <w:footnoteRef/>
      </w:r>
      <w:r>
        <w:rPr/>
        <w:tab/>
        <w:t>[Status: Zuverlässig]</w:t>
      </w:r>
    </w:p>
  </w:footnote>
  <w:footnote w:id="1172">
    <w:p>
      <w:pPr>
        <w:pStyle w:val="Funote"/>
        <w:rPr/>
      </w:pPr>
      <w:r>
        <w:rPr>
          <w:rStyle w:val="Funotenzeichen"/>
        </w:rPr>
        <w:footnoteRef/>
      </w:r>
      <w:r>
        <w:rPr/>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1173">
    <w:p>
      <w:pPr>
        <w:pStyle w:val="Funote"/>
        <w:rPr/>
      </w:pPr>
      <w:r>
        <w:rPr>
          <w:rStyle w:val="Funotenzeichen"/>
        </w:rPr>
        <w:footnoteRef/>
      </w:r>
      <w:r>
        <w:rPr/>
        <w:tab/>
        <w:t>Die Identität des »wir« in Vers 1–6 ist unklar. Zwei mögliche Deutungen sind Identifizierungen mit dem Volk Israel oder mit benachbarten Völkern. (Vgl. Berlin/Brettler 2005, S. 891.) Siehe auch die Fußnote zu »Diener« in Jes52,13.</w:t>
      </w:r>
    </w:p>
  </w:footnote>
  <w:footnote w:id="1174">
    <w:p>
      <w:pPr>
        <w:pStyle w:val="Funote"/>
        <w:rPr/>
      </w:pPr>
      <w:r>
        <w:rPr>
          <w:rStyle w:val="Funotenzeichen"/>
        </w:rPr>
        <w:footnoteRef/>
      </w:r>
      <w:r>
        <w:rPr/>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1175">
    <w:p>
      <w:pPr>
        <w:pStyle w:val="Funote"/>
        <w:rPr/>
      </w:pPr>
      <w:r>
        <w:rPr>
          <w:rStyle w:val="Funotenzeichen"/>
        </w:rPr>
        <w:footnoteRef/>
      </w:r>
      <w:r>
        <w:rPr/>
        <w:tab/>
        <w:t>»Schössling« nach Baltzer 1999; Blenkinsopp 2002; Edel 1964; Niccacci 2005; vgl. auch ZLH, S. 882 ad loc..</w:t>
      </w:r>
    </w:p>
  </w:footnote>
  <w:footnote w:id="1176">
    <w:p>
      <w:pPr>
        <w:pStyle w:val="Funote"/>
        <w:rPr/>
      </w:pPr>
      <w:r>
        <w:rPr>
          <w:rStyle w:val="Funotenzeichen"/>
        </w:rPr>
        <w:footnoteRef/>
      </w:r>
      <w:r>
        <w:rPr/>
        <w:tab/>
        <w:t>keine Gestalt und keine Schönheit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1177">
    <w:p>
      <w:pPr>
        <w:pStyle w:val="Funote"/>
        <w:rPr/>
      </w:pPr>
      <w:r>
        <w:rPr>
          <w:rStyle w:val="Funotenzeichen"/>
        </w:rPr>
        <w:footnoteRef/>
      </w:r>
      <w:r>
        <w:rPr/>
        <w:tab/>
        <w:t>Generisches Maskulinum</w:t>
      </w:r>
    </w:p>
  </w:footnote>
  <w:footnote w:id="1178">
    <w:p>
      <w:pPr>
        <w:pStyle w:val="Funote"/>
        <w:rPr/>
      </w:pPr>
      <w:r>
        <w:rPr>
          <w:rStyle w:val="Funotenzeichen"/>
        </w:rPr>
        <w:footnoteRef/>
      </w:r>
      <w:r>
        <w:rPr/>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1179">
    <w:p>
      <w:pPr>
        <w:pStyle w:val="Funote"/>
        <w:rPr/>
      </w:pPr>
      <w:r>
        <w:rPr>
          <w:rStyle w:val="Funotenzeichen"/>
        </w:rPr>
        <w:footnoteRef/>
      </w:r>
      <w:r>
        <w:rPr/>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1180">
    <w:p>
      <w:pPr>
        <w:pStyle w:val="Funote"/>
        <w:rPr/>
      </w:pPr>
      <w:r>
        <w:rPr>
          <w:rStyle w:val="Funotenzeichen"/>
        </w:rPr>
        <w:footnoteRef/>
      </w:r>
      <w:r>
        <w:rPr/>
        <w:tab/>
        <w:t>Textkritik: eine Handschrift: »und wir haben ihn ausgeplündert«</w:t>
      </w:r>
    </w:p>
  </w:footnote>
  <w:footnote w:id="1181">
    <w:p>
      <w:pPr>
        <w:pStyle w:val="Funote"/>
        <w:rPr/>
      </w:pPr>
      <w:r>
        <w:rPr>
          <w:rStyle w:val="Funotenzeichen"/>
        </w:rPr>
        <w:footnoteRef/>
      </w:r>
      <w:r>
        <w:rPr/>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1182">
    <w:p>
      <w:pPr>
        <w:pStyle w:val="Funote"/>
        <w:rPr/>
      </w:pPr>
      <w:r>
        <w:rPr>
          <w:rStyle w:val="Funotenzeichen"/>
        </w:rPr>
        <w:footnoteRef/>
      </w:r>
      <w:r>
        <w:rPr/>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1183">
    <w:p>
      <w:pPr>
        <w:pStyle w:val="Funote"/>
        <w:rPr/>
      </w:pPr>
      <w:r>
        <w:rPr>
          <w:rStyle w:val="Funotenzeichen"/>
        </w:rPr>
        <w:footnoteRef/>
      </w:r>
      <w:r>
        <w:rPr/>
        <w:tab/>
        <w:t>»verletzt« nach Joachimsen 2011; Watts 1987; »zerrüttet« nach ZLH, S. 172.</w:t>
      </w:r>
    </w:p>
  </w:footnote>
  <w:footnote w:id="1184">
    <w:p>
      <w:pPr>
        <w:pStyle w:val="Funote"/>
        <w:rPr/>
      </w:pPr>
      <w:r>
        <w:rPr>
          <w:rStyle w:val="Funotenzeichen"/>
        </w:rPr>
        <w:footnoteRef/>
      </w:r>
      <w:r>
        <w:rPr/>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1185">
    <w:p>
      <w:pPr>
        <w:pStyle w:val="Funote"/>
        <w:rPr/>
      </w:pPr>
      <w:r>
        <w:rPr>
          <w:rStyle w:val="Funotenzeichen"/>
        </w:rPr>
        <w:footnoteRef/>
      </w:r>
      <w:r>
        <w:rPr/>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1186">
    <w:p>
      <w:pPr>
        <w:pStyle w:val="Funote"/>
        <w:rPr/>
      </w:pPr>
      <w:r>
        <w:rPr>
          <w:rStyle w:val="Funotenzeichen"/>
        </w:rPr>
        <w:footnoteRef/>
      </w:r>
      <w:r>
        <w:rPr/>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1187">
    <w:p>
      <w:pPr>
        <w:pStyle w:val="Funote"/>
        <w:rPr/>
      </w:pPr>
      <w:r>
        <w:rPr>
          <w:rStyle w:val="Funotenzeichen"/>
        </w:rPr>
        <w:footnoteRef/>
      </w:r>
      <w:r>
        <w:rPr/>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1188">
    <w:p>
      <w:pPr>
        <w:pStyle w:val="Funote"/>
        <w:rPr/>
      </w:pPr>
      <w:r>
        <w:rPr>
          <w:rStyle w:val="Funotenzeichen"/>
        </w:rPr>
        <w:footnoteRef/>
      </w:r>
      <w:r>
        <w:rPr/>
        <w:tab/>
        <w:t>Vgl. Vers 12.</w:t>
      </w:r>
    </w:p>
  </w:footnote>
  <w:footnote w:id="1189">
    <w:p>
      <w:pPr>
        <w:pStyle w:val="Funote"/>
        <w:rPr/>
      </w:pPr>
      <w:r>
        <w:rPr>
          <w:rStyle w:val="Funotenzeichen"/>
        </w:rPr>
        <w:footnoteRef/>
      </w:r>
      <w:r>
        <w:rPr/>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1190">
    <w:p>
      <w:pPr>
        <w:pStyle w:val="Funote"/>
        <w:rPr/>
      </w:pPr>
      <w:r>
        <w:rPr>
          <w:rStyle w:val="Funotenzeichen"/>
        </w:rPr>
        <w:footnoteRef/>
      </w:r>
      <w:r>
        <w:rPr/>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1191">
    <w:p>
      <w:pPr>
        <w:pStyle w:val="Funote"/>
        <w:rPr/>
      </w:pPr>
      <w:r>
        <w:rPr>
          <w:rStyle w:val="Funotenzeichen"/>
        </w:rPr>
        <w:footnoteRef/>
      </w:r>
      <w:r>
        <w:rPr/>
        <w:tab/>
        <w:t>Die Übersetzung dieses Verses wird in der Wissenschaft kontrovers diskutiert. Vgl. Childs 2001, S. 416 und Kraus 1990, S. 150. Die folgenden Deutungen sind theoretisch möglich: 1. Er wurde fortgerafft (starb), und zwar a) ohne Haft und Urteil, b) durch Haft und Strafe, oder c) nach Haft und Urteil. 2. Er wurde fortgeführt aus dem Gefängnis und aus dem Gericht. 3. Er wurde weggenommen (befreit, erlöst) aus Bedrängnis und strafbarem Verbrechen.</w:t>
      </w:r>
    </w:p>
  </w:footnote>
  <w:footnote w:id="1192">
    <w:p>
      <w:pPr>
        <w:pStyle w:val="Funote"/>
        <w:rPr/>
      </w:pPr>
      <w:r>
        <w:rPr>
          <w:rStyle w:val="Funotenzeichen"/>
        </w:rPr>
        <w:footnoteRef/>
      </w:r>
      <w:r>
        <w:rPr/>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1193">
    <w:p>
      <w:pPr>
        <w:pStyle w:val="Funote"/>
        <w:rPr/>
      </w:pPr>
      <w:r>
        <w:rPr>
          <w:rStyle w:val="Funotenzeichen"/>
        </w:rPr>
        <w:footnoteRef/>
      </w:r>
      <w:r>
        <w:rPr/>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1194">
    <w:p>
      <w:pPr>
        <w:pStyle w:val="Funote"/>
        <w:rPr/>
      </w:pPr>
      <w:r>
        <w:rPr>
          <w:rStyle w:val="Funotenzeichen"/>
        </w:rPr>
        <w:footnoteRef/>
      </w:r>
      <w:r>
        <w:rPr/>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1195">
    <w:p>
      <w:pPr>
        <w:pStyle w:val="Funote"/>
        <w:rPr/>
      </w:pPr>
      <w:r>
        <w:rPr>
          <w:rStyle w:val="Funotenzeichen"/>
        </w:rPr>
        <w:footnoteRef/>
      </w:r>
      <w:r>
        <w:rPr/>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2000, S. 20: »V. 9ab meint nicht, dass der Knecht begraben worden wäre oder dass sein Grab gegraben worden wäre. Diese Bedeutung hat der Ausdruck ntn qeber nie. Es meint vielmehr, dass ein Grab (oder ein Begräbnisort) angelegt oder jemandem zugewiesen wird.«</w:t>
      </w:r>
    </w:p>
  </w:footnote>
  <w:footnote w:id="1196">
    <w:p>
      <w:pPr>
        <w:pStyle w:val="Funote"/>
        <w:rPr/>
      </w:pPr>
      <w:r>
        <w:rPr>
          <w:rStyle w:val="Funotenzeichen"/>
        </w:rPr>
        <w:footnoteRef/>
      </w:r>
      <w:r>
        <w:rPr/>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197">
    <w:p>
      <w:pPr>
        <w:pStyle w:val="Funote"/>
        <w:rPr/>
      </w:pPr>
      <w:r>
        <w:rPr>
          <w:rStyle w:val="Funotenzeichen"/>
        </w:rPr>
        <w:footnoteRef/>
      </w:r>
      <w:r>
        <w:rPr/>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198">
    <w:p>
      <w:pPr>
        <w:pStyle w:val="Funote"/>
        <w:rPr/>
      </w:pPr>
      <w:r>
        <w:rPr>
          <w:rStyle w:val="Funotenzeichen"/>
        </w:rPr>
        <w:footnoteRef/>
      </w:r>
      <w:r>
        <w:rPr/>
        <w:tab/>
        <w:t xml:space="preserve">Wörtlich: nach seinen Toden (Pl. von »Tod«); vermutlich (bedeutungsloser, in der hebräischen Poesie typischer) N-Shift; vgl. z.B.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2000; Barthélemy 1986, S. 400; Blenkinsopp 2002; Driver 1968, S. 95f; Ehrlich 1912; Paul 2012; Soggin 1975, S. 348; Westermann 1966; Ziegler 1958, S. 174)</w:t>
      </w:r>
    </w:p>
  </w:footnote>
  <w:footnote w:id="1199">
    <w:p>
      <w:pPr>
        <w:pStyle w:val="Funote"/>
        <w:rPr/>
      </w:pPr>
      <w:r>
        <w:rPr>
          <w:rStyle w:val="Funotenzeichen"/>
        </w:rPr>
        <w:footnoteRef/>
      </w:r>
      <w:r>
        <w:rPr/>
        <w:tab/>
        <w:t xml:space="preserve">Zu </w:t>
      </w:r>
      <w:r>
        <w:rPr>
          <w:rtl w:val="true"/>
          <w:lang w:bidi="he-IL"/>
        </w:rPr>
        <w:t>על</w:t>
      </w:r>
      <w:r>
        <w:rPr/>
        <w:t xml:space="preserve"> </w:t>
      </w:r>
      <w:r>
        <w:rPr/>
        <w:t>mit dem Sinn »obwohl« vgl. noch Ijob 16,17 (North 1964, S. 231); Esra 10,2 (Paul 2012, S. 409); so fast alle Üss.</w:t>
      </w:r>
    </w:p>
  </w:footnote>
  <w:footnote w:id="1200">
    <w:p>
      <w:pPr>
        <w:pStyle w:val="Funote"/>
        <w:rPr/>
      </w:pPr>
      <w:r>
        <w:rPr>
          <w:rStyle w:val="Funotenzeichen"/>
        </w:rPr>
        <w:footnoteRef/>
      </w:r>
      <w:r>
        <w:rPr/>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201">
    <w:p>
      <w:pPr>
        <w:pStyle w:val="Funote"/>
        <w:rPr/>
      </w:pPr>
      <w:r>
        <w:rPr>
          <w:rStyle w:val="Funotenzeichen"/>
        </w:rPr>
        <w:footnoteRef/>
      </w:r>
      <w:r>
        <w:rPr/>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1202">
    <w:p>
      <w:pPr>
        <w:pStyle w:val="Funote"/>
        <w:rPr/>
      </w:pPr>
      <w:r>
        <w:rPr>
          <w:rStyle w:val="Funotenzeichen"/>
        </w:rPr>
        <w:footnoteRef/>
      </w:r>
      <w:r>
        <w:rPr/>
        <w:tab/>
        <w:t>Die meisten Exegeten ergänzen nach 1QJesab, 4QJesd und LXX das Objekt »Licht«, einige aber nicht (z.B. Childs 2001, 409; Schmidt 2013, 227; Seeligmann 2004).</w:t>
      </w:r>
    </w:p>
  </w:footnote>
  <w:footnote w:id="1203">
    <w:p>
      <w:pPr>
        <w:pStyle w:val="Funote"/>
        <w:rPr/>
      </w:pPr>
      <w:r>
        <w:rPr>
          <w:rStyle w:val="Funotenzeichen"/>
        </w:rPr>
        <w:footnoteRef/>
      </w:r>
      <w:r>
        <w:rPr/>
        <w:tab/>
        <w:t xml:space="preserve">Oder: »Er wird satt. In seiner Erkenntnis macht er gerecht, der Gerechte, mein Getreuer, für die Vielen.« Zu </w:t>
      </w:r>
      <w:r>
        <w:rPr>
          <w:rtl w:val="true"/>
          <w:lang w:bidi="he-IL"/>
        </w:rPr>
        <w:t>עַבְדִּי</w:t>
      </w:r>
      <w:r>
        <w:rPr/>
        <w:t xml:space="preserve"> </w:t>
      </w:r>
      <w:r>
        <w:rPr/>
        <w:t>(mein Getreuer/Diener/Knecht) siehe die Fußnote in Jes52,13.</w:t>
      </w:r>
    </w:p>
  </w:footnote>
  <w:footnote w:id="1204">
    <w:p>
      <w:pPr>
        <w:pStyle w:val="Funote"/>
        <w:rPr/>
      </w:pPr>
      <w:r>
        <w:rPr>
          <w:rStyle w:val="Funotenzeichen"/>
        </w:rPr>
        <w:footnoteRef/>
      </w:r>
      <w:r>
        <w:rPr/>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1205">
    <w:p>
      <w:pPr>
        <w:pStyle w:val="Funote"/>
        <w:rPr/>
      </w:pPr>
      <w:r>
        <w:rPr>
          <w:rStyle w:val="Funotenzeichen"/>
        </w:rPr>
        <w:footnoteRef/>
      </w:r>
      <w:r>
        <w:rPr/>
        <w:tab/>
        <w:t>[Beute] - double-duty-Objekt (-&gt;Brachylogie) aus Sticho b; vgl. z.B. Dillmann 1898, S. 457</w:t>
      </w:r>
    </w:p>
  </w:footnote>
  <w:footnote w:id="1206">
    <w:p>
      <w:pPr>
        <w:pStyle w:val="Funote"/>
        <w:rPr/>
      </w:pPr>
      <w:r>
        <w:rPr>
          <w:rStyle w:val="Funotenzeichen"/>
        </w:rPr>
        <w:footnoteRef/>
      </w:r>
      <w:r>
        <w:rPr/>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2000;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207">
    <w:p>
      <w:pPr>
        <w:pStyle w:val="Funote"/>
        <w:rPr/>
      </w:pPr>
      <w:r>
        <w:rPr>
          <w:rStyle w:val="Funotenzeichen"/>
        </w:rPr>
        <w:footnoteRef/>
      </w:r>
      <w:r>
        <w:rPr/>
        <w:tab/>
        <w:t>»Leben ausgießen« ist ein hebräisches (auch: akkadisches) Idiom für »sterben« (vgl. Ps 141,8; Ges18, S. 1012; hier ist es zusätzlich erweitert durch »in den Tod«; sinngemäß also einfach: »Dafür, dass er den Tod auf sich genommen hat«</w:t>
      </w:r>
    </w:p>
  </w:footnote>
  <w:footnote w:id="1208">
    <w:p>
      <w:pPr>
        <w:pStyle w:val="Funote"/>
        <w:rPr/>
      </w:pPr>
      <w:r>
        <w:rPr>
          <w:rStyle w:val="Funotenzeichen"/>
        </w:rPr>
        <w:footnoteRef/>
      </w:r>
      <w:r>
        <w:rPr/>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209">
    <w:p>
      <w:pPr>
        <w:pStyle w:val="Funote"/>
        <w:rPr/>
      </w:pPr>
      <w:r>
        <w:rPr>
          <w:rStyle w:val="Funotenzeichen"/>
        </w:rPr>
        <w:footnoteRef/>
      </w:r>
      <w:r>
        <w:rPr/>
        <w:tab/>
        <w:t>[Status: Zuverlässig]</w:t>
      </w:r>
    </w:p>
  </w:footnote>
  <w:footnote w:id="1210">
    <w:p>
      <w:pPr>
        <w:pStyle w:val="Funote"/>
        <w:rPr/>
      </w:pPr>
      <w:r>
        <w:rPr>
          <w:rStyle w:val="Funotenzeichen"/>
        </w:rPr>
        <w:footnoteRef/>
      </w:r>
      <w:r>
        <w:rPr/>
        <w:tab/>
        <w:t>Jona wird sonst nur in 2. Könige 14,25 erwähnt und dort als Prophet bezeichnet. Er lebte im 8. Jahrhundert v. Chr. (Price 1978, 50). Die Sprache des Jonabuchs deutet darauf hin, dass es wesentlich später (6.–4. Jh. v. Chr.) geschrieben wurde (Golka 22007,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22007, 48)Und das Wort Gottes kam kann daher im Sinne von „Es war einmal …“ verstanden werden (Golka 22007, 48). Eine noch bessere deutsche Übertragung wäre vielleicht: „Eines Tages...“ oder „Einmal...“ (Price 1978, 48). So erklärt sich der Anfang mit „und“.</w:t>
      </w:r>
    </w:p>
  </w:footnote>
  <w:footnote w:id="1211">
    <w:p>
      <w:pPr>
        <w:pStyle w:val="Funote"/>
        <w:rPr/>
      </w:pPr>
      <w:r>
        <w:rPr>
          <w:rStyle w:val="Funotenzeichen"/>
        </w:rPr>
        <w:footnoteRef/>
      </w:r>
      <w:r>
        <w:rPr/>
        <w:tab/>
        <w:t>rufe [die Anklage] gegen sie Die Formulierung »rufen gegen« (</w:t>
      </w:r>
      <w:r>
        <w:rPr>
          <w:rtl w:val="true"/>
          <w:lang w:bidi="he-IL"/>
        </w:rPr>
        <w:t>קרא על</w:t>
      </w:r>
      <w:r>
        <w:rPr/>
        <w:t>) wird an anderen Stellen der hebräischen Bibel zur Bezeichnung von Anklagen (Dtn 15,9, Dtn 24,15, 1 Kön 13,2) und Angriffsrufen (Klgl 1:15, Ez 38,21) verwendet.</w:t>
      </w:r>
    </w:p>
  </w:footnote>
  <w:footnote w:id="1212">
    <w:p>
      <w:pPr>
        <w:pStyle w:val="Funote"/>
        <w:rPr/>
      </w:pPr>
      <w:r>
        <w:rPr>
          <w:rStyle w:val="Funotenzeichen"/>
        </w:rPr>
        <w:footnoteRef/>
      </w:r>
      <w:r>
        <w:rPr/>
        <w:tab/>
        <w:t xml:space="preserve">ihre bezieht sich im Hebräischen nicht auf die Stadt, sondern auf ein nicht genanntes Objekt in der dritten Person Plural, wahrscheinlich ihre Bewohner (Hebr. </w:t>
      </w:r>
      <w:r>
        <w:rPr>
          <w:rtl w:val="true"/>
          <w:lang w:bidi="he-IL"/>
        </w:rPr>
        <w:t>יֹשְׁבִים</w:t>
      </w:r>
      <w:r>
        <w:rPr/>
        <w:t>; Constructio ad sensum). Am Sinn ändert das jedoch nichts.</w:t>
      </w:r>
    </w:p>
  </w:footnote>
  <w:footnote w:id="1213">
    <w:p>
      <w:pPr>
        <w:pStyle w:val="Funote"/>
        <w:rPr/>
      </w:pPr>
      <w:r>
        <w:rPr>
          <w:rStyle w:val="Funotenzeichen"/>
        </w:rPr>
        <w:footnoteRef/>
      </w:r>
      <w:r>
        <w:rPr/>
        <w:tab/>
        <w:t>Tarschisch war vermutlich ein Ort an der spanischen Küste, also in entgegengesetzter Richtung und am anderen Ende des Mittelmeers (vgl. Price 1978, 52).</w:t>
      </w:r>
    </w:p>
  </w:footnote>
  <w:footnote w:id="1214">
    <w:p>
      <w:pPr>
        <w:pStyle w:val="Funote"/>
        <w:rPr/>
      </w:pPr>
      <w:r>
        <w:rPr>
          <w:rStyle w:val="Funotenzeichen"/>
        </w:rPr>
        <w:footnoteRef/>
      </w:r>
      <w:r>
        <w:rPr/>
        <w:tab/>
        <w:t>traf auf Oder „fand“. Gemeint ist jedoch nicht das Ergebnis einer Suche, sondern ein Finden im Sinne des zufälligen Antreffens (Price 1978, 52).</w:t>
      </w:r>
    </w:p>
  </w:footnote>
  <w:footnote w:id="1215">
    <w:p>
      <w:pPr>
        <w:pStyle w:val="Funote"/>
        <w:rPr/>
      </w:pPr>
      <w:r>
        <w:rPr>
          <w:rStyle w:val="Funotenzeichen"/>
        </w:rPr>
        <w:footnoteRef/>
      </w:r>
      <w:r>
        <w:rPr/>
        <w:tab/>
        <w:t>das im Begriff war ... zu fahren ist die freie Wiedergabe eines Partizips, das etwa so zu verstehen ist.</w:t>
      </w:r>
    </w:p>
  </w:footnote>
  <w:footnote w:id="1216">
    <w:p>
      <w:pPr>
        <w:pStyle w:val="Funote"/>
        <w:rPr/>
      </w:pPr>
      <w:r>
        <w:rPr>
          <w:rStyle w:val="Funotenzeichen"/>
        </w:rPr>
        <w:footnoteRef/>
      </w:r>
      <w:r>
        <w:rPr/>
        <w:tab/>
        <w:t>mit ihnen D.h. mit der Besatzung. Aus dieser Wendung lässt sich vielleicht schließen, dass Jona Teil der Besatzung wurde (Price 1978, 52).</w:t>
      </w:r>
    </w:p>
  </w:footnote>
  <w:footnote w:id="1217">
    <w:p>
      <w:pPr>
        <w:pStyle w:val="Funote"/>
        <w:rPr/>
      </w:pPr>
      <w:r>
        <w:rPr>
          <w:rStyle w:val="Funotenzeichen"/>
        </w:rPr>
        <w:footnoteRef/>
      </w:r>
      <w:r>
        <w:rPr/>
        <w:tab/>
        <w:t>weg von JHWH JHWHs Wohnort war der Tempel (Jon 2,8). Ist Jona so verzweifelt (oder zynisch; s. Jon 4,2), oder weiß er nicht besser, dass Gott nicht nur in Israel wirkt? Er selbst weiß, dass JHWH der Gott des Himmels ist und die ganze Welt („Meer und Land“) erschaffen hat (V. 9). Vielleicht hofft er also einfach, dass JHWH ihn schon nicht zum Gehorsam zwingen wird, Allmacht hin oder her. Die Lehre aus Jonas Erlebnis ist es dann, dass man Gott nicht nur nicht entkommen kann, sondern dass er seine Pläne umsetzen wird, egal ob die eingeplanten Menschen gehorsam sind oder nicht.</w:t>
      </w:r>
    </w:p>
  </w:footnote>
  <w:footnote w:id="1218">
    <w:p>
      <w:pPr>
        <w:pStyle w:val="Funote"/>
        <w:rPr/>
      </w:pPr>
      <w:r>
        <w:rPr>
          <w:rStyle w:val="Funotenzeichen"/>
        </w:rPr>
        <w:footnoteRef/>
      </w:r>
      <w:r>
        <w:rPr/>
        <w:tab/>
        <w:t>ließ ... los W. etwa „schleuderte“.</w:t>
      </w:r>
    </w:p>
  </w:footnote>
  <w:footnote w:id="1219">
    <w:p>
      <w:pPr>
        <w:pStyle w:val="Funote"/>
        <w:rPr/>
      </w:pPr>
      <w:r>
        <w:rPr>
          <w:rStyle w:val="Funotenzeichen"/>
        </w:rPr>
        <w:footnoteRef/>
      </w:r>
      <w:r>
        <w:rPr/>
        <w:tab/>
        <w:t>Im Hebräischen ist hier ein Anklang oder Wortspiel, der sich auf Deutsch am ehesten mit einem Reim wiedergeben ließe, z.B.: „so kam das Boot in große Not“</w:t>
      </w:r>
    </w:p>
  </w:footnote>
  <w:footnote w:id="1220">
    <w:p>
      <w:pPr>
        <w:pStyle w:val="Funote"/>
        <w:rPr/>
      </w:pPr>
      <w:r>
        <w:rPr>
          <w:rStyle w:val="Funotenzeichen"/>
        </w:rPr>
        <w:footnoteRef/>
      </w:r>
      <w:r>
        <w:rPr/>
        <w:tab/>
        <w:t>Gegenstände (Ladung, Ausrüstung) Viele Übersetzungen entscheiden sich für „Ladung“, aber das zugrunde liegende hebräische Wort bezeichnet recht allgemein Gegenstände, bei denen es sich hier sowohl (aber nicht nur) um die Ladung als auch um die Ausrüstung handeln könnte (vgl. Price 1978, 56.</w:t>
      </w:r>
    </w:p>
  </w:footnote>
  <w:footnote w:id="1221">
    <w:p>
      <w:pPr>
        <w:pStyle w:val="Funote"/>
        <w:rPr/>
      </w:pPr>
      <w:r>
        <w:rPr>
          <w:rStyle w:val="Funotenzeichen"/>
        </w:rPr>
        <w:footnoteRef/>
      </w:r>
      <w:r>
        <w:rPr/>
        <w:tab/>
        <w:t>um [das Schiff] {von ihnen} leichter zu machen W. „um [sich/das Schiff] von ihnen (d.h. ihrer) zu erleichtern“. Einige Übersetzungen: „um die Gefahr zu verringern“ (z.B. GNB).</w:t>
      </w:r>
    </w:p>
  </w:footnote>
  <w:footnote w:id="1222">
    <w:p>
      <w:pPr>
        <w:pStyle w:val="Funote"/>
        <w:rPr/>
      </w:pPr>
      <w:r>
        <w:rPr>
          <w:rStyle w:val="Funotenzeichen"/>
        </w:rPr>
        <w:footnoteRef/>
      </w:r>
      <w:r>
        <w:rPr/>
        <w:tab/>
        <w:t>in den Rumpf (unter Deck) Das Wort bezeichnet quasi die hinterste Ecke oder den untersten Raum (so EÜ, ELB) des Schiffs, wo Jona seine Ruhe hatte. Wie groß das Schiff war, ist schwer abzuschätzen. GNB: „nach unten“.</w:t>
      </w:r>
    </w:p>
  </w:footnote>
  <w:footnote w:id="1223">
    <w:p>
      <w:pPr>
        <w:pStyle w:val="Funote"/>
        <w:rPr/>
      </w:pPr>
      <w:r>
        <w:rPr>
          <w:rStyle w:val="Funotenzeichen"/>
        </w:rPr>
        <w:footnoteRef/>
      </w:r>
      <w:r>
        <w:rPr/>
        <w:tab/>
        <w:t>der Oberste der Seeleute D.h. wohl der Kapitän.</w:t>
      </w:r>
    </w:p>
  </w:footnote>
  <w:footnote w:id="1224">
    <w:p>
      <w:pPr>
        <w:pStyle w:val="Funote"/>
        <w:rPr/>
      </w:pPr>
      <w:r>
        <w:rPr>
          <w:rStyle w:val="Funotenzeichen"/>
        </w:rPr>
        <w:footnoteRef/>
      </w:r>
      <w:r>
        <w:rPr/>
        <w:tab/>
        <w:t>kam ... in seine Nähe Das Verb heißt eigentlich „näherkommen“ oder „zu jmdm. kommen“. Hier ist es offenbar so zu verstehen, dass der Mann zufällig auf Jona stieß (Price 1978, 58).</w:t>
      </w:r>
    </w:p>
  </w:footnote>
  <w:footnote w:id="1225">
    <w:p>
      <w:pPr>
        <w:pStyle w:val="Funote"/>
        <w:rPr/>
      </w:pPr>
      <w:r>
        <w:rPr>
          <w:rStyle w:val="Funotenzeichen"/>
        </w:rPr>
        <w:footnoteRef/>
      </w:r>
      <w:r>
        <w:rPr/>
        <w:tab/>
        <w:t>Warum schläfst du? Wörtlich: Was [ist mit] dir, (fest) Schlafender? Die Frage hat einen zurechtweisenden Tonfall (Preice 1978, 58).</w:t>
      </w:r>
    </w:p>
  </w:footnote>
  <w:footnote w:id="1226">
    <w:p>
      <w:pPr>
        <w:pStyle w:val="Funote"/>
        <w:rPr/>
      </w:pPr>
      <w:r>
        <w:rPr>
          <w:rStyle w:val="Funotenzeichen"/>
        </w:rPr>
        <w:footnoteRef/>
      </w:r>
      <w:r>
        <w:rPr/>
        <w:tab/>
        <w:t>zueinander W. „einer/ein jeder zu seinem Nachbarn/Nächsten“.</w:t>
      </w:r>
    </w:p>
  </w:footnote>
  <w:footnote w:id="1227">
    <w:p>
      <w:pPr>
        <w:pStyle w:val="Funote"/>
        <w:rPr/>
      </w:pPr>
      <w:r>
        <w:rPr>
          <w:rStyle w:val="Funotenzeichen"/>
        </w:rPr>
        <w:footnoteRef/>
      </w:r>
      <w:r>
        <w:rPr/>
        <w:tab/>
        <w:t>wie es kommt, dass (V. 7 und 8) bzw. wer daran schuld ist, dass (Alternative in V. 7) gibt eine Anhäufung von Partikeln wieder, die sich nicht wörtlich übersetzen lässt. Sie fragt im Grunde nach der Verantwortlichkeit (vgl. GK §150k).</w:t>
      </w:r>
    </w:p>
  </w:footnote>
  <w:footnote w:id="1228">
    <w:p>
      <w:pPr>
        <w:pStyle w:val="Funote"/>
        <w:rPr/>
      </w:pPr>
      <w:r>
        <w:rPr>
          <w:rStyle w:val="Funotenzeichen"/>
        </w:rPr>
        <w:footnoteRef/>
      </w:r>
      <w:r>
        <w:rPr/>
        <w:tab/>
        <w:t>Was [ist] dein Beruf oder vielleicht »Was ist deine Mission« im Sinne von »Was machst du eigentlich auf diesem Schiff?« (Price 1978, 61).</w:t>
      </w:r>
    </w:p>
  </w:footnote>
  <w:footnote w:id="1229">
    <w:p>
      <w:pPr>
        <w:pStyle w:val="Funote"/>
        <w:rPr/>
      </w:pPr>
      <w:r>
        <w:rPr>
          <w:rStyle w:val="Funotenzeichen"/>
        </w:rPr>
        <w:footnoteRef/>
      </w:r>
      <w:r>
        <w:rPr/>
        <w:tab/>
        <w:t>»Himmelsgott« ist in der persischen Verwaltungssprache die amtliche Bezeichung für den Gott der Juden (Golka 22007, 56).</w:t>
      </w:r>
    </w:p>
  </w:footnote>
  <w:footnote w:id="1230">
    <w:p>
      <w:pPr>
        <w:pStyle w:val="Funote"/>
        <w:rPr/>
      </w:pPr>
      <w:r>
        <w:rPr>
          <w:rStyle w:val="Funotenzeichen"/>
        </w:rPr>
        <w:footnoteRef/>
      </w:r>
      <w:r>
        <w:rPr/>
        <w:tab/>
        <w:t>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w:t>
      </w:r>
    </w:p>
  </w:footnote>
  <w:footnote w:id="1231">
    <w:p>
      <w:pPr>
        <w:pStyle w:val="Funote"/>
        <w:rPr/>
      </w:pPr>
      <w:r>
        <w:rPr>
          <w:rStyle w:val="Funotenzeichen"/>
        </w:rPr>
        <w:footnoteRef/>
      </w:r>
      <w:r>
        <w:rPr/>
        <w:tab/>
        <w:t>vor JHWH Die Betonung (Kursivschreibung) ist auf die hebräische Satzstellung zurückzuführen. Dieser Zusammenhang ist also der Grund für das Erschrecken der Seeleute.</w:t>
      </w:r>
    </w:p>
  </w:footnote>
  <w:footnote w:id="1232">
    <w:p>
      <w:pPr>
        <w:pStyle w:val="Funote"/>
        <w:rPr/>
      </w:pPr>
      <w:r>
        <w:rPr>
          <w:rStyle w:val="Funotenzeichen"/>
        </w:rPr>
        <w:footnoteRef/>
      </w:r>
      <w:r>
        <w:rPr/>
        <w:tab/>
        <w:t>weil er [es] ihnen erzählt hatte Dieser Satzteil müsste in einem geordneteren Text am Anfang des Verses stehen. Man muss ihn sich wohl als Teil von Jonas Äußerung im vorhergehenden Vers denken. Anders ist gar nicht zu verstehen, warum die Seeleute so große Angst bekamen (vgl. Price 1978, 64). GNB (vgl. NLB) stellt diese Information tatsächlich an den Anfang: „Er sagte ihnen auch, dass er auf der Flucht vor dem Herrn war. Da ...“ Der nächste Vers enthält eine ähnliche nachgeschobene Begründung.</w:t>
      </w:r>
    </w:p>
  </w:footnote>
  <w:footnote w:id="1233">
    <w:p>
      <w:pPr>
        <w:pStyle w:val="Funote"/>
        <w:rPr/>
      </w:pPr>
      <w:r>
        <w:rPr>
          <w:rStyle w:val="Funotenzeichen"/>
        </w:rPr>
        <w:footnoteRef/>
      </w:r>
      <w:r>
        <w:rPr/>
        <w:tab/>
        <w:t xml:space="preserve">stürmte immer heftiger den(V. 11 und V. 13) Hier stehen im Hebräischen zwei Partizipien nebeneinander: „gehend und stürmend“. Das Ptz. „gehend“ von </w:t>
      </w:r>
      <w:r>
        <w:rPr>
          <w:rtl w:val="true"/>
          <w:lang w:bidi="he-IL"/>
        </w:rPr>
        <w:t>הלך</w:t>
      </w:r>
      <w:r>
        <w:rPr/>
        <w:t xml:space="preserve"> </w:t>
      </w:r>
      <w:r>
        <w:rPr/>
        <w:t>mit einem anderen Ptz. drückt (sich steigernde) Fortdauer aus (GK §113u; Price 1978, 65f.).</w:t>
      </w:r>
    </w:p>
  </w:footnote>
  <w:footnote w:id="1234">
    <w:p>
      <w:pPr>
        <w:pStyle w:val="Funote"/>
        <w:rPr/>
      </w:pPr>
      <w:r>
        <w:rPr>
          <w:rStyle w:val="Funotenzeichen"/>
        </w:rPr>
        <w:footnoteRef/>
      </w:r>
      <w:r>
        <w:rPr/>
        <w:tab/>
        <w:t>ruderten mit aller Kraft W. „gruben“, das ist hier am ehesten als ein Anrudern gegen Wind und Wellen zu verstehen (Price 1978, 67). Andere Übersetzungen vermeiden die spezifische Wiedergabe „rudern“. Ruder werden ja sonst nirgendwo erwähnt. Menge, SLT: „sie strengten sich an“. GNB: „machten einen letzten Versuch, durch Rudern...“ Die Übersetzung folgt der Mehrzahl der deutschen Bibeln.</w:t>
      </w:r>
    </w:p>
  </w:footnote>
  <w:footnote w:id="1235">
    <w:p>
      <w:pPr>
        <w:pStyle w:val="Funote"/>
        <w:rPr/>
      </w:pPr>
      <w:r>
        <w:rPr>
          <w:rStyle w:val="Funotenzeichen"/>
        </w:rPr>
        <w:footnoteRef/>
      </w:r>
      <w:r>
        <w:rPr/>
        <w:tab/>
        <w:t>Blut steht stellvertretend für das genommene Leben, für den Tod Jonas, den die Seeleute für sicher halten, wenn sie ihn ins Meer werfen. Das Stilmittel ist wohl eine Metonymie (Konkretes für Abstraktes; Wirkung für Ursache) oder Synekdoche (Generelles für Spezifisches).</w:t>
      </w:r>
    </w:p>
  </w:footnote>
  <w:footnote w:id="1236">
    <w:p>
      <w:pPr>
        <w:pStyle w:val="Funote"/>
        <w:rPr/>
      </w:pPr>
      <w:r>
        <w:rPr>
          <w:rStyle w:val="Funotenzeichen"/>
        </w:rPr>
        <w:footnoteRef/>
      </w:r>
      <w:r>
        <w:rPr/>
        <w:tab/>
        <w:t>Dieser Vers enthält gleich drei figurae etymologicae. W. etwa „Da fürchteten sie große Furcht und da opferten sie Opfer und da gelobten sie Gelübde.“ Opfer und Gelübde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w:t>
      </w:r>
    </w:p>
  </w:footnote>
  <w:footnote w:id="1237">
    <w:p>
      <w:pPr>
        <w:pStyle w:val="Funote"/>
        <w:rPr/>
      </w:pPr>
      <w:r>
        <w:rPr>
          <w:rStyle w:val="Funotenzeichen"/>
        </w:rPr>
        <w:footnoteRef/>
      </w:r>
      <w:r>
        <w:rPr/>
        <w:tab/>
        <w:t>[Status: Zuverlässig]</w:t>
      </w:r>
    </w:p>
  </w:footnote>
  <w:footnote w:id="1238">
    <w:p>
      <w:pPr>
        <w:pStyle w:val="Funote"/>
        <w:rPr/>
      </w:pPr>
      <w:r>
        <w:rPr>
          <w:rStyle w:val="Funotenzeichen"/>
        </w:rPr>
        <w:footnoteRef/>
      </w:r>
      <w:r>
        <w:rPr/>
        <w:tab/>
        <w:t xml:space="preserve">in zukünftigen (späteren, letzten) Tagen (zu einer späteren Zeit, am Ende der Zeit) Die so übersetzte Phrase </w:t>
      </w:r>
      <w:r>
        <w:rPr>
          <w:rtl w:val="true"/>
          <w:lang w:bidi="he-IL"/>
        </w:rPr>
        <w:t>בְּאַחֲרִ֣ית הַיָּמִ֗ים</w:t>
      </w:r>
      <w:r>
        <w:rPr/>
        <w:t xml:space="preserve"> </w:t>
      </w:r>
      <w:r>
        <w:rPr/>
        <w:t>kommt im AT 13 mal vor. Entgegen der aus der LXX übernommenen geläufigen Übersetzung „in den letzten Tagen“ bezeichnet sie an keiner Stelle eine „letzte“ Zeit, sondern eher allgemein eine zukünftige, „spätere“ Zeit im Vergleich zur Gegenwart. Diese Zukunft folgt in den Prophetentexten auf eine von Gott durch sein aktives Wirken herbeigeführte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w:t>
      </w:r>
    </w:p>
  </w:footnote>
  <w:footnote w:id="1239">
    <w:p>
      <w:pPr>
        <w:pStyle w:val="Funote"/>
        <w:rPr/>
      </w:pPr>
      <w:r>
        <w:rPr>
          <w:rStyle w:val="Funotenzeichen"/>
        </w:rPr>
        <w:footnoteRef/>
      </w:r>
      <w:r>
        <w:rPr/>
        <w:tab/>
        <w:t>Berg [mit dem] Haus Appositiver Genitiv, der das Objekt näher identifiziert.</w:t>
      </w:r>
    </w:p>
  </w:footnote>
  <w:footnote w:id="1240">
    <w:p>
      <w:pPr>
        <w:pStyle w:val="Funote"/>
        <w:rPr/>
      </w:pPr>
      <w:r>
        <w:rPr>
          <w:rStyle w:val="Funotenzeichen"/>
        </w:rPr>
        <w:footnoteRef/>
      </w:r>
      <w:r>
        <w:rPr/>
        <w:tab/>
        <w:t xml:space="preserve">als Herausragender (Wichtigster, Höchster, Gipfel, Anführer) der Berge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höher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w:t>
      </w:r>
    </w:p>
  </w:footnote>
  <w:footnote w:id="1241">
    <w:p>
      <w:pPr>
        <w:pStyle w:val="Funote"/>
        <w:rPr/>
      </w:pPr>
      <w:r>
        <w:rPr>
          <w:rStyle w:val="Funotenzeichen"/>
        </w:rPr>
        <w:footnoteRef/>
      </w:r>
      <w:r>
        <w:rPr/>
        <w:tab/>
        <w:t>wird … gefestigt sein Die meisten Übersetzungen formulieren „fest stehen“ oder „fest gegründet sein“. Der Gebrauch des Partizips mit einer Futurform hebt die Dauerhaftigkeit des Vorgangs hervor (Joüon/Muraoka, §121e). Theoretisch möglich wäre auch die im Kontext jedoch unsinnige Übersetzung „sich auf dem Gipfel/Wichtigsten der Berge befinden“ (dazu s. die vorige Fußnote).</w:t>
      </w:r>
    </w:p>
  </w:footnote>
  <w:footnote w:id="1242">
    <w:p>
      <w:pPr>
        <w:pStyle w:val="Funote"/>
        <w:rPr/>
      </w:pPr>
      <w:r>
        <w:rPr>
          <w:rStyle w:val="Funotenzeichen"/>
        </w:rPr>
        <w:footnoteRef/>
      </w:r>
      <w:r>
        <w:rPr/>
        <w:tab/>
        <w:t>anhand seiner Wege und nach seiner Art leben/auf seinen Pfaden wandeln sind parallel und sagen mit anderen Worten das gleiche aus. Die beiden Zeilen sind wiederum parallel zu den beiden folgenden Zeilen, wo (wiederum mit gleicher Aussage in anderen Worten) von Weisung/Torah und JHWHs Botschaft aus Jerusalem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Lk 24,47).</w:t>
      </w:r>
    </w:p>
  </w:footnote>
  <w:footnote w:id="1243">
    <w:p>
      <w:pPr>
        <w:pStyle w:val="Funote"/>
        <w:rPr/>
      </w:pPr>
      <w:r>
        <w:rPr>
          <w:rStyle w:val="Funotenzeichen"/>
        </w:rPr>
        <w:footnoteRef/>
      </w:r>
      <w:r>
        <w:rPr/>
        <w:tab/>
        <w:t xml:space="preserve">Zum Schlusszeichen: Ob die Aussage der Pilger vor oder hinter die letzten beiden Zeilen von V. 2 endet, ist inhaltlich unerheblich. Sie liefern (mit </w:t>
      </w:r>
      <w:r>
        <w:rPr>
          <w:rtl w:val="true"/>
          <w:lang w:bidi="he-IL"/>
        </w:rPr>
        <w:t>כִּי</w:t>
      </w:r>
      <w:r>
        <w:rPr/>
        <w:t xml:space="preserve"> </w:t>
      </w:r>
      <w:r>
        <w:rPr/>
        <w:t>denn) die Grundlage für den in so großen Worten beschriebenen prophetischen Völkerzug zum Zion. Beide Möglichkeiten sind denkbar: dass die Angehörigen der anderen Völker sich auch diese Begründung zurufen, oder dass der Prophet sie als Erklärung für ihr Verhalten festhält.</w:t>
      </w:r>
    </w:p>
  </w:footnote>
  <w:footnote w:id="1244">
    <w:p>
      <w:pPr>
        <w:pStyle w:val="Funote"/>
        <w:rPr/>
      </w:pPr>
      <w:r>
        <w:rPr>
          <w:rStyle w:val="Funotenzeichen"/>
        </w:rPr>
        <w:footnoteRef/>
      </w:r>
      <w:r>
        <w:rPr/>
        <w:tab/>
        <w:t>[das] Schwert erheben Es handelt sich um eine Metonymie der Adjunktion für die Provokation oder das Führen eines Kriegs. Dazu passt der parallele zweite Versteil.</w:t>
      </w:r>
    </w:p>
  </w:footnote>
  <w:footnote w:id="1245">
    <w:p>
      <w:pPr>
        <w:pStyle w:val="Funote"/>
        <w:rPr/>
      </w:pPr>
      <w:r>
        <w:rPr>
          <w:rStyle w:val="Funotenzeichen"/>
        </w:rPr>
        <w:footnoteRef/>
      </w:r>
      <w:r>
        <w:rPr/>
        <w:tab/>
        <w:t>niemanden, der [ihnen] Angst einflößt ([sie] aufstört, zum Zittern bringt) Dieses als Nebensatz aufgelöste substantivierte Partizip Hifil bedeutet in der Grundform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w:t>
      </w:r>
    </w:p>
  </w:footnote>
  <w:footnote w:id="1246">
    <w:p>
      <w:pPr>
        <w:pStyle w:val="Funote"/>
        <w:rPr/>
      </w:pPr>
      <w:r>
        <w:rPr>
          <w:rStyle w:val="Funotenzeichen"/>
        </w:rPr>
        <w:footnoteRef/>
      </w:r>
      <w:r>
        <w:rPr/>
        <w:tab/>
        <w:t>die Hinkenden und die Vertriebenen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w:t>
      </w:r>
    </w:p>
  </w:footnote>
  <w:footnote w:id="1247">
    <w:p>
      <w:pPr>
        <w:pStyle w:val="Funote"/>
        <w:rPr/>
      </w:pPr>
      <w:r>
        <w:rPr>
          <w:rStyle w:val="Funotenzeichen"/>
        </w:rPr>
        <w:footnoteRef/>
      </w:r>
      <w:r>
        <w:rPr/>
        <w:tab/>
        <w:t>will ich zusammenführen … sammeln Kohortativ (Imperativ der 1. Person), hier modal übersetzt.</w:t>
      </w:r>
    </w:p>
  </w:footnote>
  <w:footnote w:id="1248">
    <w:p>
      <w:pPr>
        <w:pStyle w:val="Funote"/>
        <w:rPr/>
      </w:pPr>
      <w:r>
        <w:rPr>
          <w:rStyle w:val="Funotenzeichen"/>
        </w:rPr>
        <w:footnoteRef/>
      </w:r>
      <w:r>
        <w:rPr/>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1249">
    <w:p>
      <w:pPr>
        <w:pStyle w:val="Funote"/>
        <w:rPr/>
      </w:pPr>
      <w:r>
        <w:rPr>
          <w:rStyle w:val="Funotenzeichen"/>
        </w:rPr>
        <w:footnoteRef/>
      </w:r>
      <w:r>
        <w:rPr/>
        <w:tab/>
        <w:t>mächtigen Nation Hier wird die Formulierung aus V. 3 aufgegriffen.</w:t>
      </w:r>
    </w:p>
  </w:footnote>
  <w:footnote w:id="1250">
    <w:p>
      <w:pPr>
        <w:pStyle w:val="Funote"/>
        <w:rPr/>
      </w:pPr>
      <w:r>
        <w:rPr>
          <w:rStyle w:val="Funotenzeichen"/>
        </w:rPr>
        <w:footnoteRef/>
      </w:r>
      <w:r>
        <w:rPr/>
        <w:tab/>
        <w:t xml:space="preserve">Turm der Herde (Migdal Eder) (Hebr. </w:t>
      </w:r>
      <w:r>
        <w:rPr>
          <w:rtl w:val="true"/>
          <w:lang w:bidi="he-IL"/>
        </w:rPr>
        <w:t>מִגְדַּל־עֵדֶר</w:t>
      </w:r>
      <w:r>
        <w:rPr/>
        <w:t xml:space="preserve">) Je nach Interpretation ein poetischer Name für Jerusalem oder ein entsprechender Ortsname (wie in Gen 35,21). In dieser dreifachen Anrede scheint es jedoch am einfachsten und logischsten anzunehmen, dass sich wie Tochter Zions auch Turm der Herde und Ophel auf Jerusalem beziehen (bzw. metonymisch auf den israelitischen König; so Waltke, Micah, S. 229-31; Kessler, Micha, S. 199; Andersen, Micah, S. 439). Das AT bezeichnet den König häufiger als Hirten seines Volkes. Der Turm Davids aus Hld 4,4 könnte Ophel (Hebr. </w:t>
      </w:r>
      <w:r>
        <w:rPr>
          <w:rtl w:val="true"/>
          <w:lang w:bidi="he-IL"/>
        </w:rPr>
        <w:t>עֹפֶל</w:t>
      </w:r>
      <w:r>
        <w:rPr/>
        <w:t>) kommt im AT achtmal vor und bezeichnet einen Ort in Jerusalem, nämlich eine Hügelfestung in der alten Davidsstadt (Wolff, Micha, S. 96). Obwohl der Bezug nicht ganz sicher ist, ist er der am besten belegte. Tochter Zions Eine im AT häufige poetische Bezeichnung Jerusalems. Zion ist der Tempelhügel.</w:t>
      </w:r>
    </w:p>
  </w:footnote>
  <w:footnote w:id="1251">
    <w:p>
      <w:pPr>
        <w:pStyle w:val="Funote"/>
        <w:rPr/>
      </w:pPr>
      <w:r>
        <w:rPr>
          <w:rStyle w:val="Funotenzeichen"/>
        </w:rPr>
        <w:footnoteRef/>
      </w:r>
      <w:r>
        <w:rPr/>
        <w:tab/>
        <w:t>Tochter Jerusalems Wie Tochter Zions eine poetische Bezeichnung Jerusalems (s. vorige Fußnote).</w:t>
      </w:r>
    </w:p>
  </w:footnote>
  <w:footnote w:id="1252">
    <w:p>
      <w:pPr>
        <w:pStyle w:val="Funote"/>
        <w:rPr/>
      </w:pPr>
      <w:r>
        <w:rPr>
          <w:rStyle w:val="Funotenzeichen"/>
        </w:rPr>
        <w:footnoteRef/>
      </w:r>
      <w:r>
        <w:rPr/>
        <w:tab/>
        <w:t>[Status: Zuverlässig]</w:t>
      </w:r>
    </w:p>
  </w:footnote>
  <w:footnote w:id="1253">
    <w:p>
      <w:pPr>
        <w:pStyle w:val="Funote"/>
        <w:rPr/>
      </w:pPr>
      <w:r>
        <w:rPr>
          <w:rStyle w:val="Funotenzeichen"/>
        </w:rPr>
        <w:footnoteRef/>
      </w:r>
      <w:r>
        <w:rPr/>
        <w:tab/>
        <w:t>Kann auch »worfeln« bedeuten; vgl. Koh 20,8.</w:t>
      </w:r>
    </w:p>
  </w:footnote>
  <w:footnote w:id="1254">
    <w:p>
      <w:pPr>
        <w:pStyle w:val="Funote"/>
        <w:rPr/>
      </w:pPr>
      <w:r>
        <w:rPr>
          <w:rStyle w:val="Funotenzeichen"/>
        </w:rPr>
        <w:footnoteRef/>
      </w:r>
      <w:r>
        <w:rPr/>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1255">
    <w:p>
      <w:pPr>
        <w:pStyle w:val="Funote"/>
        <w:rPr/>
      </w:pPr>
      <w:r>
        <w:rPr>
          <w:rStyle w:val="Funotenzeichen"/>
        </w:rPr>
        <w:footnoteRef/>
      </w:r>
      <w:r>
        <w:rPr/>
        <w:tab/>
        <w:t>Auch: mit Steinen beschmeißen.</w:t>
      </w:r>
    </w:p>
  </w:footnote>
  <w:footnote w:id="1256">
    <w:p>
      <w:pPr>
        <w:pStyle w:val="Funote"/>
        <w:rPr/>
      </w:pPr>
      <w:r>
        <w:rPr>
          <w:rStyle w:val="Funotenzeichen"/>
        </w:rPr>
        <w:footnoteRef/>
      </w:r>
      <w:r>
        <w:rPr>
          <w:rtl w:val="true"/>
          <w:lang w:bidi="he-IL"/>
        </w:rPr>
        <w:tab/>
        <w:t>הַגֹּויִם</w:t>
      </w:r>
      <w:r>
        <w:rPr/>
        <w:t xml:space="preserve"> </w:t>
      </w:r>
      <w:r>
        <w:rPr/>
        <w:t>meint die fremden, nicht jüdischen Völker.</w:t>
      </w:r>
    </w:p>
  </w:footnote>
  <w:footnote w:id="1257">
    <w:p>
      <w:pPr>
        <w:pStyle w:val="Funote"/>
        <w:rPr/>
      </w:pPr>
      <w:r>
        <w:rPr>
          <w:rStyle w:val="Funotenzeichen"/>
        </w:rPr>
        <w:footnoteRef/>
      </w:r>
      <w:r>
        <w:rPr/>
        <w:tab/>
        <w:t>Die anderen dt. Übersetzungen sagen: »zu messen«; die hier verwendete Übersetzung folgt Gesenius17, S. 387.</w:t>
      </w:r>
    </w:p>
  </w:footnote>
  <w:footnote w:id="1258">
    <w:p>
      <w:pPr>
        <w:pStyle w:val="Funote"/>
        <w:rPr/>
      </w:pPr>
      <w:r>
        <w:rPr>
          <w:rStyle w:val="Funotenzeichen"/>
        </w:rPr>
        <w:footnoteRef/>
      </w:r>
      <w:r>
        <w:rPr/>
        <w:tab/>
        <w:t>Also für Jerusalem.</w:t>
      </w:r>
    </w:p>
  </w:footnote>
  <w:footnote w:id="1259">
    <w:p>
      <w:pPr>
        <w:pStyle w:val="Funote"/>
        <w:rPr/>
      </w:pPr>
      <w:r>
        <w:rPr>
          <w:rStyle w:val="Funotenzeichen"/>
        </w:rPr>
        <w:footnoteRef/>
      </w:r>
      <w:r>
        <w:rPr/>
        <w:tab/>
        <w:t>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w:t>
      </w:r>
    </w:p>
  </w:footnote>
  <w:footnote w:id="1260">
    <w:p>
      <w:pPr>
        <w:pStyle w:val="Funote"/>
        <w:rPr/>
      </w:pPr>
      <w:r>
        <w:rPr>
          <w:rStyle w:val="Funotenzeichen"/>
        </w:rPr>
        <w:footnoteRef/>
      </w:r>
      <w:r>
        <w:rPr/>
        <w:tab/>
        <w:t>Alternativübersetzung: »[nach] Zion entkomme« (Menge, GNB, ESV, NRSV).</w:t>
      </w:r>
    </w:p>
  </w:footnote>
  <w:footnote w:id="1261">
    <w:p>
      <w:pPr>
        <w:pStyle w:val="Funote"/>
        <w:rPr/>
      </w:pPr>
      <w:r>
        <w:rPr>
          <w:rStyle w:val="Funotenzeichen"/>
        </w:rPr>
        <w:footnoteRef/>
      </w:r>
      <w:r>
        <w:rPr/>
        <w:tab/>
        <w:t>Attributives Ptz..</w:t>
      </w:r>
    </w:p>
  </w:footnote>
  <w:footnote w:id="1262">
    <w:p>
      <w:pPr>
        <w:pStyle w:val="Funote"/>
        <w:rPr/>
      </w:pPr>
      <w:r>
        <w:rPr>
          <w:rStyle w:val="Funotenzeichen"/>
        </w:rPr>
        <w:footnoteRef/>
      </w:r>
      <w:r>
        <w:rPr/>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1263">
    <w:p>
      <w:pPr>
        <w:pStyle w:val="Funote"/>
        <w:rPr/>
      </w:pPr>
      <w:r>
        <w:rPr>
          <w:rStyle w:val="Funotenzeichen"/>
        </w:rPr>
        <w:footnoteRef/>
      </w:r>
      <w:r>
        <w:rPr/>
        <w:tab/>
        <w:t>Subst. Ptz. Pl.</w:t>
      </w:r>
    </w:p>
  </w:footnote>
  <w:footnote w:id="1264">
    <w:p>
      <w:pPr>
        <w:pStyle w:val="Funote"/>
        <w:rPr/>
      </w:pPr>
      <w:r>
        <w:rPr>
          <w:rStyle w:val="Funotenzeichen"/>
        </w:rPr>
        <w:footnoteRef/>
      </w:r>
      <w:r>
        <w:rPr/>
        <w:tab/>
        <w:t>Attributives Ptz..</w:t>
      </w:r>
    </w:p>
  </w:footnote>
  <w:footnote w:id="1265">
    <w:p>
      <w:pPr>
        <w:pStyle w:val="Funote"/>
        <w:rPr/>
      </w:pPr>
      <w:r>
        <w:rPr>
          <w:rStyle w:val="Funotenzeichen"/>
        </w:rPr>
        <w:footnoteRef/>
      </w:r>
      <w:r>
        <w:rPr/>
        <w:tab/>
        <w:t>Wörtlich: »Zentrum/Pupille seines Auges«.</w:t>
      </w:r>
    </w:p>
  </w:footnote>
  <w:footnote w:id="1266">
    <w:p>
      <w:pPr>
        <w:pStyle w:val="Funote"/>
        <w:rPr/>
      </w:pPr>
      <w:r>
        <w:rPr>
          <w:rStyle w:val="Funotenzeichen"/>
        </w:rPr>
        <w:footnoteRef/>
      </w:r>
      <w:r>
        <w:rPr/>
        <w:tab/>
        <w:t>»Siehe« wirkt hier als Marker einer Ankündigung. Könnte den Aspekt der Unmittelbarkeit der angekündigten Handlung ausdrücken, steht hier wohl hauptsächlich zwecks Nachdruck.</w:t>
      </w:r>
    </w:p>
  </w:footnote>
  <w:footnote w:id="1267">
    <w:p>
      <w:pPr>
        <w:pStyle w:val="Funote"/>
        <w:rPr/>
      </w:pPr>
      <w:r>
        <w:rPr>
          <w:rStyle w:val="Funotenzeichen"/>
        </w:rPr>
        <w:footnoteRef/>
      </w:r>
      <w:r>
        <w:rPr/>
        <w:tab/>
        <w:t>Prädikatives Ptz.; auch futurisch »werde schütteln«.</w:t>
      </w:r>
    </w:p>
  </w:footnote>
  <w:footnote w:id="1268">
    <w:p>
      <w:pPr>
        <w:pStyle w:val="Funote"/>
        <w:rPr/>
      </w:pPr>
      <w:r>
        <w:rPr>
          <w:rStyle w:val="Funotenzeichen"/>
        </w:rPr>
        <w:footnoteRef/>
      </w:r>
      <w:r>
        <w:rPr/>
        <w:tab/>
        <w:t>D.h. »ich werde sie bestrafen« (s. NET Sach 2,9 Fußnote 12).</w:t>
      </w:r>
    </w:p>
  </w:footnote>
  <w:footnote w:id="1269">
    <w:p>
      <w:pPr>
        <w:pStyle w:val="Funote"/>
        <w:rPr/>
      </w:pPr>
      <w:r>
        <w:rPr>
          <w:rStyle w:val="Funotenzeichen"/>
        </w:rPr>
        <w:footnoteRef/>
      </w:r>
      <w:r>
        <w:rPr/>
        <w:tab/>
        <w:t>Direkter Rückbezug zu »ausplündern« in V. 12 durch Verwendung derselben Wurzel (</w:t>
      </w:r>
      <w:r>
        <w:rPr>
          <w:rtl w:val="true"/>
          <w:lang w:bidi="he-IL"/>
        </w:rPr>
        <w:t>שלל</w:t>
      </w:r>
      <w:r>
        <w:rPr/>
        <w:t>).</w:t>
      </w:r>
    </w:p>
  </w:footnote>
  <w:footnote w:id="1270">
    <w:p>
      <w:pPr>
        <w:pStyle w:val="Funote"/>
        <w:rPr/>
      </w:pPr>
      <w:r>
        <w:rPr>
          <w:rStyle w:val="Funotenzeichen"/>
        </w:rPr>
        <w:footnoteRef/>
      </w:r>
      <w:r>
        <w:rPr/>
        <w:tab/>
        <w:t>»Siehe« wirkt hier als Marker einer Ankündigung. Könnte den Aspekt der Unmittelbarkeit der angekündigten Handlung ausdrücken, steht hier wohl hauptsächlich zwecks Nachdruck.</w:t>
      </w:r>
    </w:p>
  </w:footnote>
  <w:footnote w:id="1271">
    <w:p>
      <w:pPr>
        <w:pStyle w:val="Funote"/>
        <w:rPr/>
      </w:pPr>
      <w:r>
        <w:rPr>
          <w:rStyle w:val="Funotenzeichen"/>
        </w:rPr>
        <w:footnoteRef/>
      </w:r>
      <w:r>
        <w:rPr/>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1272">
    <w:p>
      <w:pPr>
        <w:pStyle w:val="Funote"/>
        <w:rPr/>
      </w:pPr>
      <w:r>
        <w:rPr>
          <w:rStyle w:val="Funotenzeichen"/>
        </w:rPr>
        <w:footnoteRef/>
      </w:r>
      <w:r>
        <w:rPr/>
        <w:tab/>
        <w:t>Selbe Wendung wie in 1,17; wirkt als Klammer um die Kapitel 1-2.</w:t>
      </w:r>
    </w:p>
  </w:footnote>
  <w:footnote w:id="1273">
    <w:p>
      <w:pPr>
        <w:pStyle w:val="Funote"/>
        <w:rPr/>
      </w:pPr>
      <w:r>
        <w:rPr>
          <w:rStyle w:val="Funotenzeichen"/>
        </w:rPr>
        <w:footnoteRef/>
      </w:r>
      <w:r>
        <w:rPr/>
        <w:tab/>
        <w:t>[Status: Zuverlässig]</w:t>
      </w:r>
    </w:p>
  </w:footnote>
  <w:footnote w:id="1274">
    <w:p>
      <w:pPr>
        <w:pStyle w:val="Funote"/>
        <w:rPr/>
      </w:pPr>
      <w:r>
        <w:rPr>
          <w:rStyle w:val="Funotenzeichen"/>
        </w:rPr>
        <w:footnoteRef/>
      </w:r>
      <w:r>
        <w:rPr/>
        <w:tab/>
        <w:t>Ihr steht im Griechischen betont am Ende des Satzes und grenzt so die Jünger von den „plappernden Heuchlern“ ab (Hagner 1993, S. 147): Im Gegensatz zu diesen sollen die Jünger „folgendermaßen beten“.</w:t>
      </w:r>
    </w:p>
  </w:footnote>
  <w:footnote w:id="1275">
    <w:p>
      <w:pPr>
        <w:pStyle w:val="Funote"/>
        <w:rPr/>
      </w:pPr>
      <w:r>
        <w:rPr>
          <w:rStyle w:val="Funotenzeichen"/>
        </w:rPr>
        <w:footnoteRef/>
      </w:r>
      <w:r>
        <w:rPr/>
        <w:tab/>
        <w:t>im Himmel - W. „in den Himmeln“; idiomatischer Plural, der sich häufiger im NT findet (wohl ein Semitismus). In der LF sollte mit Einzahl übersetzt werden.</w:t>
      </w:r>
    </w:p>
  </w:footnote>
  <w:footnote w:id="1276">
    <w:p>
      <w:pPr>
        <w:pStyle w:val="Funote"/>
        <w:rPr/>
      </w:pPr>
      <w:r>
        <w:rPr>
          <w:rStyle w:val="Funotenzeichen"/>
        </w:rPr>
        <w:footnoteRef/>
      </w:r>
      <w:r>
        <w:rPr/>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Unser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1277">
    <w:p>
      <w:pPr>
        <w:pStyle w:val="Funote"/>
        <w:rPr/>
      </w:pPr>
      <w:r>
        <w:rPr>
          <w:rStyle w:val="Funotenzeichen"/>
        </w:rPr>
        <w:footnoteRef/>
      </w:r>
      <w:r>
        <w:rPr/>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1278">
    <w:p>
      <w:pPr>
        <w:pStyle w:val="Funote"/>
        <w:rPr/>
      </w:pPr>
      <w:r>
        <w:rPr>
          <w:rStyle w:val="Funotenzeichen"/>
        </w:rPr>
        <w:footnoteRef/>
      </w:r>
      <w:r>
        <w:rPr/>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1279">
    <w:p>
      <w:pPr>
        <w:pStyle w:val="Funote"/>
        <w:rPr/>
      </w:pPr>
      <w:r>
        <w:rPr>
          <w:rStyle w:val="Funotenzeichen"/>
        </w:rPr>
        <w:footnoteRef/>
      </w:r>
      <w:r>
        <w:rPr/>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1280">
    <w:p>
      <w:pPr>
        <w:pStyle w:val="Funote"/>
        <w:rPr/>
      </w:pPr>
      <w:r>
        <w:rPr>
          <w:rStyle w:val="Funotenzeichen"/>
        </w:rPr>
        <w:footnoteRef/>
      </w:r>
      <w:r>
        <w:rPr/>
        <w:tab/>
        <w:t>kommen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1281">
    <w:p>
      <w:pPr>
        <w:pStyle w:val="Funote"/>
        <w:rPr/>
      </w:pPr>
      <w:r>
        <w:rPr>
          <w:rStyle w:val="Funotenzeichen"/>
        </w:rPr>
        <w:footnoteRef/>
      </w:r>
      <w:r>
        <w:rPr/>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1282">
    <w:p>
      <w:pPr>
        <w:pStyle w:val="Funote"/>
        <w:rPr/>
      </w:pPr>
      <w:r>
        <w:rPr>
          <w:rStyle w:val="Funotenzeichen"/>
        </w:rPr>
        <w:footnoteRef/>
      </w:r>
      <w:r>
        <w:rPr/>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1283">
    <w:p>
      <w:pPr>
        <w:pStyle w:val="Funote"/>
        <w:rPr/>
      </w:pPr>
      <w:r>
        <w:rPr>
          <w:rStyle w:val="Funotenzeichen"/>
        </w:rPr>
        <w:footnoteRef/>
      </w:r>
      <w:r>
        <w:rPr/>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1284">
    <w:p>
      <w:pPr>
        <w:pStyle w:val="Funote"/>
        <w:rPr/>
      </w:pPr>
      <w:r>
        <w:rPr>
          <w:rStyle w:val="Funotenzeichen"/>
        </w:rPr>
        <w:footnoteRef/>
      </w:r>
      <w:r>
        <w:rPr/>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1285">
    <w:p>
      <w:pPr>
        <w:pStyle w:val="Funote"/>
        <w:rPr/>
      </w:pPr>
      <w:r>
        <w:rPr>
          <w:rStyle w:val="Funotenzeichen"/>
        </w:rPr>
        <w:footnoteRef/>
      </w:r>
      <w:r>
        <w:rPr/>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1286">
    <w:p>
      <w:pPr>
        <w:pStyle w:val="Funote"/>
        <w:rPr/>
      </w:pPr>
      <w:r>
        <w:rPr>
          <w:rStyle w:val="Funotenzeichen"/>
        </w:rPr>
        <w:footnoteRef/>
      </w:r>
      <w:r>
        <w:rPr/>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1287">
    <w:p>
      <w:pPr>
        <w:pStyle w:val="Funote"/>
        <w:rPr/>
      </w:pPr>
      <w:r>
        <w:rPr>
          <w:rStyle w:val="Funotenzeichen"/>
        </w:rPr>
        <w:footnoteRef/>
      </w:r>
      <w:r>
        <w:rPr/>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1288">
    <w:p>
      <w:pPr>
        <w:pStyle w:val="Funote"/>
        <w:rPr/>
      </w:pPr>
      <w:r>
        <w:rPr>
          <w:rStyle w:val="Funotenzeichen"/>
        </w:rPr>
        <w:footnoteRef/>
      </w:r>
      <w:r>
        <w:rPr/>
        <w:tab/>
        <w:t>[Status: Zuverlässig]</w:t>
      </w:r>
    </w:p>
  </w:footnote>
  <w:footnote w:id="1289">
    <w:p>
      <w:pPr>
        <w:pStyle w:val="Funote"/>
        <w:rPr/>
      </w:pPr>
      <w:r>
        <w:rPr>
          <w:rStyle w:val="Funotenzeichen"/>
        </w:rPr>
        <w:footnoteRef/>
      </w:r>
      <w:r>
        <w:rPr/>
        <w:tab/>
        <w:t>{Und} - Übliche Markierung im Griechischen zur Eröffnung eines neuen Abschnittes. Im Dt. ist dies unüblich.</w:t>
      </w:r>
    </w:p>
  </w:footnote>
  <w:footnote w:id="1290">
    <w:p>
      <w:pPr>
        <w:pStyle w:val="Funote"/>
        <w:rPr/>
      </w:pPr>
      <w:r>
        <w:rPr>
          <w:rStyle w:val="Funotenzeichen"/>
        </w:rPr>
        <w:footnoteRef/>
      </w:r>
      <w:r>
        <w:rPr/>
        <w:tab/>
        <w:t>Pharisäer und Sadduzäer - Zwei jüd. Gruppierungen aus Jesu Zeit, die bei Mt auch in Mt 3,7 explizit negativ bewertet werden. Die Pharisäer zeichneten sich durch ihre besondere Strenge bei der Auslegung und der Befolgung göttlicher Gebote aus, die Sadduzäer waren meist Angehörige der Priesterklasse. Und gerade diese beiden Gruppierungen werden hier als „böses und ehebrecherisches Geschlecht“ bezeichnet.Gut übersetzt bei BigS: „Menschen, die zur pharisäischen oder sadduzäischen Gruppierung gehörten“.</w:t>
      </w:r>
    </w:p>
  </w:footnote>
  <w:footnote w:id="1291">
    <w:p>
      <w:pPr>
        <w:pStyle w:val="Funote"/>
        <w:rPr/>
      </w:pPr>
      <w:r>
        <w:rPr>
          <w:rStyle w:val="Funotenzeichen"/>
        </w:rPr>
        <w:footnoteRef/>
      </w:r>
      <w:r>
        <w:rPr/>
        <w:tab/>
        <w:t>Zeit - W. »Zeiten«.</w:t>
      </w:r>
    </w:p>
  </w:footnote>
  <w:footnote w:id="1292">
    <w:p>
      <w:pPr>
        <w:pStyle w:val="Funote"/>
        <w:rPr/>
      </w:pPr>
      <w:r>
        <w:rPr>
          <w:rStyle w:val="Funotenzeichen"/>
        </w:rPr>
        <w:footnoteRef/>
      </w:r>
      <w:r>
        <w:rPr/>
        <w:tab/>
        <w:t>Textkritik: Die wörtliche Rede in Vv. 2f. ist in vielen Handschriften nicht überliefert. Viele Kommentare halten die Verse daher für eine spätere Bearbeitung, die etwas ähnliches wie Lk 12,54-56 auch an unserer Stelle nachgetragen habe (so z.B. TCNT); so daher auch wir, obwohl diese Deutung durchaus nicht unumstritten ist (s. z.B. TCG, S. 334f.). In der LF sollte diese Stelle ausgespart werden.</w:t>
      </w:r>
    </w:p>
  </w:footnote>
  <w:footnote w:id="1293">
    <w:p>
      <w:pPr>
        <w:pStyle w:val="Funote"/>
        <w:rPr/>
      </w:pPr>
      <w:r>
        <w:rPr>
          <w:rStyle w:val="Funotenzeichen"/>
        </w:rPr>
        <w:footnoteRef/>
      </w:r>
      <w:r>
        <w:rPr/>
        <w:tab/>
        <w:t>ehebrecherisches (bundesbrüchiges) - Das Verhältnis von JHWH zu seinem Volk ist in der Bibel oft in den Begriffe einer Ehe gedacht (vgl. z.B. Ehe (AT) (WiBiLex)); die Rede vom »ehebrecherischen Geschlecht« meint daher soviel wie »Geschlecht, dass dem Bund, den JHWH mit seinem Volk geschlossen hat, nicht gerecht wird (besonders, indem es anderen Göttern hinterherläuft)«. Dass hier gerade die Pharisäer und Sadduzäer (s. FN b) als ein solches »ehebrecherisches Geschlecht« abqualifiziert werden, ist eigentlich unerhört.</w:t>
      </w:r>
    </w:p>
  </w:footnote>
  <w:footnote w:id="1294">
    <w:p>
      <w:pPr>
        <w:pStyle w:val="Funote"/>
        <w:rPr/>
      </w:pPr>
      <w:r>
        <w:rPr>
          <w:rStyle w:val="Funotenzeichen"/>
        </w:rPr>
        <w:footnoteRef/>
      </w:r>
      <w:r>
        <w:rPr/>
        <w:tab/>
        <w:t>Geschlecht (Generation, Pack) - Die Rede vom »Geschlecht« hat Mt aus Mk übernommen, wo das Wort beinahe wie ein Schimpfwort verwendet wird (s. Mk 8,12.38; 9,19; vgl. z.B. EWNT I, S. 294; TWNT I, S. 661), was bei Matthäus durch die Hinzufügung deutlicher Adjektive sogar noch verstärkt wird (»böse und ehebrecherisch«; s. ähnlich auch Mt 12,39.45; 17,17).Sinnvoll übersetzt daher z.B. B/N in den Mk-Stellen: »Dieses [böse und ehebrecherische] Pack«</w:t>
      </w:r>
    </w:p>
  </w:footnote>
  <w:footnote w:id="1295">
    <w:p>
      <w:pPr>
        <w:pStyle w:val="Funote"/>
        <w:rPr/>
      </w:pPr>
      <w:r>
        <w:rPr>
          <w:rStyle w:val="Funotenzeichen"/>
        </w:rPr>
        <w:footnoteRef/>
      </w:r>
      <w:r>
        <w:rPr/>
        <w:tab/>
        <w:t>an das jenseitige [Ufer] - W. „an das Jenseitige“; stehende Formulierung für eine Überquerung des Sees Gennesaret.</w:t>
      </w:r>
    </w:p>
  </w:footnote>
  <w:footnote w:id="1296">
    <w:p>
      <w:pPr>
        <w:pStyle w:val="Funote"/>
        <w:rPr/>
      </w:pPr>
      <w:r>
        <w:rPr>
          <w:rStyle w:val="Funotenzeichen"/>
        </w:rPr>
        <w:footnoteRef/>
      </w:r>
      <w:r>
        <w:rPr/>
        <w:tab/>
        <w:t>Als die Jünger ... kamen - Nach der Darstellung des Mt ist offenbar Jesus in Mt 15,39 allein nach Magadan gefahren; die Jünger stoßen nun nachträglich zu ihm (vgl. z.B. Luz 1990, S. 447).</w:t>
      </w:r>
    </w:p>
  </w:footnote>
  <w:footnote w:id="1297">
    <w:p>
      <w:pPr>
        <w:pStyle w:val="Funote"/>
        <w:rPr/>
      </w:pPr>
      <w:r>
        <w:rPr>
          <w:rStyle w:val="Funotenzeichen"/>
        </w:rPr>
        <w:footnoteRef/>
      </w:r>
      <w:r>
        <w:rPr/>
        <w:tab/>
        <w:t>[gerade] - Das Verb steht im Gr. im Imperfekt, um zu markieren, dass die Handlung gerade im Vollzug ist.</w:t>
      </w:r>
    </w:p>
  </w:footnote>
  <w:footnote w:id="1298">
    <w:p>
      <w:pPr>
        <w:pStyle w:val="Funote"/>
        <w:rPr/>
      </w:pPr>
      <w:r>
        <w:rPr>
          <w:rStyle w:val="Funotenzeichen"/>
        </w:rPr>
        <w:footnoteRef/>
      </w:r>
      <w:r>
        <w:rPr/>
        <w:tab/>
        <w:t>Wir haben das Brot nicht mitgenommen! - Im Gr. steht vor diesem Satz ein hoti. Wenn die Jünger hier auf Jesu Wort eingehen, ist dieses mit „weil“ zu übersetzen: „[Das hat er gesagt,] weil wir keine Brote mitgenommen haben!“ Andernfalls ist hoti als Einleitung der wörtlichen Rede zu verstehen und als Doppelpunkt wiederzugeben (vgl. z.B. France 2007, S. 606f., FN 2). Diese Deutung macht hier mehr Sinn; s. die Anmerkungen.</w:t>
      </w:r>
    </w:p>
  </w:footnote>
  <w:footnote w:id="1299">
    <w:p>
      <w:pPr>
        <w:pStyle w:val="Funote"/>
        <w:rPr/>
      </w:pPr>
      <w:r>
        <w:rPr>
          <w:rStyle w:val="Funotenzeichen"/>
        </w:rPr>
        <w:footnoteRef/>
      </w:r>
      <w:r>
        <w:rPr/>
        <w:tab/>
        <w:t>dass (weil) - Auch hier steht ein hoti; die Übersetzung hängt ab von der Deutung des hoti in V. 7 (s. FN j).</w:t>
      </w:r>
    </w:p>
  </w:footnote>
  <w:footnote w:id="1300">
    <w:p>
      <w:pPr>
        <w:pStyle w:val="Funote"/>
        <w:rPr/>
      </w:pPr>
      <w:r>
        <w:rPr>
          <w:rStyle w:val="Funotenzeichen"/>
        </w:rPr>
        <w:footnoteRef/>
      </w:r>
      <w:r>
        <w:rPr/>
        <w:tab/>
        <w:t>noch nicht ... und ... nicht [mehr] - Zur doppelten Verneinung s. FN x zur entsprechenden Formulierung in Mk 8,17: Sie legt noch zusätzliche Emphase auf diese kritische Nachfrage; sinngemäßer also etwa: »Begreift ihr [denn immer] noch nicht? Erinnert ihr euch [denn] nicht mehr...?«</w:t>
      </w:r>
    </w:p>
  </w:footnote>
  <w:footnote w:id="1301">
    <w:p>
      <w:pPr>
        <w:pStyle w:val="Funote"/>
        <w:rPr/>
      </w:pPr>
      <w:r>
        <w:rPr>
          <w:rStyle w:val="Funotenzeichen"/>
        </w:rPr>
        <w:footnoteRef/>
      </w:r>
      <w:r>
        <w:rPr/>
        <w:tab/>
        <w:t>Textkritik: des Brotes fehlt in einigen Handschriften; die Handschriften, die es haben, schwanken zwischen Sg. und Pl. Wahrscheinlich handelt es sich hier also um eine nachträgliche Einfügung, die den Sinn des Ausspruchs deutlicher machen sollte, den er aber auch so hat: Die Jünger verstehen, dass Jesus nicht von wortwörtlichem Sauerteig sprach, sondern eben von der Lehre. Vgl. z.B. France 2007, S. 607, FN 4.</w:t>
      </w:r>
    </w:p>
  </w:footnote>
  <w:footnote w:id="1302">
    <w:p>
      <w:pPr>
        <w:pStyle w:val="Funote"/>
        <w:rPr/>
      </w:pPr>
      <w:r>
        <w:rPr>
          <w:rStyle w:val="Funotenzeichen"/>
        </w:rPr>
        <w:footnoteRef/>
      </w:r>
      <w:r>
        <w:rPr/>
        <w:tab/>
        <w:t>Menschensohn - Den Begriff übernimmt Matthäus v.a. aus dem Markusevangelium; hier wie dort fällt er fast ausschließlich dann, wenn Jesus von sich selbst und seiner Rolle beim Ende der Zeit spricht: dass er von den Menschen verworfen, ausgeliefert und getötet werden müsse, dann aber in großer Macht und Herrlichkeit wiederkehren werde (vgl. besonders gut Danove 2003, S. 23-25. Zu näherem s. z.B. Menschensohn (WiBiLex)). Die Wortstellung »ich, der Menschensohn« soll offensichtlich den Kontrast zwischen diesem seinem Menschensohn-Sein und den Fehleinschätzungen der »Leute« zum Ausdruck bringen (so gut Luz 1990, S. 459).</w:t>
      </w:r>
    </w:p>
  </w:footnote>
  <w:footnote w:id="1303">
    <w:p>
      <w:pPr>
        <w:pStyle w:val="Funote"/>
        <w:rPr/>
      </w:pPr>
      <w:r>
        <w:rPr>
          <w:rStyle w:val="Funotenzeichen"/>
        </w:rPr>
        <w:footnoteRef/>
      </w:r>
      <w:r>
        <w:rPr/>
        <w:tab/>
        <w:t>Textkritik: ich - der Menschensohn! - (dass der Menschensohn) - me (»ich«) wird von der Mehrheit der Textzeugen überliefert; nur wenige - allerdings alte - Handschriften bezeugen die Variante ohne me. Die Variante mit me ist allerdings sicher als die schwierigere Lesart vorzuziehen (so z.B. Luz 1990, S. 452, Anm. 1; anders z.B. TCG, S. 344f.; TCNT).</w:t>
      </w:r>
    </w:p>
  </w:footnote>
  <w:footnote w:id="1304">
    <w:p>
      <w:pPr>
        <w:pStyle w:val="Funote"/>
        <w:rPr/>
      </w:pPr>
      <w:r>
        <w:rPr>
          <w:rStyle w:val="Funotenzeichen"/>
        </w:rPr>
        <w:footnoteRef/>
      </w:r>
      <w:r>
        <w:rPr/>
        <w:tab/>
        <w:t>der Gesalbte - Gr. christos. Im Alten Israel wurden Könige durch eine »Salbung« eingesetzt. Zur Zeit Jesu war die Hoffnung verbreitet, dass dereinst ein endzeitlicher König erstehen und Israel retten werde (s. z.B. Messias / Christus (WiBiLex)). Als diesen endzeitlichen König identifiziert Petrus hier Jesus.</w:t>
      </w:r>
    </w:p>
  </w:footnote>
  <w:footnote w:id="1305">
    <w:p>
      <w:pPr>
        <w:pStyle w:val="Funote"/>
        <w:rPr/>
      </w:pPr>
      <w:r>
        <w:rPr>
          <w:rStyle w:val="Funotenzeichen"/>
        </w:rPr>
        <w:footnoteRef/>
      </w:r>
      <w:r>
        <w:rPr/>
        <w:tab/>
        <w:t>[Wie] glücklich (selig, glückselig) - Übliche Einleitung einer sog. »Seligpreisung« (dazu s. näher z.B. Seligpreisung (AT) (WiBiLex). Solche »Seligpreisungen« haben sehr wenig mit einer »Seligsprechung« zu tun; die häufige Übersetzung mit »(glück)selig« ist daher eher unglücklich. Es handelt sich vielmehr um einen freudigen Ausruf, nachdem man etwas an einem Menschen wahrgenommen hat, für das man diesen als »glücklich zu preisen« einschätzt. Jesus freut sich also hier darüber, dass Petrus die Gnade zuteil wurde, Empfänger einer göttlichen Offenbarung zu sein.Sehr gut daher z.B. die Üss. »Wie glücklich bist du...!« (NeÜ); »Glücklich bist du zu preisen...!« (NGÜ).</w:t>
      </w:r>
    </w:p>
  </w:footnote>
  <w:footnote w:id="1306">
    <w:p>
      <w:pPr>
        <w:pStyle w:val="Funote"/>
        <w:rPr/>
      </w:pPr>
      <w:r>
        <w:rPr>
          <w:rStyle w:val="Funotenzeichen"/>
        </w:rPr>
        <w:footnoteRef/>
      </w:r>
      <w:r>
        <w:rPr/>
        <w:tab/>
        <w:t>bar Jona - W. »Sohn des Jona«. Solche sog. »Patronyme« waren im Alten Israel in etwa die Entsprechung eines Nachnamens.</w:t>
      </w:r>
    </w:p>
  </w:footnote>
  <w:footnote w:id="1307">
    <w:p>
      <w:pPr>
        <w:pStyle w:val="Funote"/>
        <w:rPr/>
      </w:pPr>
      <w:r>
        <w:rPr>
          <w:rStyle w:val="Funotenzeichen"/>
        </w:rPr>
        <w:footnoteRef/>
      </w:r>
      <w:r>
        <w:rPr/>
        <w:tab/>
        <w:t>Fleisch und Blut - d.h.: Menschen (vgl. Luz 1990, S. 461, FN 58) - was Petrus hier ausspricht, ist menschliches Wissen übersteigendes Wissen, das ihm daher nur von Gottvater offenbart worden sein konnte.</w:t>
      </w:r>
    </w:p>
  </w:footnote>
  <w:footnote w:id="1308">
    <w:p>
      <w:pPr>
        <w:pStyle w:val="Funote"/>
        <w:rPr/>
      </w:pPr>
      <w:r>
        <w:rPr>
          <w:rStyle w:val="Funotenzeichen"/>
        </w:rPr>
        <w:footnoteRef/>
      </w:r>
      <w:r>
        <w:rPr/>
        <w:tab/>
        <w:t>Himmel - Im Gr. Plural; »Himmel« steht im Gr. meist im Pl., wo das Dt. Sg. verwenden würde.</w:t>
      </w:r>
    </w:p>
  </w:footnote>
  <w:footnote w:id="1309">
    <w:p>
      <w:pPr>
        <w:pStyle w:val="Funote"/>
        <w:rPr/>
      </w:pPr>
      <w:r>
        <w:rPr>
          <w:rStyle w:val="Funotenzeichen"/>
        </w:rPr>
        <w:footnoteRef/>
      </w:r>
      <w:r>
        <w:rPr/>
        <w:tab/>
        <w:t>Petrus (Fels) ... Gefels - Wortspiel im Gr.: petros (»Fels«) - petra (»Gefels«). S. dazu und zum Rest von Vv. 18f. die Anmerkungen; zu den sprachlichen Aspekten des Wortspiels vgl. immer noch gut z.B. Lampe 1979.</w:t>
      </w:r>
    </w:p>
  </w:footnote>
  <w:footnote w:id="1310">
    <w:p>
      <w:pPr>
        <w:pStyle w:val="Funote"/>
        <w:rPr/>
      </w:pPr>
      <w:r>
        <w:rPr>
          <w:rStyle w:val="Funotenzeichen"/>
        </w:rPr>
        <w:footnoteRef/>
      </w:r>
      <w:r>
        <w:rPr/>
        <w:tab/>
        <w:t>Die Pforten des Hades sind im Weltbild des Alten Israel die Eingänge zur Unterwelt, dem »Hades«. S. auch dazu die Anmerkungen und vgl. zu Näherem z.B. Lewis 1995.</w:t>
      </w:r>
    </w:p>
  </w:footnote>
  <w:footnote w:id="1311">
    <w:p>
      <w:pPr>
        <w:pStyle w:val="Funote"/>
        <w:rPr/>
      </w:pPr>
      <w:r>
        <w:rPr>
          <w:rStyle w:val="Funotenzeichen"/>
        </w:rPr>
        <w:footnoteRef/>
      </w:r>
      <w:r>
        <w:rPr/>
        <w:tab/>
        <w:t>sie (es) - Gr. autäs könnte sich entweder beziehen auf petra (»Gefels«) oder, syntaktisch wahrscheinlicher, ekkläsia (»Gemeinde«); vgl. z.B. Luz 1990, S. 464.</w:t>
      </w:r>
    </w:p>
  </w:footnote>
  <w:footnote w:id="1312">
    <w:p>
      <w:pPr>
        <w:pStyle w:val="Funote"/>
        <w:rPr/>
      </w:pPr>
      <w:r>
        <w:rPr>
          <w:rStyle w:val="Funotenzeichen"/>
        </w:rPr>
        <w:footnoteRef/>
      </w:r>
      <w:r>
        <w:rPr/>
        <w:tab/>
        <w:t>Zu diesem Vers s. die Anmerkungen.</w:t>
      </w:r>
    </w:p>
  </w:footnote>
  <w:footnote w:id="1313">
    <w:p>
      <w:pPr>
        <w:pStyle w:val="Funote"/>
        <w:rPr/>
      </w:pPr>
      <w:r>
        <w:rPr>
          <w:rStyle w:val="Funotenzeichen"/>
        </w:rPr>
        <w:footnoteRef/>
      </w:r>
      <w:r>
        <w:rPr/>
        <w:tab/>
        <w:t>müsse - Signalwort im NT: Was dei („[sein] muss“), ist Teil des göttlichen Heilsplans: Gott hat die in V. 21 zusammengefassten Begebenheiten vorausgeplant und sie spielen eine wichtige Rolle in seinem Plan für seine Schöpfung.</w:t>
      </w:r>
    </w:p>
  </w:footnote>
  <w:footnote w:id="1314">
    <w:p>
      <w:pPr>
        <w:pStyle w:val="Funote"/>
        <w:rPr/>
      </w:pPr>
      <w:r>
        <w:rPr>
          <w:rStyle w:val="Funotenzeichen"/>
        </w:rPr>
        <w:footnoteRef/>
      </w:r>
      <w:r>
        <w:rPr/>
        <w:tab/>
        <w:t>wandte sich um - Oft übersetzt als „er wandte sich Petrus zu“. Das ist aber hier durchaus nicht gesagt; wörtlich steht: „Er aber wandte sich um“ - was sogar bedeuten könnte, dass Jesus sich von Petrus abwendet und diese Abwendung dann kommentiert mit dem Ausruf „Hinter mich, Satan!“ So dann z.B. GN: „Aber Jesus wandte sich von ihm ab und sagte...“ Wegen dem Folgenden ist diese Deutung sogar etwas wahrscheinlicher, s. die nächste FN.</w:t>
      </w:r>
    </w:p>
  </w:footnote>
  <w:footnote w:id="1315">
    <w:p>
      <w:pPr>
        <w:pStyle w:val="Funote"/>
        <w:rPr/>
      </w:pPr>
      <w:r>
        <w:rPr>
          <w:rStyle w:val="Funotenzeichen"/>
        </w:rPr>
        <w:footnoteRef/>
      </w:r>
      <w:r>
        <w:rPr/>
        <w:tab/>
        <w:t>Geh hinter mich (geh weg von mir, lass mich in Ruhe) - Gr. hupage opiso mou; mehrdeutiger Ausdruck: Er könnte sowohl eine eine entschiedene Zurückweisung sein (»Weg von mir!«) als auch ein Aufruf zur Nachfolge, was v.a. die ganz ähnlich formulierte Rede von der Nachfolge im nächsten Vers nahelegt: ei tis thelei opiso mou elthein (»Wenn einer hinter mir gehen will«, d.h. »mir nachfolgen will«).</w:t>
      </w:r>
    </w:p>
  </w:footnote>
  <w:footnote w:id="1316">
    <w:p>
      <w:pPr>
        <w:pStyle w:val="Funote"/>
        <w:rPr/>
      </w:pPr>
      <w:r>
        <w:rPr>
          <w:rStyle w:val="Funotenzeichen"/>
        </w:rPr>
        <w:footnoteRef/>
      </w:r>
      <w:r>
        <w:rPr/>
        <w:tab/>
        <w:t>V. 26 ist noch einmal eine nachgeschobene Begründung von V. 25; der Zhg. der beiden Verse ist dabei wohl etwa der: »Nur, wer sein Leben um meinetwillen verliert, wird es erlangen, und darum geht es ja, denn das Leben ist schließlich wichtiger als die ganze Welt, weil einzig das eigene Leben völlig jenseits jeglichen Tauschwerts steht.« Sehr gut daher z.B. HfA: »Denn was gewinnt ein Mensch, wenn ihm die ganze Welt zufällt, er selbst aber dabei Schaden nimmt? Er kann sein Leben ja nicht wieder zurückkaufen!«</w:t>
      </w:r>
    </w:p>
  </w:footnote>
  <w:footnote w:id="1317">
    <w:p>
      <w:pPr>
        <w:pStyle w:val="Funote"/>
        <w:rPr/>
      </w:pPr>
      <w:r>
        <w:rPr>
          <w:rStyle w:val="Funotenzeichen"/>
        </w:rPr>
        <w:footnoteRef/>
      </w:r>
      <w:r>
        <w:rPr/>
        <w:tab/>
        <w:t>Herrlichkeit ist im AT eine der zentralsten Eigenschaften Gottes. Die wörtliche Bedeutung der heb. und gr. Begriffe reicht dabei von »Ehre, Ansehen« bis zu etwas wie »Glorie, Lichtschein«, die man sich früher als Attribut von Gottheiten vorstellte (s. z.B. Amzallag 2015, S. 80-82). Bei Mt ist von »Herrlichkeit« bes. dann die Rede, wenn der Text von der Wiederkunft des Menschensohns handelt (s. noch Mt 19,28; 24,30; 25,31), sehr wahrscheinlich hat man also hier v.a. an die verklärte Lichtgestalt dieses wiederkommenden Himmelwesens zu denken haben.</w:t>
      </w:r>
    </w:p>
  </w:footnote>
  <w:footnote w:id="1318">
    <w:p>
      <w:pPr>
        <w:pStyle w:val="Funote"/>
        <w:rPr/>
      </w:pPr>
      <w:r>
        <w:rPr>
          <w:rStyle w:val="Funotenzeichen"/>
        </w:rPr>
        <w:footnoteRef/>
      </w:r>
      <w:r>
        <w:rPr/>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Die Verheißung in diesem Vers hat also absolute Gültigkeit, da sie schließlich vom einzigen geäußert wird, der überhaupt Voraussagen über diese Geschehnisse machen kann - da er dabei der Hauptakteur sein wird.Sehr sinnvolls übersetzt Zink: »Was ich sage, ist wahr: ...«</w:t>
      </w:r>
    </w:p>
  </w:footnote>
  <w:footnote w:id="1319">
    <w:p>
      <w:pPr>
        <w:pStyle w:val="Funote"/>
        <w:rPr/>
      </w:pPr>
      <w:r>
        <w:rPr>
          <w:rStyle w:val="Funotenzeichen"/>
        </w:rPr>
        <w:footnoteRef/>
      </w:r>
      <w:r>
        <w:rPr/>
        <w:tab/>
        <w:t>den Tod nicht schmecken (kennen lernen, erfahren) - heb. Idiom; zu einigen weiteren Belegen s. B/S I, S. 751f. Die Bedeutung ist wohl etwa »sterblich sein und sich dieser seienr Sterblichkeit schmerzlich bewusst sein«; vg. BDAG 195.Die meisten Üss. haben schlicht: »Die nicht sterben werden«. Das ist wohl die einfachste Lösung: Die Wiederkunft des Menschensohns liegt nicht etwa in ferner Zukunft, sondern steht unmittelbar bevor - einige von Jesu Hörern werden dann sogar noch am Leben sein.</w:t>
      </w:r>
    </w:p>
  </w:footnote>
  <w:footnote w:id="1320">
    <w:p>
      <w:pPr>
        <w:pStyle w:val="Funote"/>
        <w:rPr/>
      </w:pPr>
      <w:r>
        <w:rPr>
          <w:rStyle w:val="Funotenzeichen"/>
        </w:rPr>
        <w:footnoteRef/>
      </w:r>
      <w:r>
        <w:rPr/>
        <w:tab/>
        <w:t>[Status: Zuverlässig]</w:t>
      </w:r>
    </w:p>
  </w:footnote>
  <w:footnote w:id="1321">
    <w:p>
      <w:pPr>
        <w:pStyle w:val="Funote"/>
        <w:rPr/>
      </w:pPr>
      <w:r>
        <w:rPr>
          <w:rStyle w:val="Funotenzeichen"/>
        </w:rPr>
        <w:footnoteRef/>
      </w:r>
      <w:r>
        <w:rPr/>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1322">
    <w:p>
      <w:pPr>
        <w:pStyle w:val="Funote"/>
        <w:rPr/>
      </w:pPr>
      <w:r>
        <w:rPr>
          <w:rStyle w:val="Funotenzeichen"/>
        </w:rPr>
        <w:footnoteRef/>
      </w:r>
      <w:r>
        <w:rPr/>
        <w:tab/>
        <w:t xml:space="preserve">Die Formulierung </w:t>
      </w:r>
      <w:r>
        <w:rPr>
          <w:lang w:val="el-GR"/>
        </w:rPr>
        <w:t>ἄγγελος κύριου</w:t>
      </w:r>
      <w:r>
        <w:rPr/>
        <w:t xml:space="preserve"> („Bote des Herrn“) bezeichnet in der Septuaginta Gottes Engel (vgl. Exodus 3 und Richter 6). Hier im Neuen Testament bezieht sich „der Herr“ gleichzeitig auch auf Jesus.</w:t>
      </w:r>
    </w:p>
  </w:footnote>
  <w:footnote w:id="1323">
    <w:p>
      <w:pPr>
        <w:pStyle w:val="Funote"/>
        <w:rPr/>
      </w:pPr>
      <w:r>
        <w:rPr>
          <w:rStyle w:val="Funotenzeichen"/>
        </w:rPr>
        <w:footnoteRef/>
      </w:r>
      <w:r>
        <w:rPr/>
        <w:tab/>
        <w:t>Partizipien Aorist Aktiv</w:t>
      </w:r>
    </w:p>
  </w:footnote>
  <w:footnote w:id="1324">
    <w:p>
      <w:pPr>
        <w:pStyle w:val="Funote"/>
        <w:rPr/>
      </w:pPr>
      <w:r>
        <w:rPr>
          <w:rStyle w:val="Funotenzeichen"/>
        </w:rPr>
        <w:footnoteRef/>
      </w:r>
      <w:r>
        <w:rPr/>
        <w:tab/>
        <w:t>Einige Handschriften ergänzen: „vom Eingang“ oder „vom Eingang des Grabes“.</w:t>
      </w:r>
    </w:p>
  </w:footnote>
  <w:footnote w:id="1325">
    <w:p>
      <w:pPr>
        <w:pStyle w:val="Funote"/>
        <w:rPr/>
      </w:pPr>
      <w:r>
        <w:rPr>
          <w:rStyle w:val="Funotenzeichen"/>
        </w:rPr>
        <w:footnoteRef/>
      </w:r>
      <w:r>
        <w:rPr/>
        <w:tab/>
        <w:t>Partizip Aorist Deponens</w:t>
      </w:r>
    </w:p>
  </w:footnote>
  <w:footnote w:id="1326">
    <w:p>
      <w:pPr>
        <w:pStyle w:val="Funote"/>
        <w:rPr/>
      </w:pPr>
      <w:r>
        <w:rPr>
          <w:rStyle w:val="Funotenzeichen"/>
        </w:rPr>
        <w:footnoteRef/>
      </w:r>
      <w:r>
        <w:rPr/>
        <w:tab/>
        <w:t>Das »ihr« ist sprachlich betont. (Siehe die Übersetzung bei U.Luz 2002, 395).</w:t>
      </w:r>
    </w:p>
  </w:footnote>
  <w:footnote w:id="1327">
    <w:p>
      <w:pPr>
        <w:pStyle w:val="Funote"/>
        <w:rPr/>
      </w:pPr>
      <w:r>
        <w:rPr>
          <w:rStyle w:val="Funotenzeichen"/>
        </w:rPr>
        <w:footnoteRef/>
      </w:r>
      <w:r>
        <w:rPr/>
        <w:tab/>
        <w:t>Einige Handschriften: »wo der Herr«.</w:t>
      </w:r>
    </w:p>
  </w:footnote>
  <w:footnote w:id="1328">
    <w:p>
      <w:pPr>
        <w:pStyle w:val="Funote"/>
        <w:rPr/>
      </w:pPr>
      <w:r>
        <w:rPr>
          <w:rStyle w:val="Funotenzeichen"/>
        </w:rPr>
        <w:footnoteRef/>
      </w:r>
      <w:r>
        <w:rPr/>
        <w:tab/>
        <w:t>Partizip Aorist Deponens</w:t>
      </w:r>
    </w:p>
  </w:footnote>
  <w:footnote w:id="1329">
    <w:p>
      <w:pPr>
        <w:pStyle w:val="Funote"/>
        <w:rPr/>
      </w:pPr>
      <w:r>
        <w:rPr>
          <w:rStyle w:val="Funotenzeichen"/>
        </w:rPr>
        <w:footnoteRef/>
      </w:r>
      <w:r>
        <w:rPr/>
        <w:tab/>
        <w:t>Generisches Maskulinum.</w:t>
      </w:r>
    </w:p>
  </w:footnote>
  <w:footnote w:id="1330">
    <w:p>
      <w:pPr>
        <w:pStyle w:val="Funote"/>
        <w:rPr/>
      </w:pPr>
      <w:r>
        <w:rPr>
          <w:rStyle w:val="Funotenzeichen"/>
        </w:rPr>
        <w:footnoteRef/>
      </w:r>
      <w:r>
        <w:rPr/>
        <w:tab/>
        <w:t>Partizip Aorist Aktiv</w:t>
      </w:r>
    </w:p>
  </w:footnote>
  <w:footnote w:id="1331">
    <w:p>
      <w:pPr>
        <w:pStyle w:val="Funote"/>
        <w:rPr/>
      </w:pPr>
      <w:r>
        <w:rPr>
          <w:rStyle w:val="Funotenzeichen"/>
        </w:rPr>
        <w:footnoteRef/>
      </w:r>
      <w:r>
        <w:rPr/>
        <w:tab/>
        <w:t>Viele Handschriften: „hinaus aus dem Grab“. Bei dem vermutlich ursprünglichen „hinaus“ bleibt offen, ob die Frauen ins Grab gehen oder nicht. (Vgl. U.Luz 2002, 395, Fußnote 5.)</w:t>
      </w:r>
    </w:p>
  </w:footnote>
  <w:footnote w:id="1332">
    <w:p>
      <w:pPr>
        <w:pStyle w:val="Funote"/>
        <w:rPr/>
      </w:pPr>
      <w:r>
        <w:rPr>
          <w:rStyle w:val="Funotenzeichen"/>
        </w:rPr>
        <w:footnoteRef/>
      </w:r>
      <w:r>
        <w:rPr/>
        <w:tab/>
        <w:t>Die Bibel in gerechter Sprache übersetzt: „mit Ehrfurcht“. Gegen diese Deutung spricht die Wortverwandtschaft mit „Fürchtet euch nicht“ (Vers 5).</w:t>
      </w:r>
    </w:p>
  </w:footnote>
  <w:footnote w:id="1333">
    <w:p>
      <w:pPr>
        <w:pStyle w:val="Funote"/>
        <w:rPr/>
      </w:pPr>
      <w:r>
        <w:rPr>
          <w:rStyle w:val="Funotenzeichen"/>
        </w:rPr>
        <w:footnoteRef/>
      </w:r>
      <w:r>
        <w:rPr/>
        <w:tab/>
        <w:t>Viele Handschriften ergänzen: „als (während, weil) sie gingen, um es seinen Jüngern (Jüngerinnen) zu berichten“.</w:t>
      </w:r>
    </w:p>
  </w:footnote>
  <w:footnote w:id="1334">
    <w:p>
      <w:pPr>
        <w:pStyle w:val="Funote"/>
        <w:rPr/>
      </w:pPr>
      <w:r>
        <w:rPr>
          <w:rStyle w:val="Funotenzeichen"/>
        </w:rPr>
        <w:footnoteRef/>
      </w:r>
      <w:r>
        <w:rPr/>
        <w:tab/>
        <w:t>Partizip Präsens Aktiv</w:t>
      </w:r>
    </w:p>
  </w:footnote>
  <w:footnote w:id="1335">
    <w:p>
      <w:pPr>
        <w:pStyle w:val="Funote"/>
        <w:rPr/>
      </w:pPr>
      <w:r>
        <w:rPr>
          <w:rStyle w:val="Funotenzeichen"/>
        </w:rPr>
        <w:footnoteRef/>
      </w:r>
      <w:r>
        <w:rPr/>
        <w:tab/>
        <w:t>»Freut euch« ist eine griechische Grußformel (Bauer/Aland).</w:t>
      </w:r>
    </w:p>
  </w:footnote>
  <w:footnote w:id="1336">
    <w:p>
      <w:pPr>
        <w:pStyle w:val="Funote"/>
        <w:rPr/>
      </w:pPr>
      <w:r>
        <w:rPr>
          <w:rStyle w:val="Funotenzeichen"/>
        </w:rPr>
        <w:footnoteRef/>
      </w:r>
      <w:r>
        <w:rPr/>
        <w:tab/>
        <w:t>Partizip Aorist Aktiv</w:t>
      </w:r>
    </w:p>
  </w:footnote>
  <w:footnote w:id="1337">
    <w:p>
      <w:pPr>
        <w:pStyle w:val="Funote"/>
        <w:rPr/>
      </w:pPr>
      <w:r>
        <w:rPr>
          <w:rStyle w:val="Funotenzeichen"/>
        </w:rPr>
        <w:footnoteRef/>
      </w:r>
      <w:r>
        <w:rPr/>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1338">
    <w:p>
      <w:pPr>
        <w:pStyle w:val="Funote"/>
        <w:rPr/>
      </w:pPr>
      <w:r>
        <w:rPr>
          <w:rStyle w:val="Funotenzeichen"/>
        </w:rPr>
        <w:footnoteRef/>
      </w:r>
      <w:r>
        <w:rPr/>
        <w:tab/>
        <w:t>Partizip Präsens Deponens im Genitivus absolutus</w:t>
      </w:r>
    </w:p>
  </w:footnote>
  <w:footnote w:id="1339">
    <w:p>
      <w:pPr>
        <w:pStyle w:val="Funote"/>
        <w:rPr/>
      </w:pPr>
      <w:r>
        <w:rPr>
          <w:rStyle w:val="Funotenzeichen"/>
        </w:rPr>
        <w:footnoteRef/>
      </w:r>
      <w:r>
        <w:rPr/>
        <w:tab/>
        <w:t>Partizip Aorist Aktiv</w:t>
      </w:r>
    </w:p>
  </w:footnote>
  <w:footnote w:id="1340">
    <w:p>
      <w:pPr>
        <w:pStyle w:val="Funote"/>
        <w:rPr/>
      </w:pPr>
      <w:r>
        <w:rPr>
          <w:rStyle w:val="Funotenzeichen"/>
        </w:rPr>
        <w:footnoteRef/>
      </w:r>
      <w:r>
        <w:rPr/>
        <w:tab/>
        <w:t>Partizipien Aorist Passiv und Aorist Aktiv</w:t>
      </w:r>
    </w:p>
  </w:footnote>
  <w:footnote w:id="1341">
    <w:p>
      <w:pPr>
        <w:pStyle w:val="Funote"/>
        <w:rPr/>
      </w:pPr>
      <w:r>
        <w:rPr>
          <w:rStyle w:val="Funotenzeichen"/>
        </w:rPr>
        <w:footnoteRef/>
      </w:r>
      <w:r>
        <w:rPr/>
        <w:tab/>
        <w:t>Partizip Präsens Aktiv</w:t>
      </w:r>
    </w:p>
  </w:footnote>
  <w:footnote w:id="1342">
    <w:p>
      <w:pPr>
        <w:pStyle w:val="Funote"/>
        <w:rPr/>
      </w:pPr>
      <w:r>
        <w:rPr>
          <w:rStyle w:val="Funotenzeichen"/>
        </w:rPr>
        <w:footnoteRef/>
      </w:r>
      <w:r>
        <w:rPr>
          <w:lang w:val="el-GR"/>
        </w:rPr>
        <w:tab/>
        <w:t>Ὅτι</w:t>
      </w:r>
      <w:r>
        <w:rPr/>
        <w:t xml:space="preserve"> recitativum</w:t>
      </w:r>
    </w:p>
  </w:footnote>
  <w:footnote w:id="1343">
    <w:p>
      <w:pPr>
        <w:pStyle w:val="Funote"/>
        <w:rPr/>
      </w:pPr>
      <w:r>
        <w:rPr>
          <w:rStyle w:val="Funotenzeichen"/>
        </w:rPr>
        <w:footnoteRef/>
      </w:r>
      <w:r>
        <w:rPr/>
        <w:tab/>
        <w:t>Partizip Aorist Aktiv</w:t>
      </w:r>
    </w:p>
  </w:footnote>
  <w:footnote w:id="1344">
    <w:p>
      <w:pPr>
        <w:pStyle w:val="Funote"/>
        <w:rPr/>
      </w:pPr>
      <w:r>
        <w:rPr>
          <w:rStyle w:val="Funotenzeichen"/>
        </w:rPr>
        <w:footnoteRef/>
      </w:r>
      <w:r>
        <w:rPr/>
        <w:tab/>
        <w:t>Partizip Präsens Passiv</w:t>
      </w:r>
    </w:p>
  </w:footnote>
  <w:footnote w:id="1345">
    <w:p>
      <w:pPr>
        <w:pStyle w:val="Funote"/>
        <w:rPr/>
      </w:pPr>
      <w:r>
        <w:rPr>
          <w:rStyle w:val="Funotenzeichen"/>
        </w:rPr>
        <w:footnoteRef/>
      </w:r>
      <w:r>
        <w:rPr/>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1346">
    <w:p>
      <w:pPr>
        <w:pStyle w:val="Funote"/>
        <w:rPr/>
      </w:pPr>
      <w:r>
        <w:rPr>
          <w:rStyle w:val="Funotenzeichen"/>
        </w:rPr>
        <w:footnoteRef/>
      </w:r>
      <w:r>
        <w:rPr/>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1347">
    <w:p>
      <w:pPr>
        <w:pStyle w:val="Funote"/>
        <w:rPr/>
      </w:pPr>
      <w:r>
        <w:rPr>
          <w:rStyle w:val="Funotenzeichen"/>
        </w:rPr>
        <w:footnoteRef/>
      </w:r>
      <w:r>
        <w:rPr/>
        <w:tab/>
        <w:t>wörtlich: und euch sorgenfrei machen</w:t>
      </w:r>
    </w:p>
  </w:footnote>
  <w:footnote w:id="1348">
    <w:p>
      <w:pPr>
        <w:pStyle w:val="Funote"/>
        <w:rPr/>
      </w:pPr>
      <w:r>
        <w:rPr>
          <w:rStyle w:val="Funotenzeichen"/>
        </w:rPr>
        <w:footnoteRef/>
      </w:r>
      <w:r>
        <w:rPr/>
        <w:tab/>
        <w:t>Partizip Aorist Aktiv</w:t>
      </w:r>
    </w:p>
  </w:footnote>
  <w:footnote w:id="1349">
    <w:p>
      <w:pPr>
        <w:pStyle w:val="Funote"/>
        <w:rPr/>
      </w:pPr>
      <w:r>
        <w:rPr>
          <w:rStyle w:val="Funotenzeichen"/>
        </w:rPr>
        <w:footnoteRef/>
      </w:r>
      <w:r>
        <w:rPr/>
        <w:tab/>
        <w:t>andere Handschriften: erschien</w:t>
      </w:r>
    </w:p>
  </w:footnote>
  <w:footnote w:id="1350">
    <w:p>
      <w:pPr>
        <w:pStyle w:val="Funote"/>
        <w:rPr/>
      </w:pPr>
      <w:r>
        <w:rPr>
          <w:rStyle w:val="Funotenzeichen"/>
        </w:rPr>
        <w:footnoteRef/>
      </w:r>
      <w:r>
        <w:rPr/>
        <w:tab/>
        <w:t>Es handelt sich nicht um alle Juden, da im Text kein bestimmter Artikel steht (U.Luz 2002, 423–425).</w:t>
      </w:r>
    </w:p>
  </w:footnote>
  <w:footnote w:id="1351">
    <w:p>
      <w:pPr>
        <w:pStyle w:val="Funote"/>
        <w:rPr/>
      </w:pPr>
      <w:r>
        <w:rPr>
          <w:rStyle w:val="Funotenzeichen"/>
        </w:rPr>
        <w:footnoteRef/>
      </w:r>
      <w:r>
        <w:rPr/>
        <w:tab/>
        <w:t>Partizip Präsens Aktiv</w:t>
      </w:r>
    </w:p>
  </w:footnote>
  <w:footnote w:id="1352">
    <w:p>
      <w:pPr>
        <w:pStyle w:val="Funote"/>
        <w:rPr/>
      </w:pPr>
      <w:r>
        <w:rPr>
          <w:rStyle w:val="Funotenzeichen"/>
        </w:rPr>
        <w:footnoteRef/>
      </w:r>
      <w:r>
        <w:rPr/>
        <w:tab/>
        <w:t>Siehe Fußnote zu Vers 9.</w:t>
      </w:r>
    </w:p>
  </w:footnote>
  <w:footnote w:id="1353">
    <w:p>
      <w:pPr>
        <w:pStyle w:val="Funote"/>
        <w:rPr/>
      </w:pPr>
      <w:r>
        <w:rPr>
          <w:rStyle w:val="Funotenzeichen"/>
        </w:rPr>
        <w:footnoteRef/>
      </w:r>
      <w:r>
        <w:rPr/>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1354">
    <w:p>
      <w:pPr>
        <w:pStyle w:val="Funote"/>
        <w:rPr/>
      </w:pPr>
      <w:r>
        <w:rPr>
          <w:rStyle w:val="Funotenzeichen"/>
        </w:rPr>
        <w:footnoteRef/>
      </w:r>
      <w:r>
        <w:rPr/>
        <w:tab/>
        <w:t>Partizip Präsens aktiv</w:t>
      </w:r>
    </w:p>
  </w:footnote>
  <w:footnote w:id="1355">
    <w:p>
      <w:pPr>
        <w:pStyle w:val="Funote"/>
        <w:rPr/>
      </w:pPr>
      <w:r>
        <w:rPr>
          <w:rStyle w:val="Funotenzeichen"/>
        </w:rPr>
        <w:footnoteRef/>
      </w:r>
      <w:r>
        <w:rPr/>
        <w:tab/>
        <w:t>Passivum divinum</w:t>
      </w:r>
    </w:p>
  </w:footnote>
  <w:footnote w:id="1356">
    <w:p>
      <w:pPr>
        <w:pStyle w:val="Funote"/>
        <w:rPr/>
      </w:pPr>
      <w:r>
        <w:rPr>
          <w:rStyle w:val="Funotenzeichen"/>
        </w:rPr>
        <w:footnoteRef/>
      </w:r>
      <w:r>
        <w:rPr/>
        <w:tab/>
        <w:t>Der bestimmte Artikel fehlt in vielen wichtigen Handschriften.</w:t>
      </w:r>
    </w:p>
  </w:footnote>
  <w:footnote w:id="1357">
    <w:p>
      <w:pPr>
        <w:pStyle w:val="Funote"/>
        <w:rPr/>
      </w:pPr>
      <w:r>
        <w:rPr>
          <w:rStyle w:val="Funotenzeichen"/>
        </w:rPr>
        <w:footnoteRef/>
      </w:r>
      <w:r>
        <w:rPr/>
        <w:tab/>
        <w:t>Partizip Präsens aktiv</w:t>
      </w:r>
    </w:p>
  </w:footnote>
  <w:footnote w:id="1358">
    <w:p>
      <w:pPr>
        <w:pStyle w:val="Funote"/>
        <w:rPr/>
      </w:pPr>
      <w:r>
        <w:rPr>
          <w:rStyle w:val="Funotenzeichen"/>
        </w:rPr>
        <w:footnoteRef/>
      </w:r>
      <w:r>
        <w:rPr/>
        <w:tab/>
        <w:t>[Status: Sehr gut]</w:t>
      </w:r>
    </w:p>
  </w:footnote>
  <w:footnote w:id="1359">
    <w:p>
      <w:pPr>
        <w:pStyle w:val="Funote"/>
        <w:rPr/>
      </w:pPr>
      <w:r>
        <w:rPr>
          <w:rStyle w:val="Funotenzeichen"/>
        </w:rPr>
        <w:footnoteRef/>
      </w:r>
      <w:r>
        <w:rPr/>
        <w:tab/>
        <w:t xml:space="preserve">Das Wort Evangelium (gr. </w:t>
      </w:r>
      <w:r>
        <w:rPr>
          <w:lang w:val="el-GR"/>
        </w:rPr>
        <w:t>εὐαγγέλιον</w:t>
      </w:r>
      <w:r>
        <w:rPr/>
        <w:t>) steht hier noch nicht als literarische Bezeichnung, sondern für die christliche Heilsbotschaft von Jesus. frohe Botschaft von Jesus Christus Im Griechischen steht hier ein Genitiv, den man sowohl objektiv (ein Evangelium über Jesus / das von Jesus handelt) oder subjektiv (ein Evangelium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 [Der]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1360">
    <w:p>
      <w:pPr>
        <w:pStyle w:val="Funote"/>
        <w:rPr/>
      </w:pPr>
      <w:r>
        <w:rPr>
          <w:rStyle w:val="Funotenzeichen"/>
        </w:rPr>
        <w:footnoteRef/>
      </w:r>
      <w:r>
        <w:rPr/>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w:t>
      </w:r>
    </w:p>
  </w:footnote>
  <w:footnote w:id="1361">
    <w:p>
      <w:pPr>
        <w:pStyle w:val="Funote"/>
        <w:rPr/>
      </w:pPr>
      <w:r>
        <w:rPr>
          <w:rStyle w:val="Funotenzeichen"/>
        </w:rPr>
        <w:footnoteRef/>
      </w:r>
      <w:r>
        <w:rPr/>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 des Propheten Jesaja – andere Handschriften: „den Propheten“ (Plural)</w:t>
      </w:r>
    </w:p>
  </w:footnote>
  <w:footnote w:id="1362">
    <w:p>
      <w:pPr>
        <w:pStyle w:val="Funote"/>
        <w:rPr/>
      </w:pPr>
      <w:r>
        <w:rPr>
          <w:rStyle w:val="Funotenzeichen"/>
        </w:rPr>
        <w:footnoteRef/>
      </w:r>
      <w:r>
        <w:rPr/>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1363">
    <w:p>
      <w:pPr>
        <w:pStyle w:val="Funote"/>
        <w:rPr/>
      </w:pPr>
      <w:r>
        <w:rPr>
          <w:rStyle w:val="Funotenzeichen"/>
        </w:rPr>
        <w:footnoteRef/>
      </w:r>
      <w:r>
        <w:rPr/>
        <w:tab/>
        <w:t>Stimme eines Rufenden in der Wüste Dass hier kein Verb steht, liegt daran, dass der griechische AT-Text sehr wörtlich aus dem Hebräischen übersetzt ist, wo solche gerafften, verblosen Formulierungen nicht ungewöhnlich sind.</w:t>
      </w:r>
    </w:p>
  </w:footnote>
  <w:footnote w:id="1364">
    <w:p>
      <w:pPr>
        <w:pStyle w:val="Funote"/>
        <w:rPr/>
      </w:pPr>
      <w:r>
        <w:rPr>
          <w:rStyle w:val="Funotenzeichen"/>
        </w:rPr>
        <w:footnoteRef/>
      </w:r>
      <w:r>
        <w:rPr/>
        <w:tab/>
        <w:t>Anders als von Markus angeben ist das Zitat eine Zusammenstellung aus Jesaja (Jes 40,3 LXX) und Maleachi 3,1.</w:t>
      </w:r>
    </w:p>
  </w:footnote>
  <w:footnote w:id="1365">
    <w:p>
      <w:pPr>
        <w:pStyle w:val="Funote"/>
        <w:rPr/>
      </w:pPr>
      <w:r>
        <w:rPr>
          <w:rStyle w:val="Funotenzeichen"/>
        </w:rPr>
        <w:footnoteRef/>
      </w:r>
      <w:r>
        <w:rPr/>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1366">
    <w:p>
      <w:pPr>
        <w:pStyle w:val="Funote"/>
        <w:rPr/>
      </w:pPr>
      <w:r>
        <w:rPr>
          <w:rStyle w:val="Funotenzeichen"/>
        </w:rPr>
        <w:footnoteRef/>
      </w:r>
      <w:r>
        <w:rPr/>
        <w:tab/>
        <w:t>Johannes der Täufer und Johannes, der in der Wüste taufte: Es gibt an dieser Stelle leicht verschiedene Lesarten in den Handschriften.</w:t>
      </w:r>
    </w:p>
  </w:footnote>
  <w:footnote w:id="1367">
    <w:p>
      <w:pPr>
        <w:pStyle w:val="Funote"/>
        <w:rPr/>
      </w:pPr>
      <w:r>
        <w:rPr>
          <w:rStyle w:val="Funotenzeichen"/>
        </w:rPr>
        <w:footnoteRef/>
      </w:r>
      <w:r>
        <w:rPr/>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1368">
    <w:p>
      <w:pPr>
        <w:pStyle w:val="Funote"/>
        <w:rPr/>
      </w:pPr>
      <w:r>
        <w:rPr>
          <w:rStyle w:val="Funotenzeichen"/>
        </w:rPr>
        <w:footnoteRef/>
      </w:r>
      <w:r>
        <w:rPr/>
        <w:tab/>
        <w:t>das gesamte judäische Gebiet Hier sind zwei Stilmittel verflochten. Das judäische Gebiet steht für dessen Bewohner (Metonymie des Subjekts). Und dass es alle waren, ist natürlich eine Übertreibung (Hyperbel).</w:t>
      </w:r>
    </w:p>
  </w:footnote>
  <w:footnote w:id="1369">
    <w:p>
      <w:pPr>
        <w:pStyle w:val="Funote"/>
        <w:rPr/>
      </w:pPr>
      <w:r>
        <w:rPr>
          <w:rStyle w:val="Funotenzeichen"/>
        </w:rPr>
        <w:footnoteRef/>
      </w:r>
      <w:r>
        <w:rPr/>
        <w:tab/>
        <w:t>begaben sich hinaus Im Griechischen im Sg., als Prädikat zur „gesamten judäischen Region“.</w:t>
      </w:r>
    </w:p>
  </w:footnote>
  <w:footnote w:id="1370">
    <w:p>
      <w:pPr>
        <w:pStyle w:val="Funote"/>
        <w:rPr/>
      </w:pPr>
      <w:r>
        <w:rPr>
          <w:rStyle w:val="Funotenzeichen"/>
        </w:rPr>
        <w:footnoteRef/>
      </w:r>
      <w:r>
        <w:rPr/>
        <w:tab/>
        <w:t>Die beiden Imperfekte begaben sich hinaus und ließen sich taufen bringen in V. 5 zum Ausdruck, dass Johannes über einen längeren Zeitraum hinweg Menschenmengen anzog.</w:t>
      </w:r>
    </w:p>
  </w:footnote>
  <w:footnote w:id="1371">
    <w:p>
      <w:pPr>
        <w:pStyle w:val="Funote"/>
        <w:rPr/>
      </w:pPr>
      <w:r>
        <w:rPr>
          <w:rStyle w:val="Funotenzeichen"/>
        </w:rPr>
        <w:footnoteRef/>
      </w:r>
      <w:r>
        <w:rPr/>
        <w:tab/>
        <w:t>wobei sie bekannten Ptz.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1372">
    <w:p>
      <w:pPr>
        <w:pStyle w:val="Funote"/>
        <w:rPr/>
      </w:pPr>
      <w:r>
        <w:rPr>
          <w:rStyle w:val="Funotenzeichen"/>
        </w:rPr>
        <w:footnoteRef/>
      </w:r>
      <w:r>
        <w:rPr/>
        <w:tab/>
        <w:t>Kamelhaar und Ledergürtel, w. „Haare [des] Kamels“ bzw. „ledernen Gürtel“. Durch seine Kleidung gibt sich Johannes als Prophet (Sach 13,4 LXX) und der wiedergekehrte Elia zu erkennen (2Kö 1,8 LXX).</w:t>
      </w:r>
    </w:p>
  </w:footnote>
  <w:footnote w:id="1373">
    <w:p>
      <w:pPr>
        <w:pStyle w:val="Funote"/>
        <w:rPr/>
      </w:pPr>
      <w:r>
        <w:rPr>
          <w:rStyle w:val="Funotenzeichen"/>
        </w:rPr>
        <w:footnoteRef/>
      </w:r>
      <w:r>
        <w:rPr/>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1374">
    <w:p>
      <w:pPr>
        <w:pStyle w:val="Funote"/>
        <w:rPr/>
      </w:pPr>
      <w:r>
        <w:rPr>
          <w:rStyle w:val="Funotenzeichen"/>
        </w:rPr>
        <w:footnoteRef/>
      </w:r>
      <w:r>
        <w:rPr/>
        <w:tab/>
        <w:t>predigte Das Imperfekt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w:t>
      </w:r>
    </w:p>
  </w:footnote>
  <w:footnote w:id="1375">
    <w:p>
      <w:pPr>
        <w:pStyle w:val="Funote"/>
        <w:rPr/>
      </w:pPr>
      <w:r>
        <w:rPr>
          <w:rStyle w:val="Funotenzeichen"/>
        </w:rPr>
        <w:footnoteRef/>
      </w:r>
      <w:r>
        <w:rPr/>
        <w:tab/>
        <w:t xml:space="preserve">[einer], der mächtiger [ist] als ich Gr. </w:t>
      </w:r>
      <w:r>
        <w:rPr>
          <w:lang w:val="el-GR"/>
        </w:rPr>
        <w:t>ὁ ἰσχυρότερός μου</w:t>
      </w:r>
      <w:r>
        <w:rPr/>
        <w:t>, W. »der Mächtigere als ich«.</w:t>
      </w:r>
    </w:p>
  </w:footnote>
  <w:footnote w:id="1376">
    <w:p>
      <w:pPr>
        <w:pStyle w:val="Funote"/>
        <w:rPr/>
      </w:pPr>
      <w:r>
        <w:rPr>
          <w:rStyle w:val="Funotenzeichen"/>
        </w:rPr>
        <w:footnoteRef/>
      </w:r>
      <w:r>
        <w:rPr/>
        <w:tab/>
        <w:t>mich zu bücken und Adverbiales Partizip Aorist aktiv, hier einmal gleichzeitig übersetzt (modal; vgl. NSS). In der Klammer ist das griechische mit dem deutschen Partizip 2 übersetzt.</w:t>
      </w:r>
    </w:p>
  </w:footnote>
  <w:footnote w:id="1377">
    <w:p>
      <w:pPr>
        <w:pStyle w:val="Funote"/>
        <w:rPr/>
      </w:pPr>
      <w:r>
        <w:rPr>
          <w:rStyle w:val="Funotenzeichen"/>
        </w:rPr>
        <w:footnoteRef/>
      </w:r>
      <w:r>
        <w:rPr/>
        <w:tab/>
        <w:t>ihm Eigentlich ein Relativpronomen (»dem«), das den Satz vom vorigen abhängig macht: »dem ich nicht würdig bin...«</w:t>
      </w:r>
    </w:p>
  </w:footnote>
  <w:footnote w:id="1378">
    <w:p>
      <w:pPr>
        <w:pStyle w:val="Funote"/>
        <w:rPr/>
      </w:pPr>
      <w:r>
        <w:rPr>
          <w:rStyle w:val="Funotenzeichen"/>
        </w:rPr>
        <w:footnoteRef/>
      </w:r>
      <w:r>
        <w:rPr/>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1379">
    <w:p>
      <w:pPr>
        <w:pStyle w:val="Funote"/>
        <w:rPr/>
      </w:pPr>
      <w:r>
        <w:rPr>
          <w:rStyle w:val="Funotenzeichen"/>
        </w:rPr>
        <w:footnoteRef/>
      </w:r>
      <w:r>
        <w:rPr/>
        <w:tab/>
        <w:t>von (aus) Nazaret Guelich vermutet, die Ortsangabe beziehe sich auf den Ursprungsort von Jesu Reise („aus Nazaret“) und sei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Genitivus partitivus,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1380">
    <w:p>
      <w:pPr>
        <w:pStyle w:val="Funote"/>
        <w:rPr/>
      </w:pPr>
      <w:r>
        <w:rPr>
          <w:rStyle w:val="Funotenzeichen"/>
        </w:rPr>
        <w:footnoteRef/>
      </w:r>
      <w:r>
        <w:rPr/>
        <w:tab/>
        <w:t>als … stieg Partizip Präsens aktiv (temporal übersetztes Ptz. conj.).</w:t>
      </w:r>
    </w:p>
  </w:footnote>
  <w:footnote w:id="1381">
    <w:p>
      <w:pPr>
        <w:pStyle w:val="Funote"/>
        <w:rPr/>
      </w:pPr>
      <w:r>
        <w:rPr>
          <w:rStyle w:val="Funotenzeichen"/>
        </w:rPr>
        <w:footnoteRef/>
      </w:r>
      <w:r>
        <w:rPr/>
        <w:tab/>
        <w:t>Gr. im Pl. „die Himmel“</w:t>
      </w:r>
    </w:p>
  </w:footnote>
  <w:footnote w:id="1382">
    <w:p>
      <w:pPr>
        <w:pStyle w:val="Funote"/>
        <w:rPr/>
      </w:pPr>
      <w:r>
        <w:rPr>
          <w:rStyle w:val="Funotenzeichen"/>
        </w:rPr>
        <w:footnoteRef/>
      </w:r>
      <w:r>
        <w:rPr/>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1383">
    <w:p>
      <w:pPr>
        <w:pStyle w:val="Funote"/>
        <w:rPr/>
      </w:pPr>
      <w:r>
        <w:rPr>
          <w:rStyle w:val="Funotenzeichen"/>
        </w:rPr>
        <w:footnoteRef/>
      </w:r>
      <w:r>
        <w:rPr/>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Andere vertreten die Position, dass die Bedeutung „auf“ oder „zu“ für Markus und das ganze NT unüblich wäre (so z.B. Dixon 2009, 771f). Diesem Argument folgen wir mit unserer Übersetzung.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1384">
    <w:p>
      <w:pPr>
        <w:pStyle w:val="Funote"/>
        <w:rPr/>
      </w:pPr>
      <w:r>
        <w:rPr>
          <w:rStyle w:val="Funotenzeichen"/>
        </w:rPr>
        <w:footnoteRef/>
      </w:r>
      <w:r>
        <w:rPr/>
        <w:tab/>
        <w:t>kam (geschah) W. geschah Wieder drückt sich Markus sehr semitisch aus. Im Deutschen ist wieder eine sinngemäße Formulierung nötig. Textkritik: Andere Handschriften lesen „Und eine Stimme wurde gehört“ oder „Und eine Stimme“.</w:t>
      </w:r>
    </w:p>
  </w:footnote>
  <w:footnote w:id="1385">
    <w:p>
      <w:pPr>
        <w:pStyle w:val="Funote"/>
        <w:rPr/>
      </w:pPr>
      <w:r>
        <w:rPr>
          <w:rStyle w:val="Funotenzeichen"/>
        </w:rPr>
        <w:footnoteRef/>
      </w:r>
      <w:r>
        <w:rPr/>
        <w:tab/>
        <w:t>dem Himmel Gr. Pl. „den Himmeln“</w:t>
      </w:r>
    </w:p>
  </w:footnote>
  <w:footnote w:id="1386">
    <w:p>
      <w:pPr>
        <w:pStyle w:val="Funote"/>
        <w:rPr/>
      </w:pPr>
      <w:r>
        <w:rPr>
          <w:rStyle w:val="Funotenzeichen"/>
        </w:rPr>
        <w:footnoteRef/>
      </w:r>
      <w:r>
        <w:rPr/>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1387">
    <w:p>
      <w:pPr>
        <w:pStyle w:val="Funote"/>
        <w:rPr/>
      </w:pPr>
      <w:r>
        <w:rPr>
          <w:rStyle w:val="Funotenzeichen"/>
        </w:rPr>
        <w:footnoteRef/>
      </w:r>
      <w:r>
        <w:rPr/>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1388">
    <w:p>
      <w:pPr>
        <w:pStyle w:val="Funote"/>
        <w:rPr/>
      </w:pPr>
      <w:r>
        <w:rPr>
          <w:rStyle w:val="Funotenzeichen"/>
        </w:rPr>
        <w:footnoteRef/>
      </w:r>
      <w:r>
        <w:rPr/>
        <w:tab/>
        <w:t>und (während/wobei) wurde auf die Probe gestellt Ptz. coni., temporal-modal, als Nebensatz aufgelöst.</w:t>
      </w:r>
    </w:p>
  </w:footnote>
  <w:footnote w:id="1389">
    <w:p>
      <w:pPr>
        <w:pStyle w:val="Funote"/>
        <w:rPr/>
      </w:pPr>
      <w:r>
        <w:rPr>
          <w:rStyle w:val="Funotenzeichen"/>
        </w:rPr>
        <w:footnoteRef/>
      </w:r>
      <w:r>
        <w:rPr/>
        <w:tab/>
        <w:t>verhaftet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w:t>
      </w:r>
    </w:p>
  </w:footnote>
  <w:footnote w:id="1390">
    <w:p>
      <w:pPr>
        <w:pStyle w:val="Funote"/>
        <w:rPr/>
      </w:pPr>
      <w:r>
        <w:rPr>
          <w:rStyle w:val="Funotenzeichen"/>
        </w:rPr>
        <w:footnoteRef/>
      </w:r>
      <w:r>
        <w:rPr/>
        <w:tab/>
        <w:t>verkündete Temporal-modales Ptz. conj. (Partizip Präsens aktiv), durch Beiordnung mit „und“ übersetzt.</w:t>
      </w:r>
    </w:p>
  </w:footnote>
  <w:footnote w:id="1391">
    <w:p>
      <w:pPr>
        <w:pStyle w:val="Funote"/>
        <w:rPr/>
      </w:pPr>
      <w:r>
        <w:rPr>
          <w:rStyle w:val="Funotenzeichen"/>
        </w:rPr>
        <w:footnoteRef/>
      </w:r>
      <w:r>
        <w:rPr/>
        <w:tab/>
        <w:t>Evangelium Gottes Wie in Mk 1,1 (s. die Fußnote dort) ist hier nicht klar zu trennen, ob das Evangelium von Gott initiiert ist oder von Gott handelt. Da der Kontext keine Hinweis zum Verständnis gibt, sind beide Möglichkeiten nicht auszuschließen (vgl. France 2002, 91). Textkritik: Andere Handschriften lesen „Evangelium von der Gottesherrschaft/vom Gottesreich“</w:t>
      </w:r>
    </w:p>
  </w:footnote>
  <w:footnote w:id="1392">
    <w:p>
      <w:pPr>
        <w:pStyle w:val="Funote"/>
        <w:rPr/>
      </w:pPr>
      <w:r>
        <w:rPr>
          <w:rStyle w:val="Funotenzeichen"/>
        </w:rPr>
        <w:footnoteRef/>
      </w:r>
      <w:r>
        <w:rPr/>
        <w:tab/>
        <w:t>sagte Temporal-modales Ptz. conj. (Partizip Präsens aktiv), das durch und mit dem Partizip predigte aus dem letzten Vers verbunden ist und auch so aufgelöst wurde. Die Konstruktion weist die folgende direkte Rede als die Kernbotschaft von Jesu Verkündigung aus.</w:t>
      </w:r>
    </w:p>
  </w:footnote>
  <w:footnote w:id="1393">
    <w:p>
      <w:pPr>
        <w:pStyle w:val="Funote"/>
        <w:rPr/>
      </w:pPr>
      <w:r>
        <w:rPr>
          <w:rStyle w:val="Funotenzeichen"/>
        </w:rPr>
        <w:footnoteRef/>
      </w:r>
      <w:r>
        <w:rPr/>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1394">
    <w:p>
      <w:pPr>
        <w:pStyle w:val="Funote"/>
        <w:rPr/>
      </w:pPr>
      <w:r>
        <w:rPr>
          <w:rStyle w:val="Funotenzeichen"/>
        </w:rPr>
        <w:footnoteRef/>
      </w:r>
      <w:r>
        <w:rPr/>
        <w:tab/>
        <w:t>Zu ergänzen</w:t>
      </w:r>
    </w:p>
  </w:footnote>
  <w:footnote w:id="1395">
    <w:p>
      <w:pPr>
        <w:pStyle w:val="Funote"/>
        <w:rPr/>
      </w:pPr>
      <w:r>
        <w:rPr>
          <w:rStyle w:val="Funotenzeichen"/>
        </w:rPr>
        <w:footnoteRef/>
      </w:r>
      <w:r>
        <w:rPr/>
        <w:tab/>
        <w:t>während … entlangging Ptz. conj. mit temporaler Sinnrichtung (Partizip Präsens aktiv), als Nebensatz mit während übersetzt (ebenfalls möglich: „als, gerade“).</w:t>
      </w:r>
    </w:p>
  </w:footnote>
  <w:footnote w:id="1396">
    <w:p>
      <w:pPr>
        <w:pStyle w:val="Funote"/>
        <w:rPr/>
      </w:pPr>
      <w:r>
        <w:rPr>
          <w:rStyle w:val="Funotenzeichen"/>
        </w:rPr>
        <w:footnoteRef/>
      </w:r>
      <w:r>
        <w:rPr/>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19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1397">
    <w:p>
      <w:pPr>
        <w:pStyle w:val="Funote"/>
        <w:rPr/>
      </w:pPr>
      <w:r>
        <w:rPr>
          <w:rStyle w:val="Funotenzeichen"/>
        </w:rPr>
        <w:footnoteRef/>
      </w:r>
      <w:r>
        <w:rPr/>
        <w:tab/>
        <w:t xml:space="preserve">W. ein AcI,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w:t>
      </w:r>
    </w:p>
  </w:footnote>
  <w:footnote w:id="1398">
    <w:p>
      <w:pPr>
        <w:pStyle w:val="Funote"/>
        <w:rPr/>
      </w:pPr>
      <w:r>
        <w:rPr>
          <w:rStyle w:val="Funotenzeichen"/>
        </w:rPr>
        <w:footnoteRef/>
      </w:r>
      <w:r>
        <w:rPr/>
        <w:tab/>
        <w:t>ließen sie ... und Temporal-modales Ptc. coni., mit „und“ beigeordnet.</w:t>
      </w:r>
    </w:p>
  </w:footnote>
  <w:footnote w:id="1399">
    <w:p>
      <w:pPr>
        <w:pStyle w:val="Funote"/>
        <w:rPr/>
      </w:pPr>
      <w:r>
        <w:rPr>
          <w:rStyle w:val="Funotenzeichen"/>
        </w:rPr>
        <w:footnoteRef/>
      </w:r>
      <w:r>
        <w:rPr/>
        <w:tab/>
        <w:t>nachdem er weitergegangen war Ptc. coni. (Partizip Aorist aktiv), temporal als Nebensatz mit nachdem übersetzt.</w:t>
      </w:r>
    </w:p>
  </w:footnote>
  <w:footnote w:id="1400">
    <w:p>
      <w:pPr>
        <w:pStyle w:val="Funote"/>
        <w:rPr/>
      </w:pPr>
      <w:r>
        <w:rPr>
          <w:rStyle w:val="Funotenzeichen"/>
        </w:rPr>
        <w:footnoteRef/>
      </w:r>
      <w:r>
        <w:rPr/>
        <w:tab/>
        <w:t>sah er …. Auch sie Oder: „sah er, wie auch Jakobus und Johannes im Boot ihre Netze in Ordnung brachten“, was aber irreführend formuliert ist. Es handelt sich wie schon in V. 16 um einen AcP,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1401">
    <w:p>
      <w:pPr>
        <w:pStyle w:val="Funote"/>
        <w:rPr/>
      </w:pPr>
      <w:r>
        <w:rPr>
          <w:rStyle w:val="Funotenzeichen"/>
        </w:rPr>
        <w:footnoteRef/>
      </w:r>
      <w:r>
        <w:rPr/>
        <w:tab/>
        <w:t>gingen W. „gingen weg“.</w:t>
      </w:r>
    </w:p>
  </w:footnote>
  <w:footnote w:id="1402">
    <w:p>
      <w:pPr>
        <w:pStyle w:val="Funote"/>
        <w:rPr/>
      </w:pPr>
      <w:r>
        <w:rPr>
          <w:rStyle w:val="Funotenzeichen"/>
        </w:rPr>
        <w:footnoteRef/>
      </w:r>
      <w:r>
        <w:rPr/>
        <w:tab/>
        <w:t>Dann W. „gleich/sofort“, doch im Markusevangelium hat das Wort häufig den Sinn von „dann“. Es leitet also den nächsten Abschnitt der Handlung ein und soll die Spannung aufrecht erhalten (Guelich 1989, 54; France 2002, 103).</w:t>
      </w:r>
    </w:p>
  </w:footnote>
  <w:footnote w:id="1403">
    <w:p>
      <w:pPr>
        <w:pStyle w:val="Funote"/>
        <w:rPr/>
      </w:pPr>
      <w:r>
        <w:rPr>
          <w:rStyle w:val="Funotenzeichen"/>
        </w:rPr>
        <w:footnoteRef/>
      </w:r>
      <w:r>
        <w:rPr/>
        <w:tab/>
        <w:t>begab er sich … und Ptz. conj. (Ptz. Aor., temporal-modal), durch Beiordnung mit „und“ aufgelöst.</w:t>
      </w:r>
    </w:p>
  </w:footnote>
  <w:footnote w:id="1404">
    <w:p>
      <w:pPr>
        <w:pStyle w:val="Funote"/>
        <w:rPr/>
      </w:pPr>
      <w:r>
        <w:rPr>
          <w:rStyle w:val="Funotenzeichen"/>
        </w:rPr>
        <w:footnoteRef/>
      </w:r>
      <w:r>
        <w:rPr/>
        <w:tab/>
        <w:t xml:space="preserve">begann er in der Synagoge (begab er sich in die Synagoge und begann) zu lehren Textkritik: Die Handschriften haben an dieser Stelle unterschiedliche Lesarten, und auch die wissenschaftlichen Urtext-Ausgaben bevorzugen verschiedene Varianten. NA28 liest zusammen mit den meisten Zeugen </w:t>
      </w:r>
      <w:r>
        <w:rPr>
          <w:lang w:val="el-GR"/>
        </w:rPr>
        <w:t>εἰσελθὼν εἰς τὴν συναγωγὴν ἐδίδασκεν</w:t>
      </w:r>
      <w:r>
        <w:rPr/>
        <w:t xml:space="preserve"> (die Übersetzung in der Klammer). SBLGNT liest dagegen </w:t>
      </w:r>
      <w:r>
        <w:rPr>
          <w:lang w:val="el-GR"/>
        </w:rPr>
        <w:t>ἐδίδασκεν εἰς τὴν συναγωγήν</w:t>
      </w:r>
      <w:r>
        <w:rPr/>
        <w:t>, was der hier gewählten Übersetzung entspricht.</w:t>
      </w:r>
    </w:p>
  </w:footnote>
  <w:footnote w:id="1405">
    <w:p>
      <w:pPr>
        <w:pStyle w:val="Funote"/>
        <w:rPr/>
      </w:pPr>
      <w:r>
        <w:rPr>
          <w:rStyle w:val="Funotenzeichen"/>
        </w:rPr>
        <w:footnoteRef/>
      </w:r>
      <w:r>
        <w:rPr/>
        <w:tab/>
        <w:t>begann ... zu lehren Inchoatives Imperfekt (Siebenthal 2011, §198e).</w:t>
      </w:r>
    </w:p>
  </w:footnote>
  <w:footnote w:id="1406">
    <w:p>
      <w:pPr>
        <w:pStyle w:val="Funote"/>
        <w:rPr/>
      </w:pPr>
      <w:r>
        <w:rPr>
          <w:rStyle w:val="Funotenzeichen"/>
        </w:rPr>
        <w:footnoteRef/>
      </w:r>
      <w:r>
        <w:rPr/>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In Mk 11,18 zeigt sich die Menge „fasziniert“ oder „in Bann geschlagen“ von Jesu Lehre. Zür: „überwältigt“, Menge, EÜ: „(sehr) betroffen“, Luther „sie entsetzten sich“, REB „sie erstaunten sehr“. NGÜ, GNB wie OfBi.</w:t>
      </w:r>
    </w:p>
  </w:footnote>
  <w:footnote w:id="1407">
    <w:p>
      <w:pPr>
        <w:pStyle w:val="Funote"/>
        <w:rPr/>
      </w:pPr>
      <w:r>
        <w:rPr>
          <w:rStyle w:val="Funotenzeichen"/>
        </w:rPr>
        <w:footnoteRef/>
      </w:r>
      <w:r>
        <w:rPr/>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1408">
    <w:p>
      <w:pPr>
        <w:pStyle w:val="Funote"/>
        <w:rPr/>
      </w:pPr>
      <w:r>
        <w:rPr>
          <w:rStyle w:val="Funotenzeichen"/>
        </w:rPr>
        <w:footnoteRef/>
      </w:r>
      <w:r>
        <w:rPr/>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1409">
    <w:p>
      <w:pPr>
        <w:pStyle w:val="Funote"/>
        <w:rPr/>
      </w:pPr>
      <w:r>
        <w:rPr>
          <w:rStyle w:val="Funotenzeichen"/>
        </w:rPr>
        <w:footnoteRef/>
      </w:r>
      <w:r>
        <w:rPr/>
        <w:tab/>
        <w:t>Jesus von Nazaret W. »Jesus [der] Nazarener«. Hier wurde der bekanntere deutsche Name für die Übersetzung gewählt.</w:t>
      </w:r>
    </w:p>
  </w:footnote>
  <w:footnote w:id="1410">
    <w:p>
      <w:pPr>
        <w:pStyle w:val="Funote"/>
        <w:rPr/>
      </w:pPr>
      <w:r>
        <w:rPr>
          <w:rStyle w:val="Funotenzeichen"/>
        </w:rPr>
        <w:footnoteRef/>
      </w:r>
      <w:r>
        <w:rPr/>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1411">
    <w:p>
      <w:pPr>
        <w:pStyle w:val="Funote"/>
        <w:rPr/>
      </w:pPr>
      <w:r>
        <w:rPr>
          <w:rStyle w:val="Funotenzeichen"/>
        </w:rPr>
        <w:footnoteRef/>
      </w:r>
      <w:r>
        <w:rPr/>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1412">
    <w:p>
      <w:pPr>
        <w:pStyle w:val="Funote"/>
        <w:rPr/>
      </w:pPr>
      <w:r>
        <w:rPr>
          <w:rStyle w:val="Funotenzeichen"/>
        </w:rPr>
        <w:footnoteRef/>
      </w:r>
      <w:r>
        <w:rPr/>
        <w:tab/>
        <w:t>nachdem … geschüttelt … geschrien Ptz. conj. (Partizip Aorist aktiv), temporal-modal, hier vorzeitig verstanden und als Nebensatz mit „nachdem“ aufgelöst.</w:t>
      </w:r>
    </w:p>
  </w:footnote>
  <w:footnote w:id="1413">
    <w:p>
      <w:pPr>
        <w:pStyle w:val="Funote"/>
        <w:rPr/>
      </w:pPr>
      <w:r>
        <w:rPr>
          <w:rStyle w:val="Funotenzeichen"/>
        </w:rPr>
        <w:footnoteRef/>
      </w:r>
      <w:r>
        <w:rPr/>
        <w:tab/>
        <w:t>einander fragten Oder „miteinander diskutierten“ (vgl. France 2002, 105). Als elegantere deutsche Formulierung für die gesamte Reaktion der Zuhörer wäre „und sie wussten nicht, was sie davon halten sollten“ eine Möglichkeit.</w:t>
      </w:r>
    </w:p>
  </w:footnote>
  <w:footnote w:id="1414">
    <w:p>
      <w:pPr>
        <w:pStyle w:val="Funote"/>
        <w:rPr/>
      </w:pPr>
      <w:r>
        <w:rPr>
          <w:rStyle w:val="Funotenzeichen"/>
        </w:rPr>
        <w:footnoteRef/>
      </w:r>
      <w:r>
        <w:rPr/>
        <w:tab/>
        <w:t xml:space="preserve">in der ganzen Umgebung, [in ganz] Galiläa (im ganzen Umland von Galiläa) Die Übersetzung hängt davon ab, wie man den Genitiv </w:t>
      </w:r>
      <w:r>
        <w:rPr>
          <w:lang w:val="el-GR"/>
        </w:rPr>
        <w:t>τῆς Γαλιλαίας</w:t>
      </w:r>
      <w:r>
        <w:rPr/>
        <w:t xml:space="preserve"> versteht. Als epexegetischer Genitiv ist „die ganze Umgebung, also Galiläa“ gemeint (bzw. „das ganze Umland [von Kafarnaum], also Galiläa“). Ist der Genitiv attributiv gemeint, nimmt Markus das Umland von Galiläa, also die erweiterte Region, in den Blick (France 2002, 106; Guelich 1989, 54).</w:t>
      </w:r>
    </w:p>
  </w:footnote>
  <w:footnote w:id="1415">
    <w:p>
      <w:pPr>
        <w:pStyle w:val="Funote"/>
        <w:rPr/>
      </w:pPr>
      <w:r>
        <w:rPr>
          <w:rStyle w:val="Funotenzeichen"/>
        </w:rPr>
        <w:footnoteRef/>
      </w:r>
      <w:r>
        <w:rPr/>
        <w:tab/>
        <w:t>dann W. „gleich/sofort“, doch im Markusevangelium hat das Wort häufig den Sinn von „dann“. Es leitet also den nächsten Abschnitt der Handlung ein und soll die Spannung aufrecht erhalten (Guelich 1989, 54; France 2002, 103). Hier könnte das Wort auch das aufgelöste Partizip verließen modifizieren, dann könnte die Übersetzung bspw. lauten: „Und sie verließen die Synagoge gleich darauf und...“</w:t>
      </w:r>
    </w:p>
  </w:footnote>
  <w:footnote w:id="1416">
    <w:p>
      <w:pPr>
        <w:pStyle w:val="Funote"/>
        <w:rPr/>
      </w:pPr>
      <w:r>
        <w:rPr>
          <w:rStyle w:val="Funotenzeichen"/>
        </w:rPr>
        <w:footnoteRef/>
      </w:r>
      <w:r>
        <w:rPr/>
        <w:tab/>
        <w:t>verließen … und Ptz. conj. (Aorist), als temporaler Nebensatz übersetzt. Alternativ mit „als“ oder „nachdem“.</w:t>
      </w:r>
    </w:p>
  </w:footnote>
  <w:footnote w:id="1417">
    <w:p>
      <w:pPr>
        <w:pStyle w:val="Funote"/>
        <w:rPr/>
      </w:pPr>
      <w:r>
        <w:rPr>
          <w:rStyle w:val="Funotenzeichen"/>
        </w:rPr>
        <w:footnoteRef/>
      </w:r>
      <w:r>
        <w:rPr/>
        <w:tab/>
        <w:t>lag mit Fieber [im Bett] ist durativ (Imperfekt). Mit Fieber übersetzt das adv. Ptz.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1418">
    <w:p>
      <w:pPr>
        <w:pStyle w:val="Funote"/>
        <w:rPr/>
      </w:pPr>
      <w:r>
        <w:rPr>
          <w:rStyle w:val="Funotenzeichen"/>
        </w:rPr>
        <w:footnoteRef/>
      </w:r>
      <w:r>
        <w:rPr/>
        <w:tab/>
        <w:t>ging zu … und Beschreibendes Partizip modal-temporaler Sinnrichtung, mit „und“ aufgelöst.</w:t>
      </w:r>
    </w:p>
  </w:footnote>
  <w:footnote w:id="1419">
    <w:p>
      <w:pPr>
        <w:pStyle w:val="Funote"/>
        <w:rPr/>
      </w:pPr>
      <w:r>
        <w:rPr>
          <w:rStyle w:val="Funotenzeichen"/>
        </w:rPr>
        <w:footnoteRef/>
      </w:r>
      <w:r>
        <w:rPr/>
        <w:tab/>
        <w:t>indem er ihre Hand nahm Ptz. conj., modal als Nebensatz mit „indem“ aufgelöst.</w:t>
      </w:r>
    </w:p>
  </w:footnote>
  <w:footnote w:id="1420">
    <w:p>
      <w:pPr>
        <w:pStyle w:val="Funote"/>
        <w:rPr/>
      </w:pPr>
      <w:r>
        <w:rPr>
          <w:rStyle w:val="Funotenzeichen"/>
        </w:rPr>
        <w:footnoteRef/>
      </w:r>
      <w:r>
        <w:rPr/>
        <w:tab/>
        <w:t>begann, sie zu bedienen Vermutlich inchoatives Imperfekt.</w:t>
      </w:r>
    </w:p>
  </w:footnote>
  <w:footnote w:id="1421">
    <w:p>
      <w:pPr>
        <w:pStyle w:val="Funote"/>
        <w:rPr/>
      </w:pPr>
      <w:r>
        <w:rPr>
          <w:rStyle w:val="Funotenzeichen"/>
        </w:rPr>
        <w:footnoteRef/>
      </w:r>
      <w:r>
        <w:rPr/>
        <w:tab/>
        <w:t>Als es Abend geworden war … und Temporales Gen. abs. (Aorist), temporal-vorzeitig übersetzt, wobei der Nebensatz mit „und“ an den folgenden angeschlossen sowie dessen Konjunktion (als) vorgezogen wurde. Die Leute warteten bis zum Abend, um die Sabbatruhe (vgl. V. 21) zu wahren, die bei Sonnenuntergang endete.</w:t>
      </w:r>
    </w:p>
  </w:footnote>
  <w:footnote w:id="1422">
    <w:p>
      <w:pPr>
        <w:pStyle w:val="Funote"/>
        <w:rPr/>
      </w:pPr>
      <w:r>
        <w:rPr>
          <w:rStyle w:val="Funotenzeichen"/>
        </w:rPr>
        <w:footnoteRef/>
      </w:r>
      <w:r>
        <w:rPr/>
        <w:tab/>
        <w:t>brachte (V. 32) / heilte / trieb aus / ließ (V. 34) Das Imperfekt zeigt an, dass es an diesem Abend fortlaufend geschah.</w:t>
      </w:r>
    </w:p>
  </w:footnote>
  <w:footnote w:id="1423">
    <w:p>
      <w:pPr>
        <w:pStyle w:val="Funote"/>
        <w:rPr/>
      </w:pPr>
      <w:r>
        <w:rPr>
          <w:rStyle w:val="Funotenzeichen"/>
        </w:rPr>
        <w:footnoteRef/>
      </w:r>
      <w:r>
        <w:rPr/>
        <w:tab/>
        <w:t>alle Kranke(n) Subst. Ptz.. Oder „alle, denen es schlecht ging“. ELB: „Leidenden“.</w:t>
      </w:r>
    </w:p>
  </w:footnote>
  <w:footnote w:id="1424">
    <w:p>
      <w:pPr>
        <w:pStyle w:val="Funote"/>
        <w:rPr/>
      </w:pPr>
      <w:r>
        <w:rPr>
          <w:rStyle w:val="Funotenzeichen"/>
        </w:rPr>
        <w:footnoteRef/>
      </w:r>
      <w:r>
        <w:rPr/>
        <w:tab/>
        <w:t>früh morgens … ganz dunkel Oder: „sehr früh morgens, [als es noch] dunkel [war]“.</w:t>
      </w:r>
    </w:p>
  </w:footnote>
  <w:footnote w:id="1425">
    <w:p>
      <w:pPr>
        <w:pStyle w:val="Funote"/>
        <w:rPr/>
      </w:pPr>
      <w:r>
        <w:rPr>
          <w:rStyle w:val="Funotenzeichen"/>
        </w:rPr>
        <w:footnoteRef/>
      </w:r>
      <w:r>
        <w:rPr/>
        <w:tab/>
        <w:t>stand er auf Modal-temporales Ptz. conj., hier als Indikativ übersetzt und in die Satzkette eingereiht.</w:t>
      </w:r>
    </w:p>
  </w:footnote>
  <w:footnote w:id="1426">
    <w:p>
      <w:pPr>
        <w:pStyle w:val="Funote"/>
        <w:rPr/>
      </w:pPr>
      <w:r>
        <w:rPr>
          <w:rStyle w:val="Funotenzeichen"/>
        </w:rPr>
        <w:footnoteRef/>
      </w:r>
      <w:r>
        <w:rPr/>
        <w:tab/>
        <w:t>[eine Zeit lang] betete Das Imperfekt zeigt an, dass er eine Weile mit Beten verbrachte – daher die eingefügte Zeitangabe.</w:t>
      </w:r>
    </w:p>
  </w:footnote>
  <w:footnote w:id="1427">
    <w:p>
      <w:pPr>
        <w:pStyle w:val="Funote"/>
        <w:rPr/>
      </w:pPr>
      <w:r>
        <w:rPr>
          <w:rStyle w:val="Funotenzeichen"/>
        </w:rPr>
        <w:footnoteRef/>
      </w:r>
      <w:r>
        <w:rPr/>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1428">
    <w:p>
      <w:pPr>
        <w:pStyle w:val="Funote"/>
        <w:rPr/>
      </w:pPr>
      <w:r>
        <w:rPr>
          <w:rStyle w:val="Funotenzeichen"/>
        </w:rPr>
        <w:footnoteRef/>
      </w:r>
      <w:r>
        <w:rPr/>
        <w:tab/>
        <w:t>und fanden ihn. {und} Sie teilten ihm mit (sagten) {dass}: Oder: „Als sie ihn fanden, teilten sie ihm mit“ (Lut, EÜ, NGÜ).</w:t>
      </w:r>
    </w:p>
  </w:footnote>
  <w:footnote w:id="1429">
    <w:p>
      <w:pPr>
        <w:pStyle w:val="Funote"/>
        <w:rPr/>
      </w:pPr>
      <w:r>
        <w:rPr>
          <w:rStyle w:val="Funotenzeichen"/>
        </w:rPr>
        <w:footnoteRef/>
      </w:r>
      <w:r>
        <w:rPr/>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aber mit dieser Aussage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1430">
    <w:p>
      <w:pPr>
        <w:pStyle w:val="Funote"/>
        <w:rPr/>
      </w:pPr>
      <w:r>
        <w:rPr>
          <w:rStyle w:val="Funotenzeichen"/>
        </w:rPr>
        <w:footnoteRef/>
      </w:r>
      <w:r>
        <w:rPr/>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vermeintlich fehlerhaften Text zu korrigieren.</w:t>
      </w:r>
    </w:p>
  </w:footnote>
  <w:footnote w:id="1431">
    <w:p>
      <w:pPr>
        <w:pStyle w:val="Funote"/>
        <w:rPr/>
      </w:pPr>
      <w:r>
        <w:rPr>
          <w:rStyle w:val="Funotenzeichen"/>
        </w:rPr>
        <w:footnoteRef/>
      </w:r>
      <w:r>
        <w:rPr/>
        <w:tab/>
        <w:t>predigte und trieb aus Temporal-modale Ptz. conj., als Indikative in einer Satzreihe aufgelöst.</w:t>
      </w:r>
    </w:p>
  </w:footnote>
  <w:footnote w:id="1432">
    <w:p>
      <w:pPr>
        <w:pStyle w:val="Funote"/>
        <w:rPr/>
      </w:pPr>
      <w:r>
        <w:rPr>
          <w:rStyle w:val="Funotenzeichen"/>
        </w:rPr>
        <w:footnoteRef/>
      </w:r>
      <w:r>
        <w:rPr/>
        <w:tab/>
        <w:t xml:space="preserve">der anflehte … auf die Knie fiel Zwei modal-temporale Ptz. conj., hier als Relativsatz aufgelöst. Textkritik: In einigen Handschriften (B, D u.a.) fehlt </w:t>
      </w:r>
      <w:r>
        <w:rPr>
          <w:lang w:val="el-GR"/>
        </w:rPr>
        <w:t>καὶ γονυπετῶν (καὶ</w:t>
      </w:r>
      <w:r>
        <w:rPr/>
        <w:t>) und auf die Knie fiel (und).</w:t>
      </w:r>
    </w:p>
  </w:footnote>
  <w:footnote w:id="1433">
    <w:p>
      <w:pPr>
        <w:pStyle w:val="Funote"/>
        <w:rPr/>
      </w:pPr>
      <w:r>
        <w:rPr>
          <w:rStyle w:val="Funotenzeichen"/>
        </w:rPr>
        <w:footnoteRef/>
      </w:r>
      <w:r>
        <w:rPr/>
        <w:tab/>
        <w:t>wobei er ihm zurief Ptz. conj., hier als modaler Nebensatz aufgelöst. Die Übersetzung hängt auch von der textkritischen Entscheidung ab, die in der vorigen Fußnote angesprochen wird.</w:t>
      </w:r>
    </w:p>
  </w:footnote>
  <w:footnote w:id="1434">
    <w:p>
      <w:pPr>
        <w:pStyle w:val="Funote"/>
        <w:rPr/>
      </w:pPr>
      <w:r>
        <w:rPr>
          <w:rStyle w:val="Funotenzeichen"/>
        </w:rPr>
        <w:footnoteRef/>
      </w:r>
      <w:r>
        <w:rPr/>
        <w:tab/>
        <w:t>hatte Mitleid (wurde zornig) Die beiden möglichen Übersetzungen sind auf eine sehr schwierige Variante in der Überlieferung unserer Stelle zurückzuführen. Einzelne antike Handschriften haben die Variante wurde zornig.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Die wissenschaftlichen Urtext-Ausgaben folgen verschiedenen Varianten.</w:t>
      </w:r>
    </w:p>
  </w:footnote>
  <w:footnote w:id="1435">
    <w:p>
      <w:pPr>
        <w:pStyle w:val="Funote"/>
        <w:rPr/>
      </w:pPr>
      <w:r>
        <w:rPr>
          <w:rStyle w:val="Funotenzeichen"/>
        </w:rPr>
        <w:footnoteRef/>
      </w:r>
      <w:r>
        <w:rPr/>
        <w:tab/>
        <w:t>hatte Mitleid, darum Ptz. conj. (modal-temporal oder kausal), hier kausal verstanden, weil dies die folgende Handlung Jesu begründet. Die Auflösung als Nebensatz mit „und“, „weil“ wäre alternativ ebenso möglich wie die Präpositionalphrase „voller Mitleid“. NGÜ: „Von tiefem Mitleid ergriffen“.</w:t>
      </w:r>
    </w:p>
  </w:footnote>
  <w:footnote w:id="1436">
    <w:p>
      <w:pPr>
        <w:pStyle w:val="Funote"/>
        <w:rPr/>
      </w:pPr>
      <w:r>
        <w:rPr>
          <w:rStyle w:val="Funotenzeichen"/>
        </w:rPr>
        <w:footnoteRef/>
      </w:r>
      <w:r>
        <w:rPr/>
        <w:tab/>
        <w:t>streckte aus Ptz. conj. (modal-temporal), hier als Indikativ übersetzt und beigeordnet.</w:t>
      </w:r>
    </w:p>
  </w:footnote>
  <w:footnote w:id="1437">
    <w:p>
      <w:pPr>
        <w:pStyle w:val="Funote"/>
        <w:rPr/>
      </w:pPr>
      <w:r>
        <w:rPr>
          <w:rStyle w:val="Funotenzeichen"/>
        </w:rPr>
        <w:footnoteRef/>
      </w:r>
      <w:r>
        <w:rPr/>
        <w:tab/>
        <w:t xml:space="preserve">ermahnte streng Ptz. conj.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1438">
    <w:p>
      <w:pPr>
        <w:pStyle w:val="Funote"/>
        <w:rPr/>
      </w:pPr>
      <w:r>
        <w:rPr>
          <w:rStyle w:val="Funotenzeichen"/>
        </w:rPr>
        <w:footnoteRef/>
      </w:r>
      <w:r>
        <w:rPr/>
        <w:tab/>
        <w:t>niemandem etwas Im Griechischen eine doppelte Verneinung, welche die Warnung noch schärfer macht.</w:t>
      </w:r>
    </w:p>
  </w:footnote>
  <w:footnote w:id="1439">
    <w:p>
      <w:pPr>
        <w:pStyle w:val="Funote"/>
        <w:rPr/>
      </w:pPr>
      <w:r>
        <w:rPr>
          <w:rStyle w:val="Funotenzeichen"/>
        </w:rPr>
        <w:footnoteRef/>
      </w:r>
      <w:r>
        <w:rPr/>
        <w:tab/>
        <w:t>[für (gegen)] sie Dativus commodi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1440">
    <w:p>
      <w:pPr>
        <w:pStyle w:val="Funote"/>
        <w:rPr/>
      </w:pPr>
      <w:r>
        <w:rPr>
          <w:rStyle w:val="Funotenzeichen"/>
        </w:rPr>
        <w:footnoteRef/>
      </w:r>
      <w:r>
        <w:rPr/>
        <w:tab/>
        <w:t>als der [Mann] hinausging Ptz. conj., temporal-gleichzeitig übersetzt als Nebensatz mit „als“. Denkbar wäre auch „nachdem er hinausgegangen war“ (vorzeitig) oder „er ging hinaus und“.</w:t>
      </w:r>
    </w:p>
  </w:footnote>
  <w:footnote w:id="1441">
    <w:p>
      <w:pPr>
        <w:pStyle w:val="Funote"/>
        <w:rPr/>
      </w:pPr>
      <w:r>
        <w:rPr>
          <w:rStyle w:val="Funotenzeichen"/>
        </w:rPr>
        <w:footnoteRef/>
      </w:r>
      <w:r>
        <w:rPr/>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1442">
    <w:p>
      <w:pPr>
        <w:pStyle w:val="Funote"/>
        <w:rPr/>
      </w:pPr>
      <w:r>
        <w:rPr>
          <w:rStyle w:val="Funotenzeichen"/>
        </w:rPr>
        <w:footnoteRef/>
      </w:r>
      <w:r>
        <w:rPr/>
        <w:tab/>
        <w:t>sich aufhielt ist die sinngemäße Wiedergabe von war.</w:t>
      </w:r>
    </w:p>
  </w:footnote>
  <w:footnote w:id="1443">
    <w:p>
      <w:pPr>
        <w:pStyle w:val="Funote"/>
        <w:rPr/>
      </w:pPr>
      <w:r>
        <w:rPr>
          <w:rStyle w:val="Funotenzeichen"/>
        </w:rPr>
        <w:footnoteRef/>
      </w:r>
      <w:r>
        <w:rPr/>
        <w:tab/>
        <w:t>kamen weiter (begannen zu kommen) Die Übersetzung gibt das Imperfekt durativ/iterativ wieder, die Klammer inchoativ. Beide Deutungen sind denkbar.</w:t>
      </w:r>
    </w:p>
  </w:footnote>
  <w:footnote w:id="1444">
    <w:p>
      <w:pPr>
        <w:pStyle w:val="Funote"/>
        <w:rPr/>
      </w:pPr>
      <w:r>
        <w:rPr>
          <w:rStyle w:val="Funotenzeichen"/>
        </w:rPr>
        <w:footnoteRef/>
      </w:r>
      <w:r>
        <w:rPr/>
        <w:tab/>
        <w:t>[Status: Zuverlässig]</w:t>
      </w:r>
    </w:p>
  </w:footnote>
  <w:footnote w:id="1445">
    <w:p>
      <w:pPr>
        <w:pStyle w:val="Funote"/>
        <w:rPr/>
      </w:pPr>
      <w:r>
        <w:rPr>
          <w:rStyle w:val="Funotenzeichen"/>
        </w:rPr>
        <w:footnoteRef/>
      </w:r>
      <w:r>
        <w:rPr/>
        <w:tab/>
        <w:t>kam Ptz. conj. (Ptz. Aor.), als temporaler Nebensatz (mit „als“) aufgelöst.</w:t>
      </w:r>
    </w:p>
  </w:footnote>
  <w:footnote w:id="1446">
    <w:p>
      <w:pPr>
        <w:pStyle w:val="Funote"/>
        <w:rPr/>
      </w:pPr>
      <w:r>
        <w:rPr>
          <w:rStyle w:val="Funotenzeichen"/>
        </w:rPr>
        <w:footnoteRef/>
      </w:r>
      <w:r>
        <w:rPr/>
        <w:tab/>
        <w:t>wurde bekannt W. „wurde gehört“ Oder: „als er wieder … kam, wurde nach einigen Tagen bekannt“ (Collins 2007, 184).</w:t>
      </w:r>
    </w:p>
  </w:footnote>
  <w:footnote w:id="1447">
    <w:p>
      <w:pPr>
        <w:pStyle w:val="Funote"/>
        <w:rPr/>
      </w:pPr>
      <w:r>
        <w:rPr>
          <w:rStyle w:val="Funotenzeichen"/>
        </w:rPr>
        <w:footnoteRef/>
      </w:r>
      <w:r>
        <w:rPr/>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1448">
    <w:p>
      <w:pPr>
        <w:pStyle w:val="Funote"/>
        <w:rPr/>
      </w:pPr>
      <w:r>
        <w:rPr>
          <w:rStyle w:val="Funotenzeichen"/>
        </w:rPr>
        <w:footnoteRef/>
      </w:r>
      <w:r>
        <w:rPr/>
        <w:tab/>
        <w:t>war W. „ist“.</w:t>
      </w:r>
    </w:p>
  </w:footnote>
  <w:footnote w:id="1449">
    <w:p>
      <w:pPr>
        <w:pStyle w:val="Funote"/>
        <w:rPr/>
      </w:pPr>
      <w:r>
        <w:rPr>
          <w:rStyle w:val="Funotenzeichen"/>
        </w:rPr>
        <w:footnoteRef/>
      </w:r>
      <w:r>
        <w:rPr/>
        <w:tab/>
        <w:t>er erläuterte [ihnen] seine Botschaft W. „sprach das Wort (zu) ihnen“ (Imperfekt).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Imperfekt.</w:t>
      </w:r>
    </w:p>
  </w:footnote>
  <w:footnote w:id="1450">
    <w:p>
      <w:pPr>
        <w:pStyle w:val="Funote"/>
        <w:rPr/>
      </w:pPr>
      <w:r>
        <w:rPr>
          <w:rStyle w:val="Funotenzeichen"/>
        </w:rPr>
        <w:footnoteRef/>
      </w:r>
      <w:r>
        <w:rPr/>
        <w:tab/>
        <w:t>kamen Historisches Präsens.</w:t>
      </w:r>
    </w:p>
  </w:footnote>
  <w:footnote w:id="1451">
    <w:p>
      <w:pPr>
        <w:pStyle w:val="Funote"/>
        <w:rPr/>
      </w:pPr>
      <w:r>
        <w:rPr>
          <w:rStyle w:val="Funotenzeichen"/>
        </w:rPr>
        <w:footnoteRef/>
      </w:r>
      <w:r>
        <w:rPr/>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1452">
    <w:p>
      <w:pPr>
        <w:pStyle w:val="Funote"/>
        <w:rPr/>
      </w:pPr>
      <w:r>
        <w:rPr>
          <w:rStyle w:val="Funotenzeichen"/>
        </w:rPr>
        <w:footnoteRef/>
      </w:r>
      <w:r>
        <w:rPr/>
        <w:tab/>
        <w:t>Er wurde getragen Attributives Partizip, als unabhängiger Hauptsatz aufgelöst. Auch ein Relativsatz wäre möglich („der getragen wurde“).</w:t>
      </w:r>
    </w:p>
  </w:footnote>
  <w:footnote w:id="1453">
    <w:p>
      <w:pPr>
        <w:pStyle w:val="Funote"/>
        <w:rPr/>
      </w:pPr>
      <w:r>
        <w:rPr>
          <w:rStyle w:val="Funotenzeichen"/>
        </w:rPr>
        <w:footnoteRef/>
      </w:r>
      <w:r>
        <w:rPr/>
        <w:tab/>
        <w:t>weil (als) es ihnen nicht gelang Kausal oder temporal zu verstehendes Ptz. conj. (Ptz. Präs.), als Nebensatz mit „weil“ aufgelöst. NSS, NGÜ: „weil sie nicht zu Jesus durchkamen“.</w:t>
      </w:r>
    </w:p>
  </w:footnote>
  <w:footnote w:id="1454">
    <w:p>
      <w:pPr>
        <w:pStyle w:val="Funote"/>
        <w:rPr/>
      </w:pPr>
      <w:r>
        <w:rPr>
          <w:rStyle w:val="Funotenzeichen"/>
        </w:rPr>
        <w:footnoteRef/>
      </w:r>
      <w:r>
        <w:rPr/>
        <w:tab/>
        <w:t>ließen Historisches Präsens.</w:t>
      </w:r>
    </w:p>
  </w:footnote>
  <w:footnote w:id="1455">
    <w:p>
      <w:pPr>
        <w:pStyle w:val="Funote"/>
        <w:rPr/>
      </w:pPr>
      <w:r>
        <w:rPr>
          <w:rStyle w:val="Funotenzeichen"/>
        </w:rPr>
        <w:footnoteRef/>
      </w:r>
      <w:r>
        <w:rPr/>
        <w:tab/>
        <w:t xml:space="preserve">nachdem sie eine [entsprechende] Öffnung geschaffen hatten Ptz. conj.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genügend große Öffnung da war, ließen sie den Mann herab (so Guelich 1989, 85 und die meisten Übersetzungen). Eine andere Deutung geht von drei Schritten aus: 1. Die Männer deckten das Dach, d.h. die äußere Schicht ab. 2. Dann brachen sie durch das Holz- und Lehmwerk, das sich darunter befand und die Decke bildete. 3. Anschließend ließen sie den Mann hinab (so GNB, ZÜR).</w:t>
      </w:r>
    </w:p>
  </w:footnote>
  <w:footnote w:id="1456">
    <w:p>
      <w:pPr>
        <w:pStyle w:val="Funote"/>
        <w:rPr/>
      </w:pPr>
      <w:r>
        <w:rPr>
          <w:rStyle w:val="Funotenzeichen"/>
        </w:rPr>
        <w:footnoteRef/>
      </w:r>
      <w:r>
        <w:rPr/>
        <w:tab/>
        <w:t>als … sah Als temporaler NS aufgelöstes Ptz. conj. (Ptz. Aor.). Markus formuliert hier metonymisch (Wirkung für Ursache), denn Jesus sieht natürlich nicht die Gesinnung der Männer, sondern deren Ergebnis. Daher übersetzt ZÜR: „Als Jesus nun ihren Glauben erkannte“.</w:t>
      </w:r>
    </w:p>
  </w:footnote>
  <w:footnote w:id="1457">
    <w:p>
      <w:pPr>
        <w:pStyle w:val="Funote"/>
        <w:rPr/>
      </w:pPr>
      <w:r>
        <w:rPr>
          <w:rStyle w:val="Funotenzeichen"/>
        </w:rPr>
        <w:footnoteRef/>
      </w:r>
      <w:r>
        <w:rPr/>
        <w:tab/>
        <w:t>sagte Historisches Präsens.</w:t>
      </w:r>
    </w:p>
  </w:footnote>
  <w:footnote w:id="1458">
    <w:p>
      <w:pPr>
        <w:pStyle w:val="Funote"/>
        <w:rPr/>
      </w:pPr>
      <w:r>
        <w:rPr>
          <w:rStyle w:val="Funotenzeichen"/>
        </w:rPr>
        <w:footnoteRef/>
      </w:r>
      <w:r>
        <w:rPr/>
        <w:tab/>
        <w:t xml:space="preserve">dabeisaßen und setzten sich [mit Jesu Worten] auseinander </w:t>
      </w:r>
      <w:r>
        <w:rPr>
          <w:lang w:val="el-GR"/>
        </w:rPr>
        <w:t>ἦσαν</w:t>
      </w:r>
      <w:r>
        <w:rPr/>
        <w:t xml:space="preserve"> + Partizip umschreibt das Imperfekt (Umschreibende Konjugation, Bauer zu </w:t>
      </w:r>
      <w:r>
        <w:rPr>
          <w:lang w:val="el-GR"/>
        </w:rPr>
        <w:t>ειμι</w:t>
      </w:r>
      <w:r>
        <w:rPr/>
        <w:t>, BDR §353). Hier kommt durch den durativen Aspekt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1459">
    <w:p>
      <w:pPr>
        <w:pStyle w:val="Funote"/>
        <w:rPr/>
      </w:pPr>
      <w:r>
        <w:rPr>
          <w:rStyle w:val="Funotenzeichen"/>
        </w:rPr>
        <w:footnoteRef/>
      </w:r>
      <w:r>
        <w:rPr/>
        <w:tab/>
        <w:t>in Gedanken W. „in ihren Herzen“. In der damaligen Kultur galt das Herz als der denkende und fühlende Körperteil. Noch schöner wäre die Formulierung „gedanklich“.</w:t>
      </w:r>
    </w:p>
  </w:footnote>
  <w:footnote w:id="1460">
    <w:p>
      <w:pPr>
        <w:pStyle w:val="Funote"/>
        <w:rPr/>
      </w:pPr>
      <w:r>
        <w:rPr>
          <w:rStyle w:val="Funotenzeichen"/>
        </w:rPr>
        <w:footnoteRef/>
      </w:r>
      <w:r>
        <w:rPr/>
        <w:tab/>
        <w:t>erkannte … darum Ptz. conj. (Ptz. Aor., temporal-kausal), hier – mit sofort – gleichzeitig verstanden, wobei darum auf den kausalen Sinn hinweist. Vorzeitig: „Jesus hatte sofort erkannt“ (vgl. NGÜ).</w:t>
      </w:r>
    </w:p>
  </w:footnote>
  <w:footnote w:id="1461">
    <w:p>
      <w:pPr>
        <w:pStyle w:val="Funote"/>
        <w:rPr/>
      </w:pPr>
      <w:r>
        <w:rPr>
          <w:rStyle w:val="Funotenzeichen"/>
        </w:rPr>
        <w:footnoteRef/>
      </w:r>
      <w:r>
        <w:rPr/>
        <w:tab/>
        <w:t>in seinem Geist Die Formulierung spielt vielleicht einfach auf den kognitiven Prozess an wie {bei sich} (V. 8) und „in ihren Herzen“ (siehe Fußnoten zu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1462">
    <w:p>
      <w:pPr>
        <w:pStyle w:val="Funote"/>
        <w:rPr/>
      </w:pPr>
      <w:r>
        <w:rPr>
          <w:rStyle w:val="Funotenzeichen"/>
        </w:rPr>
        <w:footnoteRef/>
      </w:r>
      <w:r>
        <w:rPr/>
        <w:tab/>
        <w:t>sagte Historisches Präsens.</w:t>
      </w:r>
    </w:p>
  </w:footnote>
  <w:footnote w:id="1463">
    <w:p>
      <w:pPr>
        <w:pStyle w:val="Funote"/>
        <w:rPr/>
      </w:pPr>
      <w:r>
        <w:rPr>
          <w:rStyle w:val="Funotenzeichen"/>
        </w:rPr>
        <w:footnoteRef/>
      </w:r>
      <w:r>
        <w:rPr/>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1464">
    <w:p>
      <w:pPr>
        <w:pStyle w:val="Funote"/>
        <w:rPr/>
      </w:pPr>
      <w:r>
        <w:rPr>
          <w:rStyle w:val="Funotenzeichen"/>
        </w:rPr>
        <w:footnoteRef/>
      </w:r>
      <w:r>
        <w:rPr/>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1465">
    <w:p>
      <w:pPr>
        <w:pStyle w:val="Funote"/>
        <w:rPr/>
      </w:pPr>
      <w:r>
        <w:rPr>
          <w:rStyle w:val="Funotenzeichen"/>
        </w:rPr>
        <w:footnoteRef/>
      </w:r>
      <w:r>
        <w:rPr/>
        <w:tab/>
        <w:t>nach Hause Oder »in dein Haus«</w:t>
      </w:r>
    </w:p>
  </w:footnote>
  <w:footnote w:id="1466">
    <w:p>
      <w:pPr>
        <w:pStyle w:val="Funote"/>
        <w:rPr/>
      </w:pPr>
      <w:r>
        <w:rPr>
          <w:rStyle w:val="Funotenzeichen"/>
        </w:rPr>
        <w:footnoteRef/>
      </w:r>
      <w:r>
        <w:rPr/>
        <w:tab/>
        <w:t>hob auf Temporal-modales Ptz. conj., beigeordnet.</w:t>
      </w:r>
    </w:p>
  </w:footnote>
  <w:footnote w:id="1467">
    <w:p>
      <w:pPr>
        <w:pStyle w:val="Funote"/>
        <w:rPr/>
      </w:pPr>
      <w:r>
        <w:rPr>
          <w:rStyle w:val="Funotenzeichen"/>
        </w:rPr>
        <w:footnoteRef/>
      </w:r>
      <w:r>
        <w:rPr/>
        <w:tab/>
        <w:t>Sie riefen Ptz. conj. (modal-temporal), vielleicht pleonastisch. Hier als separater Hauptsatz übersetzt.</w:t>
      </w:r>
    </w:p>
  </w:footnote>
  <w:footnote w:id="1468">
    <w:p>
      <w:pPr>
        <w:pStyle w:val="Funote"/>
        <w:rPr/>
      </w:pPr>
      <w:r>
        <w:rPr>
          <w:rStyle w:val="Funotenzeichen"/>
        </w:rPr>
        <w:footnoteRef/>
      </w:r>
      <w:r>
        <w:rPr/>
        <w:tab/>
        <w:t>ging hinaus Jesus verließ das Haus und die Stadt Kafarnaum, wo er sich gerade aufhielt (Mk 2,1).</w:t>
      </w:r>
    </w:p>
  </w:footnote>
  <w:footnote w:id="1469">
    <w:p>
      <w:pPr>
        <w:pStyle w:val="Funote"/>
        <w:rPr/>
      </w:pPr>
      <w:r>
        <w:rPr>
          <w:rStyle w:val="Funotenzeichen"/>
        </w:rPr>
        <w:footnoteRef/>
      </w:r>
      <w:r>
        <w:rPr/>
        <w:tab/>
        <w:t>Meer Gemeint ist der See Gennesaret (bei Markus: „Meer von Galiläa“, vgl. 1,16), an dessen Ufer Kafarnaum lag. Wer Markus von Anfang an liest, stellt diesen Bezug hier mühelos her.</w:t>
      </w:r>
    </w:p>
  </w:footnote>
  <w:footnote w:id="1470">
    <w:p>
      <w:pPr>
        <w:pStyle w:val="Funote"/>
        <w:rPr/>
      </w:pPr>
      <w:r>
        <w:rPr>
          <w:rStyle w:val="Funotenzeichen"/>
        </w:rPr>
        <w:footnoteRef/>
      </w:r>
      <w:r>
        <w:rPr/>
        <w:tab/>
        <w:t>kam und lehrte Das Imperfekt beschreibt passend die beiden andauernden Prozesse: Das Zusammenkommen einer Menschenmenge und Jesu Lehren.</w:t>
      </w:r>
    </w:p>
  </w:footnote>
  <w:footnote w:id="1471">
    <w:p>
      <w:pPr>
        <w:pStyle w:val="Funote"/>
        <w:rPr/>
      </w:pPr>
      <w:r>
        <w:rPr>
          <w:rStyle w:val="Funotenzeichen"/>
        </w:rPr>
        <w:footnoteRef/>
      </w:r>
      <w:r>
        <w:rPr/>
        <w:tab/>
        <w:t>im Vorbeigehen Ptz. conj. (temporal), hier als Präpositionalphrase übersetzt. Auch möglich: „als/während er vorbeiging“</w:t>
      </w:r>
    </w:p>
  </w:footnote>
  <w:footnote w:id="1472">
    <w:p>
      <w:pPr>
        <w:pStyle w:val="Funote"/>
        <w:rPr/>
      </w:pPr>
      <w:r>
        <w:rPr>
          <w:rStyle w:val="Funotenzeichen"/>
        </w:rPr>
        <w:footnoteRef/>
      </w:r>
      <w:r>
        <w:rPr/>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1473">
    <w:p>
      <w:pPr>
        <w:pStyle w:val="Funote"/>
        <w:rPr/>
      </w:pPr>
      <w:r>
        <w:rPr>
          <w:rStyle w:val="Funotenzeichen"/>
        </w:rPr>
        <w:footnoteRef/>
      </w:r>
      <w:r>
        <w:rPr/>
        <w:tab/>
        <w:t>sah … sitzen AcP, mit Infinitiv aufgelöst.</w:t>
      </w:r>
    </w:p>
  </w:footnote>
  <w:footnote w:id="1474">
    <w:p>
      <w:pPr>
        <w:pStyle w:val="Funote"/>
        <w:rPr/>
      </w:pPr>
      <w:r>
        <w:rPr>
          <w:rStyle w:val="Funotenzeichen"/>
        </w:rPr>
        <w:footnoteRef/>
      </w:r>
      <w:r>
        <w:rPr/>
        <w:tab/>
        <w:t>„</w:t>
      </w:r>
      <w:r>
        <w:rPr/>
        <w:t>Folge mir nach!“ Etwas freier vielleicht auch „Schließe dich mir an!“ Vgl. Mk 1,16-20.</w:t>
      </w:r>
    </w:p>
  </w:footnote>
  <w:footnote w:id="1475">
    <w:p>
      <w:pPr>
        <w:pStyle w:val="Funote"/>
        <w:rPr/>
      </w:pPr>
      <w:r>
        <w:rPr>
          <w:rStyle w:val="Funotenzeichen"/>
        </w:rPr>
        <w:footnoteRef/>
      </w:r>
      <w:r>
        <w:rPr/>
        <w:tab/>
        <w:t>stand auf Beschreibendes Partizip (Aorist).</w:t>
      </w:r>
    </w:p>
  </w:footnote>
  <w:footnote w:id="1476">
    <w:p>
      <w:pPr>
        <w:pStyle w:val="Funote"/>
        <w:rPr/>
      </w:pPr>
      <w:r>
        <w:rPr>
          <w:rStyle w:val="Funotenzeichen"/>
        </w:rPr>
        <w:footnoteRef/>
      </w:r>
      <w:r>
        <w:rPr/>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1477">
    <w:p>
      <w:pPr>
        <w:pStyle w:val="Funote"/>
        <w:rPr/>
      </w:pPr>
      <w:r>
        <w:rPr>
          <w:rStyle w:val="Funotenzeichen"/>
        </w:rPr>
        <w:footnoteRef/>
      </w:r>
      <w:r>
        <w:rPr/>
        <w:tab/>
        <w:t>in seinem Haus Markus meint wohl Levis Haus, in das Jesus eingeladen ist (so auch Lk 5,29), doch es könnte sich aber auch um Jesu Haus (Mk 2,1) handeln, in dem Levi zu Gast ist.</w:t>
      </w:r>
    </w:p>
  </w:footnote>
  <w:footnote w:id="1478">
    <w:p>
      <w:pPr>
        <w:pStyle w:val="Funote"/>
        <w:rPr/>
      </w:pPr>
      <w:r>
        <w:rPr>
          <w:rStyle w:val="Funotenzeichen"/>
        </w:rPr>
        <w:footnoteRef/>
      </w:r>
      <w:r>
        <w:rPr/>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1479">
    <w:p>
      <w:pPr>
        <w:pStyle w:val="Funote"/>
        <w:rPr/>
      </w:pPr>
      <w:r>
        <w:rPr>
          <w:rStyle w:val="Funotenzeichen"/>
        </w:rPr>
        <w:footnoteRef/>
      </w:r>
      <w:r>
        <w:rPr/>
        <w:tab/>
        <w:t>nahmen an der Mahlzeit teil ist die Übersetzung des Prädikats (wie nachfolgten Imperfekt).</w:t>
      </w:r>
    </w:p>
  </w:footnote>
  <w:footnote w:id="1480">
    <w:p>
      <w:pPr>
        <w:pStyle w:val="Funote"/>
        <w:rPr/>
      </w:pPr>
      <w:r>
        <w:rPr>
          <w:rStyle w:val="Funotenzeichen"/>
        </w:rPr>
        <w:footnoteRef/>
      </w:r>
      <w:r>
        <w:rPr/>
        <w:tab/>
        <w:t xml:space="preserve">die Eigentlich „und“, </w:t>
      </w:r>
      <w:r>
        <w:rPr>
          <w:lang w:val="el-GR"/>
        </w:rPr>
        <w:t>καὶ</w:t>
      </w:r>
      <w:r>
        <w:rPr/>
        <w:t xml:space="preserve"> kann aber auch in der Funktion eines Relativpronomens genutzt werden (BDR §442.4).</w:t>
      </w:r>
    </w:p>
  </w:footnote>
  <w:footnote w:id="1481">
    <w:p>
      <w:pPr>
        <w:pStyle w:val="Funote"/>
        <w:rPr/>
      </w:pPr>
      <w:r>
        <w:rPr>
          <w:rStyle w:val="Funotenzeichen"/>
        </w:rPr>
        <w:footnoteRef/>
      </w:r>
      <w:r>
        <w:rPr/>
        <w:tab/>
        <w:t>die Schriftgelehrten der Pharisäer (Gen. part.), der Genitiv zeigt Parteizugehörigkeit an. Nicht alle Pharisäer waren Schriftgelehrte, und nicht alle Schriftgelehrten waren Pharisäer – gemeint sind also die pharisäischen Schriftgelehrten.</w:t>
      </w:r>
    </w:p>
  </w:footnote>
  <w:footnote w:id="1482">
    <w:p>
      <w:pPr>
        <w:pStyle w:val="Funote"/>
        <w:rPr/>
      </w:pPr>
      <w:r>
        <w:rPr>
          <w:rStyle w:val="Funotenzeichen"/>
        </w:rPr>
        <w:footnoteRef/>
      </w:r>
      <w:r>
        <w:rPr/>
        <w:tab/>
        <w:t>als … sahen Ptz. conj. (Aorist), als temporaler Nebensatz aufgelöst.</w:t>
      </w:r>
    </w:p>
  </w:footnote>
  <w:footnote w:id="1483">
    <w:p>
      <w:pPr>
        <w:pStyle w:val="Funote"/>
        <w:rPr/>
      </w:pPr>
      <w:r>
        <w:rPr>
          <w:rStyle w:val="Funotenzeichen"/>
        </w:rPr>
        <w:footnoteRef/>
      </w:r>
      <w:r>
        <w:rPr/>
        <w:tab/>
        <w:t>aß W. „isst“</w:t>
      </w:r>
    </w:p>
  </w:footnote>
  <w:footnote w:id="1484">
    <w:p>
      <w:pPr>
        <w:pStyle w:val="Funote"/>
        <w:rPr/>
      </w:pPr>
      <w:r>
        <w:rPr>
          <w:rStyle w:val="Funotenzeichen"/>
        </w:rPr>
        <w:footnoteRef/>
      </w:r>
      <w:r>
        <w:rPr/>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w:t>
      </w:r>
      <w:r>
        <w:rPr>
          <w:lang w:val="el-GR"/>
        </w:rPr>
        <w:t>ὅτι</w:t>
      </w:r>
      <w:r>
        <w:rPr/>
        <w:t xml:space="preserve"> recitativum sein, die Frage lautet dann nur: »Er ist mit Zolleinnehmern und Sündern?(!)« 3. Schließlich könnte es sich auch um einen Teil der Frage bzw. des Ausrufs handeln: »Dass er mit Zolleinnehmern und Sündern isst!« (France 2002, 134)</w:t>
      </w:r>
    </w:p>
  </w:footnote>
  <w:footnote w:id="1485">
    <w:p>
      <w:pPr>
        <w:pStyle w:val="Funote"/>
        <w:rPr/>
      </w:pPr>
      <w:r>
        <w:rPr>
          <w:rStyle w:val="Funotenzeichen"/>
        </w:rPr>
        <w:footnoteRef/>
      </w:r>
      <w:r>
        <w:rPr/>
        <w:tab/>
        <w:t>als … hörte Ptz. conj., temporal als Nebensatz mit „als“ aufgelöst.</w:t>
      </w:r>
    </w:p>
  </w:footnote>
  <w:footnote w:id="1486">
    <w:p>
      <w:pPr>
        <w:pStyle w:val="Funote"/>
        <w:rPr/>
      </w:pPr>
      <w:r>
        <w:rPr>
          <w:rStyle w:val="Funotenzeichen"/>
        </w:rPr>
        <w:footnoteRef/>
      </w:r>
      <w:r>
        <w:rPr/>
        <w:tab/>
        <w:t xml:space="preserve">{dass}: Das </w:t>
      </w:r>
      <w:r>
        <w:rPr>
          <w:lang w:val="el-GR"/>
        </w:rPr>
        <w:t>ὅτι</w:t>
      </w:r>
      <w:r>
        <w:rPr/>
        <w:t xml:space="preserve"> recitativum übersetzt man am besten als Doppelpunkt.</w:t>
      </w:r>
    </w:p>
  </w:footnote>
  <w:footnote w:id="1487">
    <w:p>
      <w:pPr>
        <w:pStyle w:val="Funote"/>
        <w:rPr/>
      </w:pPr>
      <w:r>
        <w:rPr>
          <w:rStyle w:val="Funotenzeichen"/>
        </w:rPr>
        <w:footnoteRef/>
      </w:r>
      <w:r>
        <w:rPr/>
        <w:tab/>
        <w:t>die, denen es schlecht geht Subst. Ptz., als Relativsatz aufgelöst. die Kranken ist eine geläufige Übersetzung dieser Wendung, die wir auch Mk 1,32.34 und 6,55 verwenden.</w:t>
      </w:r>
    </w:p>
  </w:footnote>
  <w:footnote w:id="1488">
    <w:p>
      <w:pPr>
        <w:pStyle w:val="Funote"/>
        <w:rPr/>
      </w:pPr>
      <w:r>
        <w:rPr>
          <w:rStyle w:val="Funotenzeichen"/>
        </w:rPr>
        <w:footnoteRef/>
      </w:r>
      <w:r>
        <w:rPr/>
        <w:tab/>
        <w:t xml:space="preserve">hatten die Angewohnheit, regelmäßig zu fasten </w:t>
      </w:r>
      <w:r>
        <w:rPr>
          <w:lang w:val="el-GR"/>
        </w:rPr>
        <w:t>ἦσαν</w:t>
      </w:r>
      <w:r>
        <w:rPr/>
        <w:t xml:space="preserve"> + Partizip präs. umschreibt das Imperfekt (Umschreibende Konjugation,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1489">
    <w:p>
      <w:pPr>
        <w:pStyle w:val="Funote"/>
        <w:rPr/>
      </w:pPr>
      <w:r>
        <w:rPr>
          <w:rStyle w:val="Funotenzeichen"/>
        </w:rPr>
        <w:footnoteRef/>
      </w:r>
      <w:r>
        <w:rPr/>
        <w:tab/>
        <w:t>kamen und fragten Historisches Präsens.</w:t>
      </w:r>
    </w:p>
  </w:footnote>
  <w:footnote w:id="1490">
    <w:p>
      <w:pPr>
        <w:pStyle w:val="Funote"/>
        <w:rPr/>
      </w:pPr>
      <w:r>
        <w:rPr>
          <w:rStyle w:val="Funotenzeichen"/>
        </w:rPr>
        <w:footnoteRef/>
      </w:r>
      <w:r>
        <w:rPr/>
        <w:tab/>
        <w:t>Jünger der Pharisäer Da es bei den Pharisäern keine Jünger gab (die Formulierung aber aus rhetorischen Gründen zum Einsatz kommt; France 2002, 138), wäre in diesem Vers die durchgängige Übersetzung »Anhänger« vielleicht passender.</w:t>
      </w:r>
    </w:p>
  </w:footnote>
  <w:footnote w:id="1491">
    <w:p>
      <w:pPr>
        <w:pStyle w:val="Funote"/>
        <w:rPr/>
      </w:pPr>
      <w:r>
        <w:rPr>
          <w:rStyle w:val="Funotenzeichen"/>
        </w:rPr>
        <w:footnoteRef/>
      </w:r>
      <w:r>
        <w:rPr/>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1492">
    <w:p>
      <w:pPr>
        <w:pStyle w:val="Funote"/>
        <w:rPr/>
      </w:pPr>
      <w:r>
        <w:rPr>
          <w:rStyle w:val="Funotenzeichen"/>
        </w:rPr>
        <w:footnoteRef/>
      </w:r>
      <w:r>
        <w:rPr/>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1493">
    <w:p>
      <w:pPr>
        <w:pStyle w:val="Funote"/>
        <w:rPr/>
      </w:pPr>
      <w:r>
        <w:rPr>
          <w:rStyle w:val="Funotenzeichen"/>
        </w:rPr>
        <w:footnoteRef/>
      </w:r>
      <w:r>
        <w:rPr/>
        <w:tab/>
        <w:t>Tage/Tag Wie im AT häufig stehen hier Tage, wo man auf Deutsch »(eine) Zeit« sagen würde.</w:t>
      </w:r>
    </w:p>
  </w:footnote>
  <w:footnote w:id="1494">
    <w:p>
      <w:pPr>
        <w:pStyle w:val="Funote"/>
        <w:rPr/>
      </w:pPr>
      <w:r>
        <w:rPr>
          <w:rStyle w:val="Funotenzeichen"/>
        </w:rPr>
        <w:footnoteRef/>
      </w:r>
      <w:r>
        <w:rPr/>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Gen. materiae.</w:t>
      </w:r>
    </w:p>
  </w:footnote>
  <w:footnote w:id="1495">
    <w:p>
      <w:pPr>
        <w:pStyle w:val="Funote"/>
        <w:rPr/>
      </w:pPr>
      <w:r>
        <w:rPr>
          <w:rStyle w:val="Funotenzeichen"/>
        </w:rPr>
        <w:footnoteRef/>
      </w:r>
      <w:r>
        <w:rPr/>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1496">
    <w:p>
      <w:pPr>
        <w:pStyle w:val="Funote"/>
        <w:rPr/>
      </w:pPr>
      <w:r>
        <w:rPr>
          <w:rStyle w:val="Funotenzeichen"/>
        </w:rPr>
        <w:footnoteRef/>
      </w:r>
      <w:r>
        <w:rPr/>
        <w:tab/>
        <w:t xml:space="preserve">{Und es ereignete sich} [Einmal, als] </w:t>
      </w:r>
      <w:r>
        <w:rPr>
          <w:lang w:val="el-GR"/>
        </w:rPr>
        <w:t>ἐγένετο</w:t>
      </w:r>
      <w:r>
        <w:rPr/>
        <w:t xml:space="preserve"> „es ereignete sich“ + AcI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497">
    <w:p>
      <w:pPr>
        <w:pStyle w:val="Funote"/>
        <w:rPr/>
      </w:pPr>
      <w:r>
        <w:rPr>
          <w:rStyle w:val="Funotenzeichen"/>
        </w:rPr>
        <w:footnoteRef/>
      </w:r>
      <w:r>
        <w:rPr/>
        <w:tab/>
        <w:t xml:space="preserve">fingen seine Jünger an, unterwegs {die} Ähren abzureißen Impliziert ist die weitere Information: „und zu essen“ (vgl. NGÜ), wie die Parallestellen Mt 12,1 und Lk 6,1 verdeutlichen. W. „fingen seine Jünger an, [sich] einen Weg zu bahnen, wobei (indem) sie Ähren abrissen.“ Was genau die Jünger taten, wird erst auf den zweiten Blick klar. Man erhält zunächst den Eindruck, dass die Jünger sich einen Weg durch das Feld bahnten, nicht indem sie die Halme flachtraten, sondern indem sie sie einzeln abrissen!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 §339 Fn 5; NSS). Die wörtliche Übersetzung müsste also etwa so lauten: „während sie [sich] einen Weg bahnten, begannen sie, Ähren abzureißen.“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1498">
    <w:p>
      <w:pPr>
        <w:pStyle w:val="Funote"/>
        <w:rPr/>
      </w:pPr>
      <w:r>
        <w:rPr>
          <w:rStyle w:val="Funotenzeichen"/>
        </w:rPr>
        <w:footnoteRef/>
      </w:r>
      <w:r>
        <w:rPr/>
        <w:tab/>
        <w:t>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unabsichtliches Brechen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1499">
    <w:p>
      <w:pPr>
        <w:pStyle w:val="Funote"/>
        <w:rPr/>
      </w:pPr>
      <w:r>
        <w:rPr>
          <w:rStyle w:val="Funotenzeichen"/>
        </w:rPr>
        <w:footnoteRef/>
      </w:r>
      <w:r>
        <w:rPr/>
        <w:tab/>
        <w:t>in einer Notlage war ([nichts zu essen] hatte) W. »Mangel hatte/litt«. In heutigem Deutsch müssen wir entweder etwas allgemeiner (wie vor der Klammer) oder spezifischer (wie in der Klammer) formulieren. Zu unserer Übersetzung vgl. LUT, ELB, ZÜR, MEN.</w:t>
      </w:r>
    </w:p>
  </w:footnote>
  <w:footnote w:id="1500">
    <w:p>
      <w:pPr>
        <w:pStyle w:val="Funote"/>
        <w:rPr/>
      </w:pPr>
      <w:r>
        <w:rPr>
          <w:rStyle w:val="Funotenzeichen"/>
        </w:rPr>
        <w:footnoteRef/>
      </w:r>
      <w:r>
        <w:rPr/>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1501">
    <w:p>
      <w:pPr>
        <w:pStyle w:val="Funote"/>
        <w:rPr/>
      </w:pPr>
      <w:r>
        <w:rPr>
          <w:rStyle w:val="Funotenzeichen"/>
        </w:rPr>
        <w:footnoteRef/>
      </w:r>
      <w:r>
        <w:rPr/>
        <w:tab/>
        <w:t>geweihte Brote W. etwa »Brote der Ausstellung« (appositiver Genitiv), also zu Deutsch »die ausgestellten Brote«. Jesus benutzt hier den Begriff aus der LXX für die aus dem AT bekannten »geweihten Brote« oder »Schaubrote« (NSS).</w:t>
      </w:r>
    </w:p>
  </w:footnote>
  <w:footnote w:id="1502">
    <w:p>
      <w:pPr>
        <w:pStyle w:val="Funote"/>
        <w:rPr/>
      </w:pPr>
      <w:r>
        <w:rPr>
          <w:rStyle w:val="Funotenzeichen"/>
        </w:rPr>
        <w:footnoteRef/>
      </w:r>
      <w:r>
        <w:rPr/>
        <w:tab/>
        <w:t>Menschensohn Zum Titel s. die Fußnote zu V. 10.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 Edwards 2002, 96f.).</w:t>
      </w:r>
    </w:p>
  </w:footnote>
  <w:footnote w:id="1503">
    <w:p>
      <w:pPr>
        <w:pStyle w:val="Funote"/>
        <w:rPr/>
      </w:pPr>
      <w:r>
        <w:rPr>
          <w:rStyle w:val="Funotenzeichen"/>
        </w:rPr>
        <w:footnoteRef/>
      </w:r>
      <w:r>
        <w:rPr/>
        <w:tab/>
        <w:t xml:space="preserve">Herr sogar [über] den Sabbat </w:t>
      </w:r>
      <w:r>
        <w:rPr>
          <w:lang w:val="el-GR"/>
        </w:rPr>
        <w:t>κύριός</w:t>
      </w:r>
      <w:r>
        <w:rPr/>
        <w:t xml:space="preserve"> Herr mit Genitiv heißt »Herr über« (NSS).</w:t>
      </w:r>
    </w:p>
  </w:footnote>
  <w:footnote w:id="1504">
    <w:p>
      <w:pPr>
        <w:pStyle w:val="Funote"/>
        <w:rPr/>
      </w:pPr>
      <w:r>
        <w:rPr>
          <w:rStyle w:val="Funotenzeichen"/>
        </w:rPr>
        <w:footnoteRef/>
      </w:r>
      <w:r>
        <w:rPr/>
        <w:tab/>
        <w:t>[Status: Zuverlässig]</w:t>
      </w:r>
    </w:p>
  </w:footnote>
  <w:footnote w:id="1505">
    <w:p>
      <w:pPr>
        <w:pStyle w:val="Funote"/>
        <w:rPr/>
      </w:pPr>
      <w:r>
        <w:rPr>
          <w:rStyle w:val="Funotenzeichen"/>
        </w:rPr>
        <w:footnoteRef/>
      </w:r>
      <w:r>
        <w:rPr/>
        <w:tab/>
        <w:t>verkrüppelt W. „verdorrt“ (LUT, ELB, EÜ), „vertrocknet“, was den damaligen medizinischen Vorstellungen entsprach (Collins 2007, 206). GNB: „abgestorben“, ZÜR: „verkümmert“, MEN: „gelähmt“. Unsere Übersetzung wie NGÜ.</w:t>
      </w:r>
    </w:p>
  </w:footnote>
  <w:footnote w:id="1506">
    <w:p>
      <w:pPr>
        <w:pStyle w:val="Funote"/>
        <w:rPr/>
      </w:pPr>
      <w:r>
        <w:rPr>
          <w:rStyle w:val="Funotenzeichen"/>
        </w:rPr>
        <w:footnoteRef/>
      </w:r>
      <w:r>
        <w:rPr/>
        <w:tab/>
        <w:t>der ... hatte Attributives Partizip Präsens. Als Relativsatz aufgelöst.</w:t>
      </w:r>
    </w:p>
  </w:footnote>
  <w:footnote w:id="1507">
    <w:p>
      <w:pPr>
        <w:pStyle w:val="Funote"/>
        <w:rPr/>
      </w:pPr>
      <w:r>
        <w:rPr>
          <w:rStyle w:val="Funotenzeichen"/>
        </w:rPr>
        <w:footnoteRef/>
      </w:r>
      <w:r>
        <w:rPr/>
        <w:tab/>
        <w:t>sie achteten (man achtete, sie lauerten) genau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508">
    <w:p>
      <w:pPr>
        <w:pStyle w:val="Funote"/>
        <w:rPr/>
      </w:pPr>
      <w:r>
        <w:rPr>
          <w:rStyle w:val="Funotenzeichen"/>
        </w:rPr>
        <w:footnoteRef/>
      </w:r>
      <w:r>
        <w:rPr/>
        <w:tab/>
        <w:t>[am] Sabbat Temporaler Dativ.</w:t>
      </w:r>
    </w:p>
  </w:footnote>
  <w:footnote w:id="1509">
    <w:p>
      <w:pPr>
        <w:pStyle w:val="Funote"/>
        <w:rPr/>
      </w:pPr>
      <w:r>
        <w:rPr>
          <w:rStyle w:val="Funotenzeichen"/>
        </w:rPr>
        <w:footnoteRef/>
      </w:r>
      <w:r>
        <w:rPr/>
        <w:tab/>
        <w:t>sagte Historisches Präsens.</w:t>
      </w:r>
    </w:p>
  </w:footnote>
  <w:footnote w:id="1510">
    <w:p>
      <w:pPr>
        <w:pStyle w:val="Funote"/>
        <w:rPr/>
      </w:pPr>
      <w:r>
        <w:rPr>
          <w:rStyle w:val="Funotenzeichen"/>
        </w:rPr>
        <w:footnoteRef/>
      </w:r>
      <w:r>
        <w:rPr/>
        <w:tab/>
        <w:t>mit der verkümmerten Hand Attr. Ptz. (vgl. V. 1), aus stilistischen Gründen nicht als Relativsatz, sondern als Präpositionalphrase übersetzt. verkümmert S. die Fn zu „verkrüppelt“ in V. 1. Hier benutzt Markus ein Adjektiv aus derselben Wurzel wie das Ptz. in V. 1, das sich in der Bedeutung nicht wesentlich unterscheidet.</w:t>
      </w:r>
    </w:p>
  </w:footnote>
  <w:footnote w:id="1511">
    <w:p>
      <w:pPr>
        <w:pStyle w:val="Funote"/>
        <w:rPr/>
      </w:pPr>
      <w:r>
        <w:rPr>
          <w:rStyle w:val="Funotenzeichen"/>
        </w:rPr>
        <w:footnoteRef/>
      </w:r>
      <w:r>
        <w:rPr/>
        <w:tab/>
        <w:t xml:space="preserve">Komm (Steh auf) W. »Steh auf«, aber </w:t>
      </w:r>
      <w:r>
        <w:rPr>
          <w:lang w:val="el-GR"/>
        </w:rPr>
        <w:t>ἐγείρω</w:t>
      </w:r>
      <w:r>
        <w:rPr/>
        <w:t xml:space="preserve"> wird im Griechischen öfter auch – ähnlich wie hebr. </w:t>
      </w:r>
      <w:r>
        <w:rPr>
          <w:rtl w:val="true"/>
          <w:lang w:bidi="he-IL"/>
        </w:rPr>
        <w:t>קוּם</w:t>
      </w:r>
      <w:r>
        <w:rPr/>
        <w:t xml:space="preserve"> – </w:t>
      </w:r>
      <w:r>
        <w:rPr/>
        <w:t xml:space="preserve">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512">
    <w:p>
      <w:pPr>
        <w:pStyle w:val="Funote"/>
        <w:rPr/>
      </w:pPr>
      <w:r>
        <w:rPr>
          <w:rStyle w:val="Funotenzeichen"/>
        </w:rPr>
        <w:footnoteRef/>
      </w:r>
      <w:r>
        <w:rPr/>
        <w:tab/>
        <w:t>fragte Historisches Präsens.</w:t>
      </w:r>
    </w:p>
  </w:footnote>
  <w:footnote w:id="1513">
    <w:p>
      <w:pPr>
        <w:pStyle w:val="Funote"/>
        <w:rPr/>
      </w:pPr>
      <w:r>
        <w:rPr>
          <w:rStyle w:val="Funotenzeichen"/>
        </w:rPr>
        <w:footnoteRef/>
      </w:r>
      <w:r>
        <w:rPr/>
        <w:tab/>
        <w:t>[am] Sabbat Temporaler Dativ.</w:t>
      </w:r>
    </w:p>
  </w:footnote>
  <w:footnote w:id="1514">
    <w:p>
      <w:pPr>
        <w:pStyle w:val="Funote"/>
        <w:rPr/>
      </w:pPr>
      <w:r>
        <w:rPr>
          <w:rStyle w:val="Funotenzeichen"/>
        </w:rPr>
        <w:footnoteRef/>
      </w:r>
      <w:r>
        <w:rPr/>
        <w:tab/>
        <w:t xml:space="preserve">voll Zorn (zornig) Die Präposition </w:t>
      </w:r>
      <w:r>
        <w:rPr>
          <w:lang w:val="el-GR"/>
        </w:rPr>
        <w:t>μετά</w:t>
      </w:r>
      <w:r>
        <w:rPr/>
        <w:t xml:space="preserve"> + [Gefühl] dient zur Angabe von Gemütszuständen (BDAG Bed. III.1).</w:t>
      </w:r>
    </w:p>
  </w:footnote>
  <w:footnote w:id="1515">
    <w:p>
      <w:pPr>
        <w:pStyle w:val="Funote"/>
        <w:rPr/>
      </w:pPr>
      <w:r>
        <w:rPr>
          <w:rStyle w:val="Funotenzeichen"/>
        </w:rPr>
        <w:footnoteRef/>
      </w:r>
      <w:r>
        <w:rPr/>
        <w:tab/>
        <w:t>blickte … alle der Reihe nach (ringsum) an übersetzt das Prädikat. Ptz. conj. (Aor.), hier temporal gleichzeitig zu verstehen. V. 3 Komm (Steh auf)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516">
    <w:p>
      <w:pPr>
        <w:pStyle w:val="Funote"/>
        <w:rPr/>
      </w:pPr>
      <w:r>
        <w:rPr>
          <w:rStyle w:val="Funotenzeichen"/>
        </w:rPr>
        <w:footnoteRef/>
      </w:r>
      <w:r>
        <w:rPr/>
        <w:tab/>
        <w:t>tief betrübt (voller Mitleid) Ptz. conj.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517">
    <w:p>
      <w:pPr>
        <w:pStyle w:val="Funote"/>
        <w:rPr/>
      </w:pPr>
      <w:r>
        <w:rPr>
          <w:rStyle w:val="Funotenzeichen"/>
        </w:rPr>
        <w:footnoteRef/>
      </w:r>
      <w:r>
        <w:rPr/>
        <w:tab/>
        <w:t>ihrer Herzen W. „ihres Herzens“</w:t>
      </w:r>
    </w:p>
  </w:footnote>
  <w:footnote w:id="1518">
    <w:p>
      <w:pPr>
        <w:pStyle w:val="Funote"/>
        <w:rPr/>
      </w:pPr>
      <w:r>
        <w:rPr>
          <w:rStyle w:val="Funotenzeichen"/>
        </w:rPr>
        <w:footnoteRef/>
      </w:r>
      <w:r>
        <w:rPr/>
        <w:tab/>
        <w:t>sobald … hinausgegangen waren Ptz. conj., temporal (vorzeitig) als Nebensatz aufgelöst. Ebenfalls möglich: „Doch die Pharisäer gingen hinaus und...“ (gleichzeitig)</w:t>
      </w:r>
    </w:p>
  </w:footnote>
  <w:footnote w:id="1519">
    <w:p>
      <w:pPr>
        <w:pStyle w:val="Funote"/>
        <w:rPr/>
      </w:pPr>
      <w:r>
        <w:rPr>
          <w:rStyle w:val="Funotenzeichen"/>
        </w:rPr>
        <w:footnoteRef/>
      </w:r>
      <w:r>
        <w:rPr/>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w:t>
      </w:r>
    </w:p>
  </w:footnote>
  <w:footnote w:id="1520">
    <w:p>
      <w:pPr>
        <w:pStyle w:val="Funote"/>
        <w:rPr/>
      </w:pPr>
      <w:r>
        <w:rPr>
          <w:rStyle w:val="Funotenzeichen"/>
        </w:rPr>
        <w:footnoteRef/>
      </w:r>
      <w:r>
        <w:rPr/>
        <w:tab/>
        <w:t>Meer Gemeint ist wie schon in Mk 2,13 der See Gennesaret, das „Meer von Galiläa“. Auch die gesonderte Erwähnung der Menschenmenge aus Galiläa weist darauf hin.</w:t>
      </w:r>
    </w:p>
  </w:footnote>
  <w:footnote w:id="1521">
    <w:p>
      <w:pPr>
        <w:pStyle w:val="Funote"/>
        <w:rPr/>
      </w:pPr>
      <w:r>
        <w:rPr>
          <w:rStyle w:val="Funotenzeichen"/>
        </w:rPr>
        <w:footnoteRef/>
      </w:r>
      <w:r>
        <w:rPr/>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522">
    <w:p>
      <w:pPr>
        <w:pStyle w:val="Funote"/>
        <w:rPr/>
      </w:pPr>
      <w:r>
        <w:rPr>
          <w:rStyle w:val="Funotenzeichen"/>
        </w:rPr>
        <w:footnoteRef/>
      </w:r>
      <w:r>
        <w:rPr/>
        <w:tab/>
        <w:t>kam W. „kamen“ (Constructio ad sensum). Genauso das folgende Partizip „die hörten“.</w:t>
      </w:r>
    </w:p>
  </w:footnote>
  <w:footnote w:id="1523">
    <w:p>
      <w:pPr>
        <w:pStyle w:val="Funote"/>
        <w:rPr/>
      </w:pPr>
      <w:r>
        <w:rPr>
          <w:rStyle w:val="Funotenzeichen"/>
        </w:rPr>
        <w:footnoteRef/>
      </w:r>
      <w:r>
        <w:rPr/>
        <w:tab/>
        <w:t>die hörten Ptz. conj. Präsens, kausal oder temporal, hier als Relativsatz aufgelöst, der beide Aspekte vermitteln kann.</w:t>
      </w:r>
    </w:p>
  </w:footnote>
  <w:footnote w:id="1524">
    <w:p>
      <w:pPr>
        <w:pStyle w:val="Funote"/>
        <w:rPr/>
      </w:pPr>
      <w:r>
        <w:rPr>
          <w:rStyle w:val="Funotenzeichen"/>
        </w:rPr>
        <w:footnoteRef/>
      </w:r>
      <w:r>
        <w:rPr/>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1525">
    <w:p>
      <w:pPr>
        <w:pStyle w:val="Funote"/>
        <w:rPr/>
      </w:pPr>
      <w:r>
        <w:rPr>
          <w:rStyle w:val="Funotenzeichen"/>
        </w:rPr>
        <w:footnoteRef/>
      </w:r>
      <w:r>
        <w:rPr/>
        <w:tab/>
        <w:t>Leiden (Qualen) W. „Geißel“, übertragen „Plage“. Per Bedeutungserweiterung auch „Leiden“ oder „Gebrechen“ (vgl. LN 23.182). hatten Markus benutzt das Imperfekt, um die anhaltende Situation zu beschreiben. Das setzt sich bis V. 12 fort.</w:t>
      </w:r>
    </w:p>
  </w:footnote>
  <w:footnote w:id="1526">
    <w:p>
      <w:pPr>
        <w:pStyle w:val="Funote"/>
        <w:rPr/>
      </w:pPr>
      <w:r>
        <w:rPr>
          <w:rStyle w:val="Funotenzeichen"/>
        </w:rPr>
        <w:footnoteRef/>
      </w:r>
      <w:r>
        <w:rPr/>
        <w:tab/>
        <w:t>{und sagten} Pleonastisches Partizip.</w:t>
      </w:r>
    </w:p>
  </w:footnote>
  <w:footnote w:id="1527">
    <w:p>
      <w:pPr>
        <w:pStyle w:val="Funote"/>
        <w:rPr/>
      </w:pPr>
      <w:r>
        <w:rPr>
          <w:rStyle w:val="Funotenzeichen"/>
        </w:rPr>
        <w:footnoteRef/>
      </w:r>
      <w:r>
        <w:rPr/>
        <w:tab/>
        <w:t xml:space="preserve">{dass} </w:t>
      </w:r>
      <w:r>
        <w:rPr>
          <w:lang w:val="el-GR"/>
        </w:rPr>
        <w:t>ὅτι</w:t>
      </w:r>
      <w:r>
        <w:rPr/>
        <w:t xml:space="preserve"> recitativum.</w:t>
      </w:r>
    </w:p>
  </w:footnote>
  <w:footnote w:id="1528">
    <w:p>
      <w:pPr>
        <w:pStyle w:val="Funote"/>
        <w:rPr/>
      </w:pPr>
      <w:r>
        <w:rPr>
          <w:rStyle w:val="Funotenzeichen"/>
        </w:rPr>
        <w:footnoteRef/>
      </w:r>
      <w:r>
        <w:rPr/>
        <w:tab/>
        <w:t xml:space="preserve">drohte (befahl, wies an) ihnen nachdrücklich W. etwa „wies sie viel zurecht“. Das Adverb </w:t>
      </w:r>
      <w:r>
        <w:rPr>
          <w:lang w:val="el-GR"/>
        </w:rPr>
        <w:t>πολλὰ</w:t>
      </w:r>
      <w:r>
        <w:rPr/>
        <w:t xml:space="preserve"> „viel“ benutzt Markus hier intensivierend (ganz ähnlich wie „sehr“), daher die Übersetzung nachdrücklich. Wie in Mk 1,25 (s. Fn dort) kontrolliert Jesus hier Dämonen, denen er bindende Befehle erteilt. So heißt das Wort in diesem Kontext eher (indirekte Rede einleitend) befehlen.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drohte ..., damit sie ihn nicht bekannt machten – Das Griechische drückt den indirekt geäußerten negativen Befehl durch einen finalen Nebensatz aus, das Deutsche mit einem Infinitivsatz. Stilistisch schöner mit „verbieten“: verbot … zu machen.</w:t>
      </w:r>
    </w:p>
  </w:footnote>
  <w:footnote w:id="1529">
    <w:p>
      <w:pPr>
        <w:pStyle w:val="Funote"/>
        <w:rPr/>
      </w:pPr>
      <w:r>
        <w:rPr>
          <w:rStyle w:val="Funotenzeichen"/>
        </w:rPr>
        <w:footnoteRef/>
      </w:r>
      <w:r>
        <w:rPr/>
        <w:tab/>
        <w:t>stieg und rief Historisches Präsens.</w:t>
      </w:r>
    </w:p>
  </w:footnote>
  <w:footnote w:id="1530">
    <w:p>
      <w:pPr>
        <w:pStyle w:val="Funote"/>
        <w:rPr/>
      </w:pPr>
      <w:r>
        <w:rPr>
          <w:rStyle w:val="Funotenzeichen"/>
        </w:rPr>
        <w:footnoteRef/>
      </w:r>
      <w:r>
        <w:rPr/>
        <w:tab/>
        <w:t>die er selbst sich ausgesucht hatte W. „die er selbst wollte“. NSS schlägt sinngemäß „die er bei sich haben wollte“ vor (so NGÜ, ähnlich MEN, ZÜR). EÜ: „die er erwählt hatte“, GNB: „die er für eine besondere Aufgabe vorgesehen hatte“.</w:t>
      </w:r>
    </w:p>
  </w:footnote>
  <w:footnote w:id="1531">
    <w:p>
      <w:pPr>
        <w:pStyle w:val="Funote"/>
        <w:rPr/>
      </w:pPr>
      <w:r>
        <w:rPr>
          <w:rStyle w:val="Funotenzeichen"/>
        </w:rPr>
        <w:footnoteRef/>
      </w:r>
      <w:r>
        <w:rPr/>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1532">
    <w:p>
      <w:pPr>
        <w:pStyle w:val="Funote"/>
        <w:rPr/>
      </w:pPr>
      <w:r>
        <w:rPr>
          <w:rStyle w:val="Funotenzeichen"/>
        </w:rPr>
        <w:footnoteRef/>
      </w:r>
      <w:r>
        <w:rPr/>
        <w:tab/>
        <w:t>bestimmte W. „machte“, ein Semitismus (Guelich 1989, 157).</w:t>
      </w:r>
    </w:p>
  </w:footnote>
  <w:footnote w:id="1533">
    <w:p>
      <w:pPr>
        <w:pStyle w:val="Funote"/>
        <w:rPr/>
      </w:pPr>
      <w:r>
        <w:rPr>
          <w:rStyle w:val="Funotenzeichen"/>
        </w:rPr>
        <w:footnoteRef/>
      </w:r>
      <w:r>
        <w:rPr/>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1534">
    <w:p>
      <w:pPr>
        <w:pStyle w:val="Funote"/>
        <w:rPr/>
      </w:pPr>
      <w:r>
        <w:rPr>
          <w:rStyle w:val="Funotenzeichen"/>
        </w:rPr>
        <w:footnoteRef/>
      </w:r>
      <w:r>
        <w:rPr/>
        <w:tab/>
        <w:t>heißt W. „ist“</w:t>
      </w:r>
    </w:p>
  </w:footnote>
  <w:footnote w:id="1535">
    <w:p>
      <w:pPr>
        <w:pStyle w:val="Funote"/>
        <w:rPr/>
      </w:pPr>
      <w:r>
        <w:rPr>
          <w:rStyle w:val="Funotenzeichen"/>
        </w:rPr>
        <w:footnoteRef/>
      </w:r>
      <w:r>
        <w:rPr/>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1536">
    <w:p>
      <w:pPr>
        <w:pStyle w:val="Funote"/>
        <w:rPr/>
      </w:pPr>
      <w:r>
        <w:rPr>
          <w:rStyle w:val="Funotenzeichen"/>
        </w:rPr>
        <w:footnoteRef/>
      </w:r>
      <w:r>
        <w:rPr/>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1537">
    <w:p>
      <w:pPr>
        <w:pStyle w:val="Funote"/>
        <w:rPr/>
      </w:pPr>
      <w:r>
        <w:rPr>
          <w:rStyle w:val="Funotenzeichen"/>
        </w:rPr>
        <w:footnoteRef/>
      </w:r>
      <w:r>
        <w:rPr/>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1538">
    <w:p>
      <w:pPr>
        <w:pStyle w:val="Funote"/>
        <w:rPr/>
      </w:pPr>
      <w:r>
        <w:rPr>
          <w:rStyle w:val="Funotenzeichen"/>
        </w:rPr>
        <w:footnoteRef/>
      </w:r>
      <w:r>
        <w:rPr/>
        <w:tab/>
        <w:t>nach Hause bzw. in ein Haus Es wird sich wieder um Petrus' Haus in Kafarnaum handeln, das Jesus offenbar bezogen hat (vgl. Mk 1,29; 2,1). Abgesehen von seinem Besuch in Levis Haus (2,15) ist es das einzige bisher identifizierte (France 2002, 164f.).</w:t>
      </w:r>
    </w:p>
  </w:footnote>
  <w:footnote w:id="1539">
    <w:p>
      <w:pPr>
        <w:pStyle w:val="Funote"/>
        <w:rPr/>
      </w:pPr>
      <w:r>
        <w:rPr>
          <w:rStyle w:val="Funotenzeichen"/>
        </w:rPr>
        <w:footnoteRef/>
      </w:r>
      <w:r>
        <w:rPr/>
        <w:tab/>
        <w:t>ging und versammelte Historisches Präsens.</w:t>
      </w:r>
    </w:p>
  </w:footnote>
  <w:footnote w:id="1540">
    <w:p>
      <w:pPr>
        <w:pStyle w:val="Funote"/>
        <w:rPr/>
      </w:pPr>
      <w:r>
        <w:rPr>
          <w:rStyle w:val="Funotenzeichen"/>
        </w:rPr>
        <w:footnoteRef/>
      </w:r>
      <w:r>
        <w:rPr/>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1541">
    <w:p>
      <w:pPr>
        <w:pStyle w:val="Funote"/>
        <w:rPr/>
      </w:pPr>
      <w:r>
        <w:rPr>
          <w:rStyle w:val="Funotenzeichen"/>
        </w:rPr>
        <w:footnoteRef/>
      </w:r>
      <w:r>
        <w:rPr/>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1542">
    <w:p>
      <w:pPr>
        <w:pStyle w:val="Funote"/>
        <w:rPr/>
      </w:pPr>
      <w:r>
        <w:rPr>
          <w:rStyle w:val="Funotenzeichen"/>
        </w:rPr>
        <w:footnoteRef/>
      </w:r>
      <w:r>
        <w:rPr/>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1543">
    <w:p>
      <w:pPr>
        <w:pStyle w:val="Funote"/>
        <w:rPr/>
      </w:pPr>
      <w:r>
        <w:rPr>
          <w:rStyle w:val="Funotenzeichen"/>
        </w:rPr>
        <w:footnoteRef/>
      </w:r>
      <w:r>
        <w:rPr/>
        <w:tab/>
        <w:t>die ... gekommen waren Attr. Ptz. Aor., als vorzeitiger Relativsatz aufgelöst.</w:t>
      </w:r>
    </w:p>
  </w:footnote>
  <w:footnote w:id="1544">
    <w:p>
      <w:pPr>
        <w:pStyle w:val="Funote"/>
        <w:rPr/>
      </w:pPr>
      <w:r>
        <w:rPr>
          <w:rStyle w:val="Funotenzeichen"/>
        </w:rPr>
        <w:footnoteRef/>
      </w:r>
      <w:r>
        <w:rPr/>
        <w:tab/>
        <w:t>verbreiteten Gr. einfach sagten. Das durative Imperfekt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545">
    <w:p>
      <w:pPr>
        <w:pStyle w:val="Funote"/>
        <w:rPr/>
      </w:pPr>
      <w:r>
        <w:rPr>
          <w:rStyle w:val="Funotenzeichen"/>
        </w:rPr>
        <w:footnoteRef/>
      </w:r>
      <w:r>
        <w:rPr/>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1546">
    <w:p>
      <w:pPr>
        <w:pStyle w:val="Funote"/>
        <w:rPr/>
      </w:pPr>
      <w:r>
        <w:rPr>
          <w:rStyle w:val="Funotenzeichen"/>
        </w:rPr>
        <w:footnoteRef/>
      </w:r>
      <w:r>
        <w:rPr/>
        <w:tab/>
        <w:t>er rief sie zu sich und Temporales (gleichzeitig) Ptz. conj., mit „und“ beigeordnet.</w:t>
      </w:r>
    </w:p>
  </w:footnote>
  <w:footnote w:id="1547">
    <w:p>
      <w:pPr>
        <w:pStyle w:val="Funote"/>
        <w:rPr/>
      </w:pPr>
      <w:r>
        <w:rPr>
          <w:rStyle w:val="Funotenzeichen"/>
        </w:rPr>
        <w:footnoteRef/>
      </w:r>
      <w:r>
        <w:rPr/>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1548">
    <w:p>
      <w:pPr>
        <w:pStyle w:val="Funote"/>
        <w:rPr/>
      </w:pPr>
      <w:r>
        <w:rPr>
          <w:rStyle w:val="Funotenzeichen"/>
        </w:rPr>
        <w:footnoteRef/>
      </w:r>
      <w:r>
        <w:rPr/>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1549">
    <w:p>
      <w:pPr>
        <w:pStyle w:val="Funote"/>
        <w:rPr/>
      </w:pPr>
      <w:r>
        <w:rPr>
          <w:rStyle w:val="Funotenzeichen"/>
        </w:rPr>
        <w:footnoteRef/>
      </w:r>
      <w:r>
        <w:rPr/>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1550">
    <w:p>
      <w:pPr>
        <w:pStyle w:val="Funote"/>
        <w:rPr/>
      </w:pPr>
      <w:r>
        <w:rPr>
          <w:rStyle w:val="Funotenzeichen"/>
        </w:rPr>
        <w:footnoteRef/>
      </w:r>
      <w:r>
        <w:rPr/>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1551">
    <w:p>
      <w:pPr>
        <w:pStyle w:val="Funote"/>
        <w:rPr/>
      </w:pPr>
      <w:r>
        <w:rPr>
          <w:rStyle w:val="Funotenzeichen"/>
        </w:rPr>
        <w:footnoteRef/>
      </w:r>
      <w:r>
        <w:rPr/>
        <w:tab/>
        <w:t>es hat ein Ende [mit ihm] W. »er hat ein Ende«. LUT: »es ist aus mit ihm.«</w:t>
      </w:r>
    </w:p>
  </w:footnote>
  <w:footnote w:id="1552">
    <w:p>
      <w:pPr>
        <w:pStyle w:val="Funote"/>
        <w:rPr/>
      </w:pPr>
      <w:r>
        <w:rPr>
          <w:rStyle w:val="Funotenzeichen"/>
        </w:rPr>
        <w:footnoteRef/>
      </w:r>
      <w:r>
        <w:rPr/>
        <w:tab/>
        <w:t>niemand kann W. »niemand kann nicht«. Die doppelte Verneinung verstärkt die Aussage.</w:t>
      </w:r>
    </w:p>
  </w:footnote>
  <w:footnote w:id="1553">
    <w:p>
      <w:pPr>
        <w:pStyle w:val="Funote"/>
        <w:rPr/>
      </w:pPr>
      <w:r>
        <w:rPr>
          <w:rStyle w:val="Funotenzeichen"/>
        </w:rPr>
        <w:footnoteRef/>
      </w:r>
      <w:r>
        <w:rPr/>
        <w:tab/>
        <w:t>eindringen und Ptz. conj., temporal, mit »und« beigeordnet.</w:t>
      </w:r>
    </w:p>
  </w:footnote>
  <w:footnote w:id="1554">
    <w:p>
      <w:pPr>
        <w:pStyle w:val="Funote"/>
        <w:rPr/>
      </w:pPr>
      <w:r>
        <w:rPr>
          <w:rStyle w:val="Funotenzeichen"/>
        </w:rPr>
        <w:footnoteRef/>
      </w:r>
      <w:r>
        <w:rPr/>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555">
    <w:p>
      <w:pPr>
        <w:pStyle w:val="Funote"/>
        <w:rPr/>
      </w:pPr>
      <w:r>
        <w:rPr>
          <w:rStyle w:val="Funotenzeichen"/>
        </w:rPr>
        <w:footnoteRef/>
      </w:r>
      <w:r>
        <w:rPr/>
        <w:tab/>
        <w:t>kann ausplündern Als modales Futur verstanden (NSS).</w:t>
      </w:r>
    </w:p>
  </w:footnote>
  <w:footnote w:id="1556">
    <w:p>
      <w:pPr>
        <w:pStyle w:val="Funote"/>
        <w:rPr/>
      </w:pPr>
      <w:r>
        <w:rPr>
          <w:rStyle w:val="Funotenzeichen"/>
        </w:rPr>
        <w:footnoteRef/>
      </w:r>
      <w:r>
        <w:rPr/>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557">
    <w:p>
      <w:pPr>
        <w:pStyle w:val="Funote"/>
        <w:rPr/>
      </w:pPr>
      <w:r>
        <w:rPr>
          <w:rStyle w:val="Funotenzeichen"/>
        </w:rPr>
        <w:footnoteRef/>
      </w:r>
      <w:r>
        <w:rPr/>
        <w:tab/>
        <w:t>Kindern (Söhnen) der Menschen Semitische Formulierung, die einfach »Menschen« oder »die Menschheit« umschreibt. Kinder gibt den geschlechtlich unbestimmten Plural von »Sohn« inklusiv wieder (Generisches Maskulinum).</w:t>
      </w:r>
    </w:p>
  </w:footnote>
  <w:footnote w:id="1558">
    <w:p>
      <w:pPr>
        <w:pStyle w:val="Funote"/>
        <w:rPr/>
      </w:pPr>
      <w:r>
        <w:rPr>
          <w:rStyle w:val="Funotenzeichen"/>
        </w:rPr>
        <w:footnoteRef/>
      </w:r>
      <w:r>
        <w:rPr/>
        <w:tab/>
        <w:t>kann (wird) vergeben werden Das Futur ist wohl modal (NSS).</w:t>
      </w:r>
    </w:p>
  </w:footnote>
  <w:footnote w:id="1559">
    <w:p>
      <w:pPr>
        <w:pStyle w:val="Funote"/>
        <w:rPr/>
      </w:pPr>
      <w:r>
        <w:rPr>
          <w:rStyle w:val="Funotenzeichen"/>
        </w:rPr>
        <w:footnoteRef/>
      </w:r>
      <w:r>
        <w:rPr/>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1560">
    <w:p>
      <w:pPr>
        <w:pStyle w:val="Funote"/>
        <w:rPr/>
      </w:pPr>
      <w:r>
        <w:rPr>
          <w:rStyle w:val="Funotenzeichen"/>
        </w:rPr>
        <w:footnoteRef/>
      </w:r>
      <w:r>
        <w:rPr/>
        <w:tab/>
        <w:t>besessen W. „Er hat einen unreinen Geist!“ Dazu s. die Erklärung in der Fußnote zu V. 22.</w:t>
      </w:r>
    </w:p>
  </w:footnote>
  <w:footnote w:id="1561">
    <w:p>
      <w:pPr>
        <w:pStyle w:val="Funote"/>
        <w:rPr/>
      </w:pPr>
      <w:r>
        <w:rPr>
          <w:rStyle w:val="Funotenzeichen"/>
        </w:rPr>
        <w:footnoteRef/>
      </w:r>
      <w:r>
        <w:rPr/>
        <w:tab/>
        <w:t>kamen Historisches Präsens, W. „kam“.</w:t>
      </w:r>
    </w:p>
  </w:footnote>
  <w:footnote w:id="1562">
    <w:p>
      <w:pPr>
        <w:pStyle w:val="Funote"/>
        <w:rPr/>
      </w:pPr>
      <w:r>
        <w:rPr>
          <w:rStyle w:val="Funotenzeichen"/>
        </w:rPr>
        <w:footnoteRef/>
      </w:r>
      <w:r>
        <w:rPr/>
        <w:tab/>
        <w:t>Geschwister (Brüder) Generisches Maskulinum.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563">
    <w:p>
      <w:pPr>
        <w:pStyle w:val="Funote"/>
        <w:rPr/>
      </w:pPr>
      <w:r>
        <w:rPr>
          <w:rStyle w:val="Funotenzeichen"/>
        </w:rPr>
        <w:footnoteRef/>
      </w:r>
      <w:r>
        <w:rPr/>
        <w:tab/>
        <w:t>Sie blieben stehen und Ptz. conj., temporal oder modal, als mit „und“ beigeordneter Satz aufgelöst.</w:t>
      </w:r>
    </w:p>
  </w:footnote>
  <w:footnote w:id="1564">
    <w:p>
      <w:pPr>
        <w:pStyle w:val="Funote"/>
        <w:rPr/>
      </w:pPr>
      <w:r>
        <w:rPr>
          <w:rStyle w:val="Funotenzeichen"/>
        </w:rPr>
        <w:footnoteRef/>
      </w:r>
      <w:r>
        <w:rPr/>
        <w:tab/>
        <w:t>schickten [jemanden] zu ihm (ließen ihm ausrichten)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565">
    <w:p>
      <w:pPr>
        <w:pStyle w:val="Funote"/>
        <w:rPr/>
      </w:pPr>
      <w:r>
        <w:rPr>
          <w:rStyle w:val="Funotenzeichen"/>
        </w:rPr>
        <w:footnoteRef/>
      </w:r>
      <w:r>
        <w:rPr/>
        <w:tab/>
        <w:t>um ihn zu rufen Wohl finales Ptz. conj.,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566">
    <w:p>
      <w:pPr>
        <w:pStyle w:val="Funote"/>
        <w:rPr/>
      </w:pPr>
      <w:r>
        <w:rPr>
          <w:rStyle w:val="Funotenzeichen"/>
        </w:rPr>
        <w:footnoteRef/>
      </w:r>
      <w:r>
        <w:rPr/>
        <w:tab/>
        <w:t>sagten Historisches Präsens. Die Alternativübersetzung in der Klammer versteht das Prädikat unpersönlich (vgl. EÜ, NGÜ).</w:t>
      </w:r>
    </w:p>
  </w:footnote>
  <w:footnote w:id="1567">
    <w:p>
      <w:pPr>
        <w:pStyle w:val="Funote"/>
        <w:rPr/>
      </w:pPr>
      <w:r>
        <w:rPr>
          <w:rStyle w:val="Funotenzeichen"/>
        </w:rPr>
        <w:footnoteRef/>
      </w:r>
      <w:r>
        <w:rPr/>
        <w:tab/>
        <w:t>Da draußen - W. »Siehe, deine Mutter und deine Geschwister draußen suchen dich«. »°Siehe°« hat hier die Funktion, Jesus auf etwas räumlich Nahes aufmerksam zu machen (Bailey 2009, S. 329); sinnvoller daher statt wörtliche Üs.: »Da draußen«.</w:t>
      </w:r>
    </w:p>
  </w:footnote>
  <w:footnote w:id="1568">
    <w:p>
      <w:pPr>
        <w:pStyle w:val="Funote"/>
        <w:rPr/>
      </w:pPr>
      <w:r>
        <w:rPr>
          <w:rStyle w:val="Funotenzeichen"/>
        </w:rPr>
        <w:footnoteRef/>
      </w:r>
      <w:r>
        <w:rPr/>
        <w:tab/>
        <w:t>antwortete ihnen {und sagte} Zu antwortete: Ptz. conj. (modal-temporal), mit „und“ beigeordnet. {und sagte} Historisches Präsens. Im Deutschen ist das doppelte Prädikat unnötig.</w:t>
      </w:r>
    </w:p>
  </w:footnote>
  <w:footnote w:id="1569">
    <w:p>
      <w:pPr>
        <w:pStyle w:val="Funote"/>
        <w:rPr/>
      </w:pPr>
      <w:r>
        <w:rPr>
          <w:rStyle w:val="Funotenzeichen"/>
        </w:rPr>
        <w:footnoteRef/>
      </w:r>
      <w:r>
        <w:rPr/>
        <w:tab/>
        <w:t>sind W. »ist«</w:t>
      </w:r>
    </w:p>
  </w:footnote>
  <w:footnote w:id="1570">
    <w:p>
      <w:pPr>
        <w:pStyle w:val="Funote"/>
        <w:rPr/>
      </w:pPr>
      <w:r>
        <w:rPr>
          <w:rStyle w:val="Funotenzeichen"/>
        </w:rPr>
        <w:footnoteRef/>
      </w:r>
      <w:r>
        <w:rPr/>
        <w:tab/>
        <w:t>während (indem, nachdem) er der Reihe nach anschaute Ptz. conj. (Aor.), temporal-modal als Nebensatz aufgelöst.</w:t>
      </w:r>
    </w:p>
  </w:footnote>
  <w:footnote w:id="1571">
    <w:p>
      <w:pPr>
        <w:pStyle w:val="Funote"/>
        <w:rPr/>
      </w:pPr>
      <w:r>
        <w:rPr>
          <w:rStyle w:val="Funotenzeichen"/>
        </w:rPr>
        <w:footnoteRef/>
      </w:r>
      <w:r>
        <w:rPr/>
        <w:tab/>
        <w:t>[im] Kreis Erstarrter lokaler Dativ (NSS).</w:t>
      </w:r>
    </w:p>
  </w:footnote>
  <w:footnote w:id="1572">
    <w:p>
      <w:pPr>
        <w:pStyle w:val="Funote"/>
        <w:rPr/>
      </w:pPr>
      <w:r>
        <w:rPr>
          <w:rStyle w:val="Funotenzeichen"/>
        </w:rPr>
        <w:footnoteRef/>
      </w:r>
      <w:r>
        <w:rPr/>
        <w:tab/>
        <w:t>[alle], die ... saßen Substantiviertes Partizip, als Relativsatz aufgelöst.</w:t>
      </w:r>
    </w:p>
  </w:footnote>
  <w:footnote w:id="1573">
    <w:p>
      <w:pPr>
        <w:pStyle w:val="Funote"/>
        <w:rPr/>
      </w:pPr>
      <w:r>
        <w:rPr>
          <w:rStyle w:val="Funotenzeichen"/>
        </w:rPr>
        <w:footnoteRef/>
      </w:r>
      <w:r>
        <w:rPr/>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1574">
    <w:p>
      <w:pPr>
        <w:pStyle w:val="Funote"/>
        <w:rPr/>
      </w:pPr>
      <w:r>
        <w:rPr>
          <w:rStyle w:val="Funotenzeichen"/>
        </w:rPr>
        <w:footnoteRef/>
      </w:r>
      <w:r>
        <w:rPr/>
        <w:tab/>
        <w:t>[Status: Zuverlässig]</w:t>
      </w:r>
    </w:p>
  </w:footnote>
  <w:footnote w:id="1575">
    <w:p>
      <w:pPr>
        <w:pStyle w:val="Funote"/>
        <w:rPr/>
      </w:pPr>
      <w:r>
        <w:rPr>
          <w:rStyle w:val="Funotenzeichen"/>
        </w:rPr>
        <w:footnoteRef/>
      </w:r>
      <w:r>
        <w:rPr/>
        <w:tab/>
        <w:t>Meer Gemeint ist wie schon in Mk 2,13; 3,7 der See Gennesaret, das „Meer von Galiläa“. Bisher hat sich Jesus fast nur in Galiläa aufgehalten.</w:t>
      </w:r>
    </w:p>
  </w:footnote>
  <w:footnote w:id="1576">
    <w:p>
      <w:pPr>
        <w:pStyle w:val="Funote"/>
        <w:rPr/>
      </w:pPr>
      <w:r>
        <w:rPr>
          <w:rStyle w:val="Funotenzeichen"/>
        </w:rPr>
        <w:footnoteRef/>
      </w:r>
      <w:r>
        <w:rPr/>
        <w:tab/>
        <w:t>stieg und Ptz. conj., temporal, mit „und“ beigeordnet übersetzt.</w:t>
      </w:r>
    </w:p>
  </w:footnote>
  <w:footnote w:id="1577">
    <w:p>
      <w:pPr>
        <w:pStyle w:val="Funote"/>
        <w:rPr/>
      </w:pPr>
      <w:r>
        <w:rPr>
          <w:rStyle w:val="Funotenzeichen"/>
        </w:rPr>
        <w:footnoteRef/>
      </w:r>
      <w:r>
        <w:rPr/>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1578">
    <w:p>
      <w:pPr>
        <w:pStyle w:val="Funote"/>
        <w:rPr/>
      </w:pPr>
      <w:r>
        <w:rPr>
          <w:rStyle w:val="Funotenzeichen"/>
        </w:rPr>
        <w:footnoteRef/>
      </w:r>
      <w:r>
        <w:rPr/>
        <w:tab/>
        <w:t>blieb (war) W. „waren“ (Constructio ad sensum).</w:t>
      </w:r>
    </w:p>
  </w:footnote>
  <w:footnote w:id="1579">
    <w:p>
      <w:pPr>
        <w:pStyle w:val="Funote"/>
        <w:rPr/>
      </w:pPr>
      <w:r>
        <w:rPr>
          <w:rStyle w:val="Funotenzeichen"/>
        </w:rPr>
        <w:footnoteRef/>
      </w:r>
      <w:r>
        <w:rPr/>
        <w:tab/>
        <w:t>am Ufer W. „(nah) am Meer“ oder „zum Meer hin gewandt“.</w:t>
      </w:r>
    </w:p>
  </w:footnote>
  <w:footnote w:id="1580">
    <w:p>
      <w:pPr>
        <w:pStyle w:val="Funote"/>
        <w:rPr/>
      </w:pPr>
      <w:r>
        <w:rPr>
          <w:rStyle w:val="Funotenzeichen"/>
        </w:rPr>
        <w:footnoteRef/>
      </w:r>
      <w:r>
        <w:rPr/>
        <w:tab/>
        <w:t xml:space="preserve">lehrte und sagte stehen im Imperfekt, was für eine (fortdauernde) Predigt passend ist. </w:t>
      </w:r>
      <w:r>
        <w:rPr>
          <w:lang w:val="el-GR"/>
        </w:rPr>
        <w:t>πολλὰ</w:t>
      </w:r>
      <w:r>
        <w:rPr/>
        <w:t xml:space="preserve"> könnte daher hier nicht nur viele Dinge heißen, sondern auch ein Adverb sein und dann lange bedeuten (NSS, so EÜ).</w:t>
      </w:r>
    </w:p>
  </w:footnote>
  <w:footnote w:id="1581">
    <w:p>
      <w:pPr>
        <w:pStyle w:val="Funote"/>
        <w:rPr/>
      </w:pPr>
      <w:r>
        <w:rPr>
          <w:rStyle w:val="Funotenzeichen"/>
        </w:rPr>
        <w:footnoteRef/>
      </w:r>
      <w:r>
        <w:rPr/>
        <w:tab/>
        <w:t>während er lehrte LUT: „in seiner Predigt sprach er zu ihnen“, GNB, NGÜ: „Unter anderem sagte er“</w:t>
      </w:r>
    </w:p>
  </w:footnote>
  <w:footnote w:id="1582">
    <w:p>
      <w:pPr>
        <w:pStyle w:val="Funote"/>
        <w:rPr/>
      </w:pPr>
      <w:r>
        <w:rPr>
          <w:rStyle w:val="Funotenzeichen"/>
        </w:rPr>
        <w:footnoteRef/>
      </w:r>
      <w:r>
        <w:rPr/>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1583">
    <w:p>
      <w:pPr>
        <w:pStyle w:val="Funote"/>
        <w:rPr/>
      </w:pPr>
      <w:r>
        <w:rPr>
          <w:rStyle w:val="Funotenzeichen"/>
        </w:rPr>
        <w:footnoteRef/>
      </w:r>
      <w:r>
        <w:rPr/>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1584">
    <w:p>
      <w:pPr>
        <w:pStyle w:val="Funote"/>
        <w:rPr/>
      </w:pPr>
      <w:r>
        <w:rPr>
          <w:rStyle w:val="Funotenzeichen"/>
        </w:rPr>
        <w:footnoteRef/>
      </w:r>
      <w:r>
        <w:rPr/>
        <w:tab/>
        <w:t>Wurzeln W. »Wurzel«</w:t>
      </w:r>
    </w:p>
  </w:footnote>
  <w:footnote w:id="1585">
    <w:p>
      <w:pPr>
        <w:pStyle w:val="Funote"/>
        <w:rPr/>
      </w:pPr>
      <w:r>
        <w:rPr>
          <w:rStyle w:val="Funotenzeichen"/>
        </w:rPr>
        <w:footnoteRef/>
      </w:r>
      <w:r>
        <w:rPr/>
        <w:tab/>
        <w:t>indem (während, wobei) er aufging und wuchs Zwei Ptz. conj., modal-temporal Nebensatz übersetzt.</w:t>
      </w:r>
    </w:p>
  </w:footnote>
  <w:footnote w:id="1586">
    <w:p>
      <w:pPr>
        <w:pStyle w:val="Funote"/>
        <w:rPr/>
      </w:pPr>
      <w:r>
        <w:rPr>
          <w:rStyle w:val="Funotenzeichen"/>
        </w:rPr>
        <w:footnoteRef/>
      </w:r>
      <w:r>
        <w:rPr/>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587">
    <w:p>
      <w:pPr>
        <w:pStyle w:val="Funote"/>
        <w:rPr/>
      </w:pPr>
      <w:r>
        <w:rPr>
          <w:rStyle w:val="Funotenzeichen"/>
        </w:rPr>
        <w:footnoteRef/>
      </w:r>
      <w:r>
        <w:rPr/>
        <w:tab/>
        <w:t>sagte (V. 9 sowie 21, 24, 26, 30) Imperfekt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588">
    <w:p>
      <w:pPr>
        <w:pStyle w:val="Funote"/>
        <w:rPr/>
      </w:pPr>
      <w:r>
        <w:rPr>
          <w:rStyle w:val="Funotenzeichen"/>
        </w:rPr>
        <w:footnoteRef/>
      </w:r>
      <w:r>
        <w:rPr/>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589">
    <w:p>
      <w:pPr>
        <w:pStyle w:val="Funote"/>
        <w:rPr/>
      </w:pPr>
      <w:r>
        <w:rPr>
          <w:rStyle w:val="Funotenzeichen"/>
        </w:rPr>
        <w:footnoteRef/>
      </w:r>
      <w:r>
        <w:rPr/>
        <w:tab/>
        <w:t>sagte Imperfekt, zur Erklärung siehe die vorige Fußnote.</w:t>
      </w:r>
    </w:p>
  </w:footnote>
  <w:footnote w:id="1590">
    <w:p>
      <w:pPr>
        <w:pStyle w:val="Funote"/>
        <w:rPr/>
      </w:pPr>
      <w:r>
        <w:rPr>
          <w:rStyle w:val="Funotenzeichen"/>
        </w:rPr>
        <w:footnoteRef/>
      </w:r>
      <w:r>
        <w:rPr/>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Ptz. conj., die hier konzessiv als Nebensätze aufgelöst sind (ähnlich NGÜ). beim Sehen ... beim Hören wäre modal. Auch die wörtliche Übersetzung sieht wohl eine modale Sinnrichtung (vgl. NSS).</w:t>
      </w:r>
    </w:p>
  </w:footnote>
  <w:footnote w:id="1591">
    <w:p>
      <w:pPr>
        <w:pStyle w:val="Funote"/>
        <w:rPr/>
      </w:pPr>
      <w:r>
        <w:rPr>
          <w:rStyle w:val="Funotenzeichen"/>
        </w:rPr>
        <w:footnoteRef/>
      </w:r>
      <w:r>
        <w:rPr/>
        <w:tab/>
        <w:t>dieses Gleichnis Jesus spricht nun wieder vom Gleichnis von der Saat (Mk 4,3-9). Die Beschreibung von Jesu (üblicher?) Antwort auf derartige Fragen nach seinen Gleichnissen (s. die Fußnote in V. 10) endet in V. 12.</w:t>
      </w:r>
    </w:p>
  </w:footnote>
  <w:footnote w:id="1592">
    <w:p>
      <w:pPr>
        <w:pStyle w:val="Funote"/>
        <w:rPr/>
      </w:pPr>
      <w:r>
        <w:rPr>
          <w:rStyle w:val="Funotenzeichen"/>
        </w:rPr>
        <w:footnoteRef/>
      </w:r>
      <w:r>
        <w:rPr/>
        <w:tab/>
        <w:t xml:space="preserve">überhaupt (all die [anderen])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1593">
    <w:p>
      <w:pPr>
        <w:pStyle w:val="Funote"/>
        <w:rPr/>
      </w:pPr>
      <w:r>
        <w:rPr>
          <w:rStyle w:val="Funotenzeichen"/>
        </w:rPr>
        <w:footnoteRef/>
      </w:r>
      <w:r>
        <w:rPr/>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1594">
    <w:p>
      <w:pPr>
        <w:pStyle w:val="Funote"/>
        <w:rPr/>
      </w:pPr>
      <w:r>
        <w:rPr>
          <w:rStyle w:val="Funotenzeichen"/>
        </w:rPr>
        <w:footnoteRef/>
      </w:r>
      <w:r>
        <w:rPr/>
        <w:tab/>
        <w:t>die das Wort gleich mit Freuden annehmen, sobald sie es hören W. »die, sobald sie das Wort hören, es gleich mit Freuden annehmen«</w:t>
      </w:r>
    </w:p>
  </w:footnote>
  <w:footnote w:id="1595">
    <w:p>
      <w:pPr>
        <w:pStyle w:val="Funote"/>
        <w:rPr/>
      </w:pPr>
      <w:r>
        <w:rPr>
          <w:rStyle w:val="Funotenzeichen"/>
        </w:rPr>
        <w:footnoteRef/>
      </w:r>
      <w:r>
        <w:rPr/>
        <w:tab/>
        <w:t>wenn es … zu … kommt Temporal aufgelöster Genitivus absolutus.</w:t>
      </w:r>
    </w:p>
  </w:footnote>
  <w:footnote w:id="1596">
    <w:p>
      <w:pPr>
        <w:pStyle w:val="Funote"/>
        <w:rPr/>
      </w:pPr>
      <w:r>
        <w:rPr>
          <w:rStyle w:val="Funotenzeichen"/>
        </w:rPr>
        <w:footnoteRef/>
      </w:r>
      <w:r>
        <w:rPr/>
        <w:tab/>
        <w:t>die … hören bzw. gehört haben Als Relativsatz aufgelöstes substantiviertes Partizip. Man kann das Partizip Aorist sowohl vorzeitig wie gleichzeitig übersetzen.</w:t>
      </w:r>
    </w:p>
  </w:footnote>
  <w:footnote w:id="1597">
    <w:p>
      <w:pPr>
        <w:pStyle w:val="Funote"/>
        <w:rPr/>
      </w:pPr>
      <w:r>
        <w:rPr>
          <w:rStyle w:val="Funotenzeichen"/>
        </w:rPr>
        <w:footnoteRef/>
      </w:r>
      <w:r>
        <w:rPr/>
        <w:tab/>
        <w:t>weltliche Sorgen W. »Sorgen der Welt/Zeit/Gegenwart«, appositiver Genitiv.</w:t>
      </w:r>
    </w:p>
  </w:footnote>
  <w:footnote w:id="1598">
    <w:p>
      <w:pPr>
        <w:pStyle w:val="Funote"/>
        <w:rPr/>
      </w:pPr>
      <w:r>
        <w:rPr>
          <w:rStyle w:val="Funotenzeichen"/>
        </w:rPr>
        <w:footnoteRef/>
      </w:r>
      <w:r>
        <w:rPr/>
        <w:tab/>
        <w:t>wenn … dazukommen Temporal aufgelöstes Ptz. conj..</w:t>
      </w:r>
    </w:p>
  </w:footnote>
  <w:footnote w:id="1599">
    <w:p>
      <w:pPr>
        <w:pStyle w:val="Funote"/>
        <w:rPr/>
      </w:pPr>
      <w:r>
        <w:rPr>
          <w:rStyle w:val="Funotenzeichen"/>
        </w:rPr>
        <w:footnoteRef/>
      </w:r>
      <w:r>
        <w:rPr/>
        <w:tab/>
        <w:t>die … gesät werden Als Relativsatz aufgelöstes subst. Ptz..</w:t>
      </w:r>
    </w:p>
  </w:footnote>
  <w:footnote w:id="1600">
    <w:p>
      <w:pPr>
        <w:pStyle w:val="Funote"/>
        <w:rPr/>
      </w:pPr>
      <w:r>
        <w:rPr>
          <w:rStyle w:val="Funotenzeichen"/>
        </w:rPr>
        <w:footnoteRef/>
      </w:r>
      <w:r>
        <w:rPr/>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1601">
    <w:p>
      <w:pPr>
        <w:pStyle w:val="Funote"/>
        <w:rPr/>
      </w:pPr>
      <w:r>
        <w:rPr>
          <w:rStyle w:val="Funotenzeichen"/>
        </w:rPr>
        <w:footnoteRef/>
      </w:r>
      <w:r>
        <w:rPr/>
        <w:tab/>
        <w:t>Bringt man W. »kommt«, d.h. etwa »wird herbeigebracht«, eine gängige griechische Wendung (NSS).</w:t>
      </w:r>
    </w:p>
  </w:footnote>
  <w:footnote w:id="1602">
    <w:p>
      <w:pPr>
        <w:pStyle w:val="Funote"/>
        <w:rPr/>
      </w:pPr>
      <w:r>
        <w:rPr>
          <w:rStyle w:val="Funotenzeichen"/>
        </w:rPr>
        <w:footnoteRef/>
      </w:r>
      <w:r>
        <w:rPr/>
        <w:tab/>
        <w:t>um zu stellen (2x) Oder etwas genauer an der griechischen Syntax orientiert: »damit … gestellt wird«</w:t>
      </w:r>
    </w:p>
  </w:footnote>
  <w:footnote w:id="1603">
    <w:p>
      <w:pPr>
        <w:pStyle w:val="Funote"/>
        <w:rPr/>
      </w:pPr>
      <w:r>
        <w:rPr>
          <w:rStyle w:val="Funotenzeichen"/>
        </w:rPr>
        <w:footnoteRef/>
      </w:r>
      <w:r>
        <w:rPr/>
        <w:tab/>
        <w:t>um zu machen Oder etwas genauer an der griechischen Syntax orientiert: »damit … gemacht wird«</w:t>
      </w:r>
    </w:p>
  </w:footnote>
  <w:footnote w:id="1604">
    <w:p>
      <w:pPr>
        <w:pStyle w:val="Funote"/>
        <w:rPr/>
      </w:pPr>
      <w:r>
        <w:rPr>
          <w:rStyle w:val="Funotenzeichen"/>
        </w:rPr>
        <w:footnoteRef/>
      </w:r>
      <w:r>
        <w:rPr/>
        <w:tab/>
        <w:t>Während … {und} W. »und … und«. In Markus' volkstümlichem Griechisch entspricht das wohl (ähnlich wie im Hebräischen) einer temporalen Verbindung (vgl. Mk 2,23), daher die Wiedergabe als temporaler Nebensatz.</w:t>
      </w:r>
    </w:p>
  </w:footnote>
  <w:footnote w:id="1605">
    <w:p>
      <w:pPr>
        <w:pStyle w:val="Funote"/>
        <w:rPr/>
      </w:pPr>
      <w:r>
        <w:rPr>
          <w:rStyle w:val="Funotenzeichen"/>
        </w:rPr>
        <w:footnoteRef/>
      </w:r>
      <w:r>
        <w:rPr/>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1606">
    <w:p>
      <w:pPr>
        <w:pStyle w:val="Funote"/>
        <w:rPr/>
      </w:pPr>
      <w:r>
        <w:rPr>
          <w:rStyle w:val="Funotenzeichen"/>
        </w:rPr>
        <w:footnoteRef/>
      </w:r>
      <w:r>
        <w:rPr/>
        <w:tab/>
        <w:t>voll ausgereiftem Weizen bezieht sich auf die Körner in der Ähre.</w:t>
      </w:r>
    </w:p>
  </w:footnote>
  <w:footnote w:id="1607">
    <w:p>
      <w:pPr>
        <w:pStyle w:val="Funote"/>
        <w:rPr/>
      </w:pPr>
      <w:r>
        <w:rPr>
          <w:rStyle w:val="Funotenzeichen"/>
        </w:rPr>
        <w:footnoteRef/>
      </w:r>
      <w:r>
        <w:rPr/>
        <w:tab/>
        <w:t>setzt er die Sichel an (sendet aus) »Die Sichel aussenden« ist ein Semitismus (Jesus lehnt seine Formulierung an Joel 4,13 an) und heißt sie zum Gebrauch einzusetzen oder anzulegen (LN 43.17; vgl. Offb 14,15.18). Auf Hebräisch und Aramäisch »sendet« man seine Hand aus, wenn man sie ausstreckt (z.B. Ps 138,7; Esr 6,12). Es handelt sich um eine Metonymie, denn der reale Bauer erntet nicht selbst, sondern sendet seine Schnitter aufs Feld (NSS).</w:t>
      </w:r>
    </w:p>
  </w:footnote>
  <w:footnote w:id="1608">
    <w:p>
      <w:pPr>
        <w:pStyle w:val="Funote"/>
        <w:rPr/>
      </w:pPr>
      <w:r>
        <w:rPr>
          <w:rStyle w:val="Funotenzeichen"/>
        </w:rPr>
        <w:footnoteRef/>
      </w:r>
      <w:r>
        <w:rPr/>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1609">
    <w:p>
      <w:pPr>
        <w:pStyle w:val="Funote"/>
        <w:rPr/>
      </w:pPr>
      <w:r>
        <w:rPr>
          <w:rStyle w:val="Funotenzeichen"/>
        </w:rPr>
        <w:footnoteRef/>
      </w:r>
      <w:r>
        <w:rPr/>
        <w:tab/>
        <w:t>[das] kleinste W. »kleiner«. Superlativisch gebrauchter Komparativ (NSS).</w:t>
      </w:r>
    </w:p>
  </w:footnote>
  <w:footnote w:id="1610">
    <w:p>
      <w:pPr>
        <w:pStyle w:val="Funote"/>
        <w:rPr/>
      </w:pPr>
      <w:r>
        <w:rPr>
          <w:rStyle w:val="Funotenzeichen"/>
        </w:rPr>
        <w:footnoteRef/>
      </w:r>
      <w:r>
        <w:rPr/>
        <w:tab/>
        <w:t>ist Wohl konzessives Ptz. conj.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611">
    <w:p>
      <w:pPr>
        <w:pStyle w:val="Funote"/>
        <w:rPr/>
      </w:pPr>
      <w:r>
        <w:rPr>
          <w:rStyle w:val="Funotenzeichen"/>
        </w:rPr>
        <w:footnoteRef/>
      </w:r>
      <w:r>
        <w:rPr/>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1612">
    <w:p>
      <w:pPr>
        <w:pStyle w:val="Funote"/>
        <w:rPr/>
      </w:pPr>
      <w:r>
        <w:rPr>
          <w:rStyle w:val="Funotenzeichen"/>
        </w:rPr>
        <w:footnoteRef/>
      </w:r>
      <w:r>
        <w:rPr/>
        <w:tab/>
        <w:t>in seinem Schatten W. »unter seinem Schatten«</w:t>
      </w:r>
    </w:p>
  </w:footnote>
  <w:footnote w:id="1613">
    <w:p>
      <w:pPr>
        <w:pStyle w:val="Funote"/>
        <w:rPr/>
      </w:pPr>
      <w:r>
        <w:rPr>
          <w:rStyle w:val="Funotenzeichen"/>
        </w:rPr>
        <w:footnoteRef/>
      </w:r>
      <w:r>
        <w:rPr/>
        <w:tab/>
        <w:t>erläuterte Das Imperfekt drückt entweder eine grundsätzliche Gepflogenheit aus oder hat die Predigt von Mk 4,2 im Sinn. Zur Phrase erläuterte ihnen [seine] Botschaft s. die Fußnote zu Mk 2,2 und die folgende Fußnote zu Wort.</w:t>
      </w:r>
    </w:p>
  </w:footnote>
  <w:footnote w:id="1614">
    <w:p>
      <w:pPr>
        <w:pStyle w:val="Funote"/>
        <w:rPr/>
      </w:pPr>
      <w:r>
        <w:rPr>
          <w:rStyle w:val="Funotenzeichen"/>
        </w:rPr>
        <w:footnoteRef/>
      </w:r>
      <w:r>
        <w:rPr/>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1615">
    <w:p>
      <w:pPr>
        <w:pStyle w:val="Funote"/>
        <w:rPr/>
      </w:pPr>
      <w:r>
        <w:rPr>
          <w:rStyle w:val="Funotenzeichen"/>
        </w:rPr>
        <w:footnoteRef/>
      </w:r>
      <w:r>
        <w:rPr/>
        <w:tab/>
        <w:t>Jünger Gemeint sind hier nicht nur die Zwölf, sondern die größere Gruppe seiner Anhänger, die schon in V. 10 im Blick war (Collins 2007, 256).</w:t>
      </w:r>
    </w:p>
  </w:footnote>
  <w:footnote w:id="1616">
    <w:p>
      <w:pPr>
        <w:pStyle w:val="Funote"/>
        <w:rPr/>
      </w:pPr>
      <w:r>
        <w:rPr>
          <w:rStyle w:val="Funotenzeichen"/>
        </w:rPr>
        <w:footnoteRef/>
      </w:r>
      <w:r>
        <w:rPr/>
        <w:tab/>
        <w:t>sprach und erklärte stehen im Imperfekt, wie große Teile der Rahmenhandlung in Kap. 4. Dazu vgl. die Fußnoten zu V. 10 und 9 sowie V. 33.</w:t>
      </w:r>
    </w:p>
  </w:footnote>
  <w:footnote w:id="1617">
    <w:p>
      <w:pPr>
        <w:pStyle w:val="Funote"/>
        <w:rPr/>
      </w:pPr>
      <w:r>
        <w:rPr>
          <w:rStyle w:val="Funotenzeichen"/>
        </w:rPr>
        <w:footnoteRef/>
      </w:r>
      <w:r>
        <w:rPr/>
        <w:tab/>
        <w:t>als es Abend geworden war Gen. abs., temporal als Nebensatz aufgelöst.</w:t>
      </w:r>
    </w:p>
  </w:footnote>
  <w:footnote w:id="1618">
    <w:p>
      <w:pPr>
        <w:pStyle w:val="Funote"/>
        <w:rPr/>
      </w:pPr>
      <w:r>
        <w:rPr>
          <w:rStyle w:val="Funotenzeichen"/>
        </w:rPr>
        <w:footnoteRef/>
      </w:r>
      <w:r>
        <w:rPr/>
        <w:tab/>
        <w:t>ans andere Ufer Jesus und die Jünger hielten sich bei Kafarnaum am See Gennesaret auf (4,1-2). Das andere Ufer war also das von Nichtjuden bewohnte Ostufer (vgl. France 2002, 222), das sie in Mk 5,1 erreichen.</w:t>
      </w:r>
    </w:p>
  </w:footnote>
  <w:footnote w:id="1619">
    <w:p>
      <w:pPr>
        <w:pStyle w:val="Funote"/>
        <w:rPr/>
      </w:pPr>
      <w:r>
        <w:rPr>
          <w:rStyle w:val="Funotenzeichen"/>
        </w:rPr>
        <w:footnoteRef/>
      </w:r>
      <w:r>
        <w:rPr/>
        <w:tab/>
        <w:t>nachdem sie die Menschenmenge weggeschickt hatten (wobei … zurückließen) Ptz. conj., temporal (oder modal) als Nebensatz aufgelöst. Deutsche Übersetzungen verwenden durchweg „wegschicken“, englische „zurücklassen“.</w:t>
      </w:r>
    </w:p>
  </w:footnote>
  <w:footnote w:id="1620">
    <w:p>
      <w:pPr>
        <w:pStyle w:val="Funote"/>
        <w:rPr/>
      </w:pPr>
      <w:r>
        <w:rPr>
          <w:rStyle w:val="Funotenzeichen"/>
        </w:rPr>
        <w:footnoteRef/>
      </w:r>
      <w:r>
        <w:rPr/>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621">
    <w:p>
      <w:pPr>
        <w:pStyle w:val="Funote"/>
        <w:rPr/>
      </w:pPr>
      <w:r>
        <w:rPr>
          <w:rStyle w:val="Funotenzeichen"/>
        </w:rPr>
        <w:footnoteRef/>
      </w:r>
      <w:r>
        <w:rPr/>
        <w:tab/>
        <w:t>starker Sturmwind W. „großer Sturmwind [des] Windes“, eine Formulierung, die sich vielleicht an Jona 1,4 anlehnt.</w:t>
      </w:r>
    </w:p>
  </w:footnote>
  <w:footnote w:id="1622">
    <w:p>
      <w:pPr>
        <w:pStyle w:val="Funote"/>
        <w:rPr/>
      </w:pPr>
      <w:r>
        <w:rPr>
          <w:rStyle w:val="Funotenzeichen"/>
        </w:rPr>
        <w:footnoteRef/>
      </w:r>
      <w:r>
        <w:rPr/>
        <w:tab/>
        <w:t>schlugen [bald] Imperfekt, [langsam] füllte Infinitiv Präsens (im AcI). Beide Tempusformen suggerieren einen anhaltenden Vorgang, der durch die mit angegebenen Worteinfügungen kenntlich gemacht wurde.</w:t>
      </w:r>
    </w:p>
  </w:footnote>
  <w:footnote w:id="1623">
    <w:p>
      <w:pPr>
        <w:pStyle w:val="Funote"/>
        <w:rPr/>
      </w:pPr>
      <w:r>
        <w:rPr>
          <w:rStyle w:val="Funotenzeichen"/>
        </w:rPr>
        <w:footnoteRef/>
      </w:r>
      <w:r>
        <w:rPr/>
        <w:tab/>
        <w:t>wo er auf dem Kissen schlief Periphrastisches Partizip (oder modales Ptz. conj.),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624">
    <w:p>
      <w:pPr>
        <w:pStyle w:val="Funote"/>
        <w:rPr/>
      </w:pPr>
      <w:r>
        <w:rPr>
          <w:rStyle w:val="Funotenzeichen"/>
        </w:rPr>
        <w:footnoteRef/>
      </w:r>
      <w:r>
        <w:rPr/>
        <w:tab/>
        <w:t>wachte auf Ptz. conj. (Aor.), temporal, beigeordnet aufgelöst.</w:t>
      </w:r>
    </w:p>
  </w:footnote>
  <w:footnote w:id="1625">
    <w:p>
      <w:pPr>
        <w:pStyle w:val="Funote"/>
        <w:rPr/>
      </w:pPr>
      <w:r>
        <w:rPr>
          <w:rStyle w:val="Funotenzeichen"/>
        </w:rPr>
        <w:footnoteRef/>
      </w:r>
      <w:r>
        <w:rPr/>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Markus_1#note_blMk 1,25 und 3,12.</w:t>
      </w:r>
    </w:p>
  </w:footnote>
  <w:footnote w:id="1626">
    <w:p>
      <w:pPr>
        <w:pStyle w:val="Funote"/>
        <w:rPr/>
      </w:pPr>
      <w:r>
        <w:rPr>
          <w:rStyle w:val="Funotenzeichen"/>
        </w:rPr>
        <w:footnoteRef/>
      </w:r>
      <w:r>
        <w:rPr/>
        <w:tab/>
        <w:t>fürchteten sie sich [mit] großer Furcht Wörtliche Übertragung einer hebräischen Stilfigur (figura etymologica).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627">
    <w:p>
      <w:pPr>
        <w:pStyle w:val="Funote"/>
        <w:rPr/>
      </w:pPr>
      <w:r>
        <w:rPr>
          <w:rStyle w:val="Funotenzeichen"/>
        </w:rPr>
        <w:footnoteRef/>
      </w:r>
      <w:r>
        <w:rPr/>
        <w:tab/>
        <w:t>gehorchen W. »gehorcht«</w:t>
      </w:r>
    </w:p>
  </w:footnote>
  <w:footnote w:id="1628">
    <w:p>
      <w:pPr>
        <w:pStyle w:val="Funote"/>
        <w:rPr/>
      </w:pPr>
      <w:r>
        <w:rPr>
          <w:rStyle w:val="Funotenzeichen"/>
        </w:rPr>
        <w:footnoteRef/>
      </w:r>
      <w:r>
        <w:rPr/>
        <w:tab/>
        <w:t>[Status: Zuverlässig]</w:t>
      </w:r>
    </w:p>
  </w:footnote>
  <w:footnote w:id="1629">
    <w:p>
      <w:pPr>
        <w:pStyle w:val="Funote"/>
        <w:rPr/>
      </w:pPr>
      <w:r>
        <w:rPr>
          <w:rStyle w:val="Funotenzeichen"/>
        </w:rPr>
        <w:footnoteRef/>
      </w:r>
      <w:r>
        <w:rPr/>
        <w:tab/>
        <w:t>Gebiet (Land) der Gerasener Das Problem mit dieser Ortsangabe (auch in der Parallelstelle Lk 8,26 bezeugt) ist, dass Gerasa etwa 50 km vom See entfernt liegt. In der Geschichte dagegen muss die Stadt nah am Ufer liegen (5,12-13). Wohl deshalb spricht Matthäus 8,28 stattdessen vom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es so war.</w:t>
      </w:r>
    </w:p>
  </w:footnote>
  <w:footnote w:id="1630">
    <w:p>
      <w:pPr>
        <w:pStyle w:val="Funote"/>
        <w:rPr/>
      </w:pPr>
      <w:r>
        <w:rPr>
          <w:rStyle w:val="Funotenzeichen"/>
        </w:rPr>
        <w:footnoteRef/>
      </w:r>
      <w:r>
        <w:rPr/>
        <w:tab/>
        <w:t>als er ... gestiegen war (stieg) Gen. abs., temporal aufgelöst.</w:t>
      </w:r>
    </w:p>
  </w:footnote>
  <w:footnote w:id="1631">
    <w:p>
      <w:pPr>
        <w:pStyle w:val="Funote"/>
        <w:rPr/>
      </w:pPr>
      <w:r>
        <w:rPr>
          <w:rStyle w:val="Funotenzeichen"/>
        </w:rPr>
        <w:footnoteRef/>
      </w:r>
      <w:r>
        <w:rPr/>
        <w:tab/>
        <w:t>nicht einmal … man … noch W. „nicht einmal … niemand … nicht mehr“. Die dreifache Verneinung intensiviert die ausgedrückte Unmöglichkeit.</w:t>
      </w:r>
    </w:p>
  </w:footnote>
  <w:footnote w:id="1632">
    <w:p>
      <w:pPr>
        <w:pStyle w:val="Funote"/>
        <w:rPr/>
      </w:pPr>
      <w:r>
        <w:rPr>
          <w:rStyle w:val="Funotenzeichen"/>
        </w:rPr>
        <w:footnoteRef/>
      </w:r>
      <w:r>
        <w:rPr/>
        <w:tab/>
        <w:t>[mit] Fußfesseln und Ketten gefesselt Schöner wäre „(eisernen) Fuß- und Handfesseln“, etwas freier auch „an Händen und Füßen mit Ketten gefesselt“.</w:t>
      </w:r>
    </w:p>
  </w:footnote>
  <w:footnote w:id="1633">
    <w:p>
      <w:pPr>
        <w:pStyle w:val="Funote"/>
        <w:rPr/>
      </w:pPr>
      <w:r>
        <w:rPr>
          <w:rStyle w:val="Funotenzeichen"/>
        </w:rPr>
        <w:footnoteRef/>
      </w:r>
      <w:r>
        <w:rPr/>
        <w:tab/>
        <w:t>zerrissen W. „auseinander zerrissen“ (vgl. LN 19.29).</w:t>
      </w:r>
    </w:p>
  </w:footnote>
  <w:footnote w:id="1634">
    <w:p>
      <w:pPr>
        <w:pStyle w:val="Funote"/>
        <w:rPr/>
      </w:pPr>
      <w:r>
        <w:rPr>
          <w:rStyle w:val="Funotenzeichen"/>
        </w:rPr>
        <w:footnoteRef/>
      </w:r>
      <w:r>
        <w:rPr/>
        <w:tab/>
        <w:t>hatte ... zerrissen und … zerrieben W. „(die Ketten) waren zerrissen und zerrieben worden“.</w:t>
      </w:r>
    </w:p>
  </w:footnote>
  <w:footnote w:id="1635">
    <w:p>
      <w:pPr>
        <w:pStyle w:val="Funote"/>
        <w:rPr/>
      </w:pPr>
      <w:r>
        <w:rPr>
          <w:rStyle w:val="Funotenzeichen"/>
        </w:rPr>
        <w:footnoteRef/>
      </w:r>
      <w:r>
        <w:rPr/>
        <w:tab/>
        <w:t xml:space="preserve">hielt er sich … auf … wo (wobei, während) er schrie Oder einfach „schrie er ununterbrochen … und schnitt sich“. W. </w:t>
      </w:r>
      <w:r>
        <w:rPr>
          <w:lang w:val="el-GR"/>
        </w:rPr>
        <w:t>ἦν κράζων</w:t>
      </w:r>
      <w:r>
        <w:rPr/>
        <w:t xml:space="preserve"> (w. „war schreiend“) Dieses so genannte periphrastische oder umschreibende Partizip kann man verschieden übersetzen. Häufig dient es als Beschreibung eines anhaltenden Zustands. Hier wurde das Hauptverb aus stilistischen Gründen separat übersetzt (weitere Infos auf der verlinkten Seite). Der Satz lässt sich auch als HS+Ptz. conj. (modal-temporal) übersetzen wie in der Klammer; der Unterschied trägt nichts aus.</w:t>
      </w:r>
    </w:p>
  </w:footnote>
  <w:footnote w:id="1636">
    <w:p>
      <w:pPr>
        <w:pStyle w:val="Funote"/>
        <w:rPr/>
      </w:pPr>
      <w:r>
        <w:rPr>
          <w:rStyle w:val="Funotenzeichen"/>
        </w:rPr>
        <w:footnoteRef/>
      </w:r>
      <w:r>
        <w:rPr/>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1637">
    <w:p>
      <w:pPr>
        <w:pStyle w:val="Funote"/>
        <w:rPr/>
      </w:pPr>
      <w:r>
        <w:rPr>
          <w:rStyle w:val="Funotenzeichen"/>
        </w:rPr>
        <w:footnoteRef/>
      </w:r>
      <w:r>
        <w:rPr/>
        <w:tab/>
        <w:t>als/weil er sah Ptz. conj., als temporaler (oder kausaler) Nebensatz aufgelöst.</w:t>
      </w:r>
    </w:p>
  </w:footnote>
  <w:footnote w:id="1638">
    <w:p>
      <w:pPr>
        <w:pStyle w:val="Funote"/>
        <w:rPr/>
      </w:pPr>
      <w:r>
        <w:rPr>
          <w:rStyle w:val="Funotenzeichen"/>
        </w:rPr>
        <w:footnoteRef/>
      </w:r>
      <w:r>
        <w:rPr/>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1639">
    <w:p>
      <w:pPr>
        <w:pStyle w:val="Funote"/>
        <w:rPr/>
      </w:pPr>
      <w:r>
        <w:rPr>
          <w:rStyle w:val="Funotenzeichen"/>
        </w:rPr>
        <w:footnoteRef/>
      </w:r>
      <w:r>
        <w:rPr/>
        <w:tab/>
        <w:t>Er schrie ... und Ptz. conj. (temporal), mit „und“-Kombination aufgelöst.</w:t>
      </w:r>
    </w:p>
  </w:footnote>
  <w:footnote w:id="1640">
    <w:p>
      <w:pPr>
        <w:pStyle w:val="Funote"/>
        <w:rPr/>
      </w:pPr>
      <w:r>
        <w:rPr>
          <w:rStyle w:val="Funotenzeichen"/>
        </w:rPr>
        <w:footnoteRef/>
      </w:r>
      <w:r>
        <w:rPr/>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1641">
    <w:p>
      <w:pPr>
        <w:pStyle w:val="Funote"/>
        <w:rPr/>
      </w:pPr>
      <w:r>
        <w:rPr>
          <w:rStyle w:val="Funotenzeichen"/>
        </w:rPr>
        <w:footnoteRef/>
      </w:r>
      <w:r>
        <w:rPr/>
        <w:tab/>
        <w:t>hatte gesagt (sagte gerade/wiederholt) übersetzt das Imperfekt,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642">
    <w:p>
      <w:pPr>
        <w:pStyle w:val="Funote"/>
        <w:rPr/>
      </w:pPr>
      <w:r>
        <w:rPr>
          <w:rStyle w:val="Funotenzeichen"/>
        </w:rPr>
        <w:footnoteRef/>
      </w:r>
      <w:r>
        <w:rPr/>
        <w:tab/>
        <w:t>Legion Lat. Lehnwort, die Bezeichnung einer militärischen Einheit. Wahrscheinlich ist es nicht der tatsächliche Name des/der Dämonen, sondern eine ausweichende Antwort. Die Anzahl der Dämonen scheint jedoch zumindest grob in der Größenordnung einer Legion (4-6000 Mann) zu liegen (Collins 2007, 269; Guelich 1989, 281).</w:t>
      </w:r>
    </w:p>
  </w:footnote>
  <w:footnote w:id="1643">
    <w:p>
      <w:pPr>
        <w:pStyle w:val="Funote"/>
        <w:rPr/>
      </w:pPr>
      <w:r>
        <w:rPr>
          <w:rStyle w:val="Funotenzeichen"/>
        </w:rPr>
        <w:footnoteRef/>
      </w:r>
      <w:r>
        <w:rPr/>
        <w:tab/>
        <w:t>»Was [ist] dein Name?« und »Mein Name [ist]...« W. »Was (für ein) Name [ist] dir?« etc. (possessiver Dativ; NSS)</w:t>
      </w:r>
    </w:p>
  </w:footnote>
  <w:footnote w:id="1644">
    <w:p>
      <w:pPr>
        <w:pStyle w:val="Funote"/>
        <w:rPr/>
      </w:pPr>
      <w:r>
        <w:rPr>
          <w:rStyle w:val="Funotenzeichen"/>
        </w:rPr>
        <w:footnoteRef/>
      </w:r>
      <w:r>
        <w:rPr/>
        <w:tab/>
        <w:t xml:space="preserve">immer wieder (inständig) Das Adverb </w:t>
      </w:r>
      <w:r>
        <w:rPr>
          <w:lang w:val="el-GR"/>
        </w:rPr>
        <w:t>πολλὰ</w:t>
      </w:r>
      <w:r>
        <w:rPr/>
        <w:t xml:space="preserve"> kann man sowohl intensivierend als auch wiederholend verstehen. Die meisten Übersetzungen intensivieren (vgl. aber V. 23, 38 und 43).</w:t>
      </w:r>
    </w:p>
  </w:footnote>
  <w:footnote w:id="1645">
    <w:p>
      <w:pPr>
        <w:pStyle w:val="Funote"/>
        <w:rPr/>
      </w:pPr>
      <w:r>
        <w:rPr>
          <w:rStyle w:val="Funotenzeichen"/>
        </w:rPr>
        <w:footnoteRef/>
      </w:r>
      <w:r>
        <w:rPr/>
        <w:tab/>
        <w:t>am Berghang W. „an dem Berg“. Die Präposition weist auf einen Hang hin (vgl. EÜ, NGÜ, GNB).</w:t>
      </w:r>
    </w:p>
  </w:footnote>
  <w:footnote w:id="1646">
    <w:p>
      <w:pPr>
        <w:pStyle w:val="Funote"/>
        <w:rPr/>
      </w:pPr>
      <w:r>
        <w:rPr>
          <w:rStyle w:val="Funotenzeichen"/>
        </w:rPr>
        <w:footnoteRef/>
      </w:r>
      <w:r>
        <w:rPr/>
        <w:tab/>
        <w:t>weidete gerade Periphrastische Konjugation, die das Imperfekt umschreibt und die Gleichzeitigkeit des durativen Aspekts stärker betont.</w:t>
      </w:r>
    </w:p>
  </w:footnote>
  <w:footnote w:id="1647">
    <w:p>
      <w:pPr>
        <w:pStyle w:val="Funote"/>
        <w:rPr/>
      </w:pPr>
      <w:r>
        <w:rPr>
          <w:rStyle w:val="Funotenzeichen"/>
        </w:rPr>
        <w:footnoteRef/>
      </w:r>
      <w:r>
        <w:rPr/>
        <w:tab/>
        <w:t>Schweineherde W. „Herde [der] Schweine“</w:t>
      </w:r>
    </w:p>
  </w:footnote>
  <w:footnote w:id="1648">
    <w:p>
      <w:pPr>
        <w:pStyle w:val="Funote"/>
        <w:rPr/>
      </w:pPr>
      <w:r>
        <w:rPr>
          <w:rStyle w:val="Funotenzeichen"/>
        </w:rPr>
        <w:footnoteRef/>
      </w:r>
      <w:r>
        <w:rPr/>
        <w:tab/>
        <w:t xml:space="preserve">Wir wollen (damit wir) Die Konjunktion </w:t>
      </w:r>
      <w:r>
        <w:rPr>
          <w:lang w:val="el-GR"/>
        </w:rPr>
        <w:t>ἵνα</w:t>
      </w:r>
      <w:r>
        <w:rPr/>
        <w:t xml:space="preserve"> wird hier (v.a. aus stilistischen Gründen) als selbständiger Begehrungssatz übersetzt (NSS). Vgl. ZÜR, MEN.</w:t>
      </w:r>
    </w:p>
  </w:footnote>
  <w:footnote w:id="1649">
    <w:p>
      <w:pPr>
        <w:pStyle w:val="Funote"/>
        <w:rPr/>
      </w:pPr>
      <w:r>
        <w:rPr>
          <w:rStyle w:val="Funotenzeichen"/>
        </w:rPr>
        <w:footnoteRef/>
      </w:r>
      <w:r>
        <w:rPr/>
        <w:tab/>
        <w:t>fuhren aus und Temporales oder modales Ptz. conj., hier mit Hilfe einer „und“-Kombination beigeordnet.</w:t>
      </w:r>
    </w:p>
  </w:footnote>
  <w:footnote w:id="1650">
    <w:p>
      <w:pPr>
        <w:pStyle w:val="Funote"/>
        <w:rPr/>
      </w:pPr>
      <w:r>
        <w:rPr>
          <w:rStyle w:val="Funotenzeichen"/>
        </w:rPr>
        <w:footnoteRef/>
      </w:r>
      <w:r>
        <w:rPr/>
        <w:tab/>
        <w:t>ertranken im Meer Eigentlich können Schweine schwimmen (France 2002, 231). Allerdings ist es nicht undenkbar, dass ihre Panik und schiere Masse (viele Schweine würden im Wasser aufeinander landen und einander unter Wasser drücken) dazu führte, dass sie trotzdem ertranken.</w:t>
      </w:r>
    </w:p>
  </w:footnote>
  <w:footnote w:id="1651">
    <w:p>
      <w:pPr>
        <w:pStyle w:val="Funote"/>
        <w:rPr/>
      </w:pPr>
      <w:r>
        <w:rPr>
          <w:rStyle w:val="Funotenzeichen"/>
        </w:rPr>
        <w:footnoteRef/>
      </w:r>
      <w:r>
        <w:rPr/>
        <w:tab/>
        <w:t>ihre Hirten Oder etwas wörtlicher „die sie hüteten“.</w:t>
      </w:r>
    </w:p>
  </w:footnote>
  <w:footnote w:id="1652">
    <w:p>
      <w:pPr>
        <w:pStyle w:val="Funote"/>
        <w:rPr/>
      </w:pPr>
      <w:r>
        <w:rPr>
          <w:rStyle w:val="Funotenzeichen"/>
        </w:rPr>
        <w:footnoteRef/>
      </w:r>
      <w:r>
        <w:rPr/>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1653">
    <w:p>
      <w:pPr>
        <w:pStyle w:val="Funote"/>
        <w:rPr/>
      </w:pPr>
      <w:r>
        <w:rPr>
          <w:rStyle w:val="Funotenzeichen"/>
        </w:rPr>
        <w:footnoteRef/>
      </w:r>
      <w:r>
        <w:rPr/>
        <w:tab/>
        <w:t>was das Geschehene war W. „was das Geschehene ist“; der Objektsatz steht in der selben Zeit, in der direkte Rede stehen würde (vgl. Zerwick § 346; ad loc. Grosvenor/Zerwick).</w:t>
      </w:r>
    </w:p>
  </w:footnote>
  <w:footnote w:id="1654">
    <w:p>
      <w:pPr>
        <w:pStyle w:val="Funote"/>
        <w:rPr/>
      </w:pPr>
      <w:r>
        <w:rPr>
          <w:rStyle w:val="Funotenzeichen"/>
        </w:rPr>
        <w:footnoteRef/>
      </w:r>
      <w:r>
        <w:rPr/>
        <w:tab/>
        <w:t>sahen, dass der Besessene saß, bekleidet und bei Verstand Dreifaches AcP. Aus stilistischen Gründen (allerdings im Rahmen des griechischen Satzbaus) wurde nur das erste Ptz. als Teil des AcP aufgelöst und die anderen beiden Partizipien modal verstanden. bekleidet bedarf keiner Auflösung, bei Verstand gibt das Ptz. als Präpositionalphrase wieder.</w:t>
      </w:r>
    </w:p>
  </w:footnote>
  <w:footnote w:id="1655">
    <w:p>
      <w:pPr>
        <w:pStyle w:val="Funote"/>
        <w:rPr/>
      </w:pPr>
      <w:r>
        <w:rPr>
          <w:rStyle w:val="Funotenzeichen"/>
        </w:rPr>
        <w:footnoteRef/>
      </w:r>
      <w:r>
        <w:rPr/>
        <w:tab/>
        <w:t>drängten sie ihn W. „fingen an zu bitten“, eine pleonastische Verbindung, die typisch für Markus ist. „Beginnen“ hat hier sehr abgeschwächte Bedeutung (Siebenthal 2011, §218e; NSS). Übersetzt man das Imperfekt, dann vielleicht so wie ZÜR: „Da baten sie ihn immer dringlicher“ (iterativ), MEN: „Da verlegten sie sich aufs Bitten“</w:t>
      </w:r>
    </w:p>
  </w:footnote>
  <w:footnote w:id="1656">
    <w:p>
      <w:pPr>
        <w:pStyle w:val="Funote"/>
        <w:rPr/>
      </w:pPr>
      <w:r>
        <w:rPr>
          <w:rStyle w:val="Funotenzeichen"/>
        </w:rPr>
        <w:footnoteRef/>
      </w:r>
      <w:r>
        <w:rPr/>
        <w:tab/>
        <w:t>Als er ins Boot stieg Gen. abs., als temporaler Nebensatz aufgelöst.</w:t>
      </w:r>
    </w:p>
  </w:footnote>
  <w:footnote w:id="1657">
    <w:p>
      <w:pPr>
        <w:pStyle w:val="Funote"/>
        <w:rPr/>
      </w:pPr>
      <w:r>
        <w:rPr>
          <w:rStyle w:val="Funotenzeichen"/>
        </w:rPr>
        <w:footnoteRef/>
      </w:r>
      <w:r>
        <w:rPr/>
        <w:tab/>
        <w:t>der, der besessen gewesen war Subst. Ptz. Aor., als Relativsatz aufgelöst. Eine schönere Übersetzung wäre vielleicht „der vormals Besessene“ oder auch „der ehemalige Besessene“. MEN: „der (früher) Besessene“, GNB sogar: „der Geheilte“.</w:t>
      </w:r>
    </w:p>
  </w:footnote>
  <w:footnote w:id="1658">
    <w:p>
      <w:pPr>
        <w:pStyle w:val="Funote"/>
        <w:rPr/>
      </w:pPr>
      <w:r>
        <w:rPr>
          <w:rStyle w:val="Funotenzeichen"/>
        </w:rPr>
        <w:footnoteRef/>
      </w:r>
      <w:r>
        <w:rPr/>
        <w:tab/>
        <w:t>Dekapolis Die Dekapolis war eine Region von etwa zehn Städten im heutigen Jordanien, als östlich des Jordan und des Sees Gennesaret. Weitere Informationen liefert der Artikel Dekapolis.</w:t>
      </w:r>
    </w:p>
  </w:footnote>
  <w:footnote w:id="1659">
    <w:p>
      <w:pPr>
        <w:pStyle w:val="Funote"/>
        <w:rPr/>
      </w:pPr>
      <w:r>
        <w:rPr>
          <w:rStyle w:val="Funotenzeichen"/>
        </w:rPr>
        <w:footnoteRef/>
      </w:r>
      <w:r>
        <w:rPr/>
        <w:tab/>
        <w:t>was Jesus ihm getan hatte W. „was getan hatte ihm Jesus“. „Jesus“ ist bewusst nachgestellt, um den Kontrast zu betonen, der zwischen V. 20 und dem parallelen V. 19 besteht („was der Herr dir getan hat“). Der Geheilte verkündigt Jesus als „den Herrn“.</w:t>
      </w:r>
    </w:p>
  </w:footnote>
  <w:footnote w:id="1660">
    <w:p>
      <w:pPr>
        <w:pStyle w:val="Funote"/>
        <w:rPr/>
      </w:pPr>
      <w:r>
        <w:rPr>
          <w:rStyle w:val="Funotenzeichen"/>
        </w:rPr>
        <w:footnoteRef/>
      </w:r>
      <w:r>
        <w:rPr/>
        <w:tab/>
        <w:t>staunten (wunderten sich) Eine zeitgemäßere, treffende Übersetzung wäre vielleicht „sie konnten es kaum glauben“.</w:t>
      </w:r>
    </w:p>
  </w:footnote>
  <w:footnote w:id="1661">
    <w:p>
      <w:pPr>
        <w:pStyle w:val="Funote"/>
        <w:rPr/>
      </w:pPr>
      <w:r>
        <w:rPr>
          <w:rStyle w:val="Funotenzeichen"/>
        </w:rPr>
        <w:footnoteRef/>
      </w:r>
      <w:r>
        <w:rPr/>
        <w:tab/>
        <w:t>nachdem … gefahren war Gen. abs., als temporaler Nebensatz aufgelöst.</w:t>
      </w:r>
    </w:p>
  </w:footnote>
  <w:footnote w:id="1662">
    <w:p>
      <w:pPr>
        <w:pStyle w:val="Funote"/>
        <w:rPr/>
      </w:pPr>
      <w:r>
        <w:rPr>
          <w:rStyle w:val="Funotenzeichen"/>
        </w:rPr>
        <w:footnoteRef/>
      </w:r>
      <w:r>
        <w:rPr/>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1663">
    <w:p>
      <w:pPr>
        <w:pStyle w:val="Funote"/>
        <w:rPr/>
      </w:pPr>
      <w:r>
        <w:rPr>
          <w:rStyle w:val="Funotenzeichen"/>
        </w:rPr>
        <w:footnoteRef/>
      </w:r>
      <w:r>
        <w:rPr/>
        <w:tab/>
        <w:t>Synagogenvorsteher Zur Zeit Jesu wurden Synagogen von Laien geleitet. Diese waren verantwortlich v.a. für die Leitung des Gottesdienstes, aber auch für die finanziellen, administrativen und politischen Aspekte des Synagogenlebens (TRE 32, S. 506).</w:t>
      </w:r>
    </w:p>
  </w:footnote>
  <w:footnote w:id="1664">
    <w:p>
      <w:pPr>
        <w:pStyle w:val="Funote"/>
        <w:rPr/>
      </w:pPr>
      <w:r>
        <w:rPr>
          <w:rStyle w:val="Funotenzeichen"/>
        </w:rPr>
        <w:footnoteRef/>
      </w:r>
      <w:r>
        <w:rPr/>
        <w:tab/>
        <w:t>namens Jairus Gr. der Dativ von Name (possessiver Dativ).</w:t>
      </w:r>
    </w:p>
  </w:footnote>
  <w:footnote w:id="1665">
    <w:p>
      <w:pPr>
        <w:pStyle w:val="Funote"/>
        <w:rPr/>
      </w:pPr>
      <w:r>
        <w:rPr>
          <w:rStyle w:val="Funotenzeichen"/>
        </w:rPr>
        <w:footnoteRef/>
      </w:r>
      <w:r>
        <w:rPr/>
        <w:tab/>
        <w:t>als er ihn sah Temporales Ptz. conj., wohl beschreibendes Partizip.</w:t>
      </w:r>
    </w:p>
  </w:footnote>
  <w:footnote w:id="1666">
    <w:p>
      <w:pPr>
        <w:pStyle w:val="Funote"/>
        <w:rPr/>
      </w:pPr>
      <w:r>
        <w:rPr>
          <w:rStyle w:val="Funotenzeichen"/>
        </w:rPr>
        <w:footnoteRef/>
      </w:r>
      <w:r>
        <w:rPr/>
        <w:tab/>
        <w:t xml:space="preserve">inständig (mehrfach) Das Adverb </w:t>
      </w:r>
      <w:r>
        <w:rPr>
          <w:lang w:val="el-GR"/>
        </w:rPr>
        <w:t>πολλὰ</w:t>
      </w:r>
      <w:r>
        <w:rPr/>
        <w:t xml:space="preserve"> kann man sowohl intensivierend als auch wiederholend verstehen. Hier scheint die intensivierende Funktion besser zu passen (vgl. V. 38 und 43, aber auch V. 10).</w:t>
      </w:r>
    </w:p>
  </w:footnote>
  <w:footnote w:id="1667">
    <w:p>
      <w:pPr>
        <w:pStyle w:val="Funote"/>
        <w:rPr/>
      </w:pPr>
      <w:r>
        <w:rPr>
          <w:rStyle w:val="Funotenzeichen"/>
        </w:rPr>
        <w:footnoteRef/>
      </w:r>
      <w:r>
        <w:rPr/>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1668">
    <w:p>
      <w:pPr>
        <w:pStyle w:val="Funote"/>
        <w:rPr/>
      </w:pPr>
      <w:r>
        <w:rPr>
          <w:rStyle w:val="Funotenzeichen"/>
        </w:rPr>
        <w:footnoteRef/>
      </w:r>
      <w:r>
        <w:rPr/>
        <w:tab/>
        <w:t>komm doch und Temporales Ptz. conj., als Beiordnung übersetzt. Wohl beschreibendes Partizip.</w:t>
      </w:r>
    </w:p>
  </w:footnote>
  <w:footnote w:id="1669">
    <w:p>
      <w:pPr>
        <w:pStyle w:val="Funote"/>
        <w:rPr/>
      </w:pPr>
      <w:r>
        <w:rPr>
          <w:rStyle w:val="Funotenzeichen"/>
        </w:rPr>
        <w:footnoteRef/>
      </w:r>
      <w:r>
        <w:rPr/>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1670">
    <w:p>
      <w:pPr>
        <w:pStyle w:val="Funote"/>
        <w:rPr/>
      </w:pPr>
      <w:r>
        <w:rPr>
          <w:rStyle w:val="Funotenzeichen"/>
        </w:rPr>
        <w:footnoteRef/>
      </w:r>
      <w:r>
        <w:rPr/>
        <w:tab/>
        <w:t>drängten sich um ihn Das griechische Wort konnotiert großen Druck und kann in anderen Zusammenhängen auch „zusammendrücken“ heißen (LSJ). Den Druck der Menge beschreibt Markus also sehr plastisch. Etwas freier: „es herrschte ein großes Gedränge“</w:t>
      </w:r>
    </w:p>
  </w:footnote>
  <w:footnote w:id="1671">
    <w:p>
      <w:pPr>
        <w:pStyle w:val="Funote"/>
        <w:rPr/>
      </w:pPr>
      <w:r>
        <w:rPr>
          <w:rStyle w:val="Funotenzeichen"/>
        </w:rPr>
        <w:footnoteRef/>
      </w:r>
      <w:r>
        <w:rPr/>
        <w:tab/>
        <w:t xml:space="preserve">die [seit] zwölf Jahren an Blutungen litt Attr. Ptz.,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672">
    <w:p>
      <w:pPr>
        <w:pStyle w:val="Funote"/>
        <w:rPr/>
      </w:pPr>
      <w:r>
        <w:rPr>
          <w:rStyle w:val="Funotenzeichen"/>
        </w:rPr>
        <w:footnoteRef/>
      </w:r>
      <w:r>
        <w:rPr/>
        <w:tab/>
        <w:t>durchgemacht … die ... ausgegeben hatte, ohne etwas zu erreichen … gegangen Attr. Ptz. Aor. (4x), vorzeitig übersetzt und (teils unter Wiederholung des Relativpronomens) an den im vorigen Satz begonnen Relativsatz gehängt. Das Hauptverb erfolgt erst in V. 27. Theoretisch könnte man die Partizipien auch als kausale Ptz. conj.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673">
    <w:p>
      <w:pPr>
        <w:pStyle w:val="Funote"/>
        <w:rPr/>
      </w:pPr>
      <w:r>
        <w:rPr>
          <w:rStyle w:val="Funotenzeichen"/>
        </w:rPr>
        <w:footnoteRef/>
      </w:r>
      <w:r>
        <w:rPr/>
        <w:tab/>
        <w:t>als sie (die) ... hörte, näherte sie sich … und Zwei Ptz. conj. (Präsens und Aorist), temporal aufgelöst. Das erste könnte man auch attributiv verstehen und in den vorangehenden Relativsatz einreihen.</w:t>
      </w:r>
    </w:p>
  </w:footnote>
  <w:footnote w:id="1674">
    <w:p>
      <w:pPr>
        <w:pStyle w:val="Funote"/>
        <w:rPr/>
      </w:pPr>
      <w:r>
        <w:rPr>
          <w:rStyle w:val="Funotenzeichen"/>
        </w:rPr>
        <w:footnoteRef/>
      </w:r>
      <w:r>
        <w:rPr/>
        <w:tab/>
        <w:t>sagte sich Das Imperfekt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675">
    <w:p>
      <w:pPr>
        <w:pStyle w:val="Funote"/>
        <w:rPr/>
      </w:pPr>
      <w:r>
        <w:rPr>
          <w:rStyle w:val="Funotenzeichen"/>
        </w:rPr>
        <w:footnoteRef/>
      </w:r>
      <w:r>
        <w:rPr/>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1676">
    <w:p>
      <w:pPr>
        <w:pStyle w:val="Funote"/>
        <w:rPr/>
      </w:pPr>
      <w:r>
        <w:rPr>
          <w:rStyle w:val="Funotenzeichen"/>
        </w:rPr>
        <w:footnoteRef/>
      </w:r>
      <w:r>
        <w:rPr/>
        <w:tab/>
        <w:t>[an (in) ihrem] Körper Wohl instrumentaler oder lokaler Dativ; hier soll es aber wohl nur markieren, dass es sich bei ihrem „merken“ um eine körperliche Empfindung handelt (Grosvenor/Zerwick), daher besser „spürte sie an ihrem Körper“.</w:t>
      </w:r>
    </w:p>
  </w:footnote>
  <w:footnote w:id="1677">
    <w:p>
      <w:pPr>
        <w:pStyle w:val="Funote"/>
        <w:rPr/>
      </w:pPr>
      <w:r>
        <w:rPr>
          <w:rStyle w:val="Funotenzeichen"/>
        </w:rPr>
        <w:footnoteRef/>
      </w:r>
      <w:r>
        <w:rPr/>
        <w:tab/>
        <w:t>Leiden (Qual) W. „Geißel“, übertragen „Plage“. Per Bedeutungserweiterung auch „Leiden“ oder „Gebrechen“ (vgl. LN 23.182).</w:t>
      </w:r>
    </w:p>
  </w:footnote>
  <w:footnote w:id="1678">
    <w:p>
      <w:pPr>
        <w:pStyle w:val="Funote"/>
        <w:rPr/>
      </w:pPr>
      <w:r>
        <w:rPr>
          <w:rStyle w:val="Funotenzeichen"/>
        </w:rPr>
        <w:footnoteRef/>
      </w:r>
      <w:r>
        <w:rPr/>
        <w:tab/>
        <w:t>der (als/weil er) merkte Ptz. conj. (temporal oder kausal), hier als Relativsatz aufgelöst.</w:t>
      </w:r>
    </w:p>
  </w:footnote>
  <w:footnote w:id="1679">
    <w:p>
      <w:pPr>
        <w:pStyle w:val="Funote"/>
        <w:rPr/>
      </w:pPr>
      <w:r>
        <w:rPr>
          <w:rStyle w:val="Funotenzeichen"/>
        </w:rPr>
        <w:footnoteRef/>
      </w:r>
      <w:r>
        <w:rPr/>
        <w:tab/>
        <w:t>merkte, dass Kraft von ihm ausgegangen war AcP Oder anders aufgelöst: „[die] Kraft bemerkte, die...“ Das Ptz. Aor. Könnte man evtl. auch gleichzeitig verstehen „sofort bemerkte, dass Kraft von ihm ausging“ (vgl. EÜ).</w:t>
      </w:r>
    </w:p>
  </w:footnote>
  <w:footnote w:id="1680">
    <w:p>
      <w:pPr>
        <w:pStyle w:val="Funote"/>
        <w:rPr/>
      </w:pPr>
      <w:r>
        <w:rPr>
          <w:rStyle w:val="Funotenzeichen"/>
        </w:rPr>
        <w:footnoteRef/>
      </w:r>
      <w:r>
        <w:rPr/>
        <w:tab/>
        <w:t>fragte (sagte, wiederholte) Das Verb steht im Imperfekt.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681">
    <w:p>
      <w:pPr>
        <w:pStyle w:val="Funote"/>
        <w:rPr/>
      </w:pPr>
      <w:r>
        <w:rPr>
          <w:rStyle w:val="Funotenzeichen"/>
        </w:rPr>
        <w:footnoteRef/>
      </w:r>
      <w:r>
        <w:rPr/>
        <w:tab/>
        <w:t>die sich um dich drängt Atr. Ptz., als Relativsatz aufgelöst. Zum Wort s. die Fußnote in V. 24.</w:t>
      </w:r>
    </w:p>
  </w:footnote>
  <w:footnote w:id="1682">
    <w:p>
      <w:pPr>
        <w:pStyle w:val="Funote"/>
        <w:rPr/>
      </w:pPr>
      <w:r>
        <w:rPr>
          <w:rStyle w:val="Funotenzeichen"/>
        </w:rPr>
        <w:footnoteRef/>
      </w:r>
      <w:r>
        <w:rPr/>
        <w:tab/>
        <w:t>die [Person], die es gewesen war (getan hatte) Attr. Ptz.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683">
    <w:p>
      <w:pPr>
        <w:pStyle w:val="Funote"/>
        <w:rPr/>
      </w:pPr>
      <w:r>
        <w:rPr>
          <w:rStyle w:val="Funotenzeichen"/>
        </w:rPr>
        <w:footnoteRef/>
      </w:r>
      <w:r>
        <w:rPr/>
        <w:tab/>
        <w:t>fürchtete sich und zitterte, weil sie wusste Ptz. conj.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684">
    <w:p>
      <w:pPr>
        <w:pStyle w:val="Funote"/>
        <w:rPr/>
      </w:pPr>
      <w:r>
        <w:rPr>
          <w:rStyle w:val="Funotenzeichen"/>
        </w:rPr>
        <w:footnoteRef/>
      </w:r>
      <w:r>
        <w:rPr/>
        <w:tab/>
        <w:t>Während er noch redete Temporaler Gen. abs., als Nebensatz aufgelöst.</w:t>
      </w:r>
    </w:p>
  </w:footnote>
  <w:footnote w:id="1685">
    <w:p>
      <w:pPr>
        <w:pStyle w:val="Funote"/>
        <w:rPr/>
      </w:pPr>
      <w:r>
        <w:rPr>
          <w:rStyle w:val="Funotenzeichen"/>
        </w:rPr>
        <w:footnoteRef/>
      </w:r>
      <w:r>
        <w:rPr/>
        <w:tab/>
        <w:t>und richteten aus Ptz. conj., temporal-modal, beigeordnet übersetzt.</w:t>
      </w:r>
    </w:p>
  </w:footnote>
  <w:footnote w:id="1686">
    <w:p>
      <w:pPr>
        <w:pStyle w:val="Funote"/>
        <w:rPr/>
      </w:pPr>
      <w:r>
        <w:rPr>
          <w:rStyle w:val="Funotenzeichen"/>
        </w:rPr>
        <w:footnoteRef/>
      </w:r>
      <w:r>
        <w:rPr/>
        <w:tab/>
        <w:t xml:space="preserve">der mitbekommen hatte Ptz. conj. (Aor.), modal, kausal oder temporal, hier als Relativsatz aufgelöst. wie die Botschaft ausgerichtet wurde AcP,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687">
    <w:p>
      <w:pPr>
        <w:pStyle w:val="Funote"/>
        <w:rPr/>
      </w:pPr>
      <w:r>
        <w:rPr>
          <w:rStyle w:val="Funotenzeichen"/>
        </w:rPr>
        <w:footnoteRef/>
      </w:r>
      <w:r>
        <w:rPr/>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1688">
    <w:p>
      <w:pPr>
        <w:pStyle w:val="Funote"/>
        <w:rPr/>
      </w:pPr>
      <w:r>
        <w:rPr>
          <w:rStyle w:val="Funotenzeichen"/>
        </w:rPr>
        <w:footnoteRef/>
      </w:r>
      <w:r>
        <w:rPr/>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1689">
    <w:p>
      <w:pPr>
        <w:pStyle w:val="Funote"/>
        <w:rPr/>
      </w:pPr>
      <w:r>
        <w:rPr>
          <w:rStyle w:val="Funotenzeichen"/>
        </w:rPr>
        <w:footnoteRef/>
      </w:r>
      <w:r>
        <w:rPr/>
        <w:tab/>
        <w:t>sah er … [Menschen], die heftig heulten und wehklagten AcP (zwei Ptz.), unter Ergänzung eines Objekts mit Relativsatz wiedergegeben.</w:t>
      </w:r>
    </w:p>
  </w:footnote>
  <w:footnote w:id="1690">
    <w:p>
      <w:pPr>
        <w:pStyle w:val="Funote"/>
        <w:rPr/>
      </w:pPr>
      <w:r>
        <w:rPr>
          <w:rStyle w:val="Funotenzeichen"/>
        </w:rPr>
        <w:footnoteRef/>
      </w:r>
      <w:r>
        <w:rPr/>
        <w:tab/>
        <w:t>nach dem (beim) Eintreten Temporal-modales Ptz. conj., als Präpositionalphrase aufgelöst.</w:t>
      </w:r>
    </w:p>
  </w:footnote>
  <w:footnote w:id="1691">
    <w:p>
      <w:pPr>
        <w:pStyle w:val="Funote"/>
        <w:rPr/>
      </w:pPr>
      <w:r>
        <w:rPr>
          <w:rStyle w:val="Funotenzeichen"/>
        </w:rPr>
        <w:footnoteRef/>
      </w:r>
      <w:r>
        <w:rPr/>
        <w:tab/>
        <w:t>Er nahm die Hand Gen. abs., temporal-modal, beigeordnet aufgelöst.</w:t>
      </w:r>
    </w:p>
  </w:footnote>
  <w:footnote w:id="1692">
    <w:p>
      <w:pPr>
        <w:pStyle w:val="Funote"/>
        <w:rPr/>
      </w:pPr>
      <w:r>
        <w:rPr>
          <w:rStyle w:val="Funotenzeichen"/>
        </w:rPr>
        <w:footnoteRef/>
      </w:r>
      <w:r>
        <w:rPr/>
        <w:tab/>
        <w:t>„</w:t>
      </w:r>
      <w:r>
        <w:rPr/>
        <w:t>Talita kum!“ Aramäisch für „Mädchen, steh auf!“ Kum (</w:t>
      </w:r>
      <w:r>
        <w:rPr>
          <w:rtl w:val="true"/>
          <w:lang w:bidi="he-IL"/>
        </w:rPr>
        <w:t>קום</w:t>
      </w:r>
      <w:r>
        <w:rPr/>
        <w:t>) ist der maskuline Imperativ.</w:t>
      </w:r>
    </w:p>
  </w:footnote>
  <w:footnote w:id="1693">
    <w:p>
      <w:pPr>
        <w:pStyle w:val="Funote"/>
        <w:rPr/>
      </w:pPr>
      <w:r>
        <w:rPr>
          <w:rStyle w:val="Funotenzeichen"/>
        </w:rPr>
        <w:footnoteRef/>
      </w:r>
      <w:r>
        <w:rPr/>
        <w:tab/>
        <w:t>begann umherzugehen Als inchoatives Imperfekt übersetzt (vgl. Guelich 1989, 303).</w:t>
      </w:r>
    </w:p>
  </w:footnote>
  <w:footnote w:id="1694">
    <w:p>
      <w:pPr>
        <w:pStyle w:val="Funote"/>
        <w:rPr/>
      </w:pPr>
      <w:r>
        <w:rPr>
          <w:rStyle w:val="Funotenzeichen"/>
        </w:rPr>
        <w:footnoteRef/>
      </w:r>
      <w:r>
        <w:rPr/>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Verb+Inf. abs.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Dativus modi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695">
    <w:p>
      <w:pPr>
        <w:pStyle w:val="Funote"/>
        <w:rPr/>
      </w:pPr>
      <w:r>
        <w:rPr>
          <w:rStyle w:val="Funotenzeichen"/>
        </w:rPr>
        <w:footnoteRef/>
      </w:r>
      <w:r>
        <w:rPr/>
        <w:tab/>
        <w:t xml:space="preserve">unmissverständlich (mehrmals, ausdrücklich) Das Adverb </w:t>
      </w:r>
      <w:r>
        <w:rPr>
          <w:lang w:val="el-GR"/>
        </w:rPr>
        <w:t>πολλὰ</w:t>
      </w:r>
      <w:r>
        <w:rPr/>
        <w:t xml:space="preserve"> kann man sowohl intensivierend als auch wiederholend verstehen, die meisten Übersetzungen intensivieren. Vgl. V. 23 und 38, aber auch V. 10.</w:t>
      </w:r>
    </w:p>
  </w:footnote>
  <w:footnote w:id="1696">
    <w:p>
      <w:pPr>
        <w:pStyle w:val="Funote"/>
        <w:rPr/>
      </w:pPr>
      <w:r>
        <w:rPr>
          <w:rStyle w:val="Funotenzeichen"/>
        </w:rPr>
        <w:footnoteRef/>
      </w:r>
      <w:r>
        <w:rPr/>
        <w:tab/>
        <w:t>[man solle] Der griechische Infinitivsatz ist (dem Deutschen ganz ähnlich) final. In der gegenwärtigen Formulierung ist im Deutschen eine finale Satzeinleitung notwendig.</w:t>
      </w:r>
    </w:p>
  </w:footnote>
  <w:footnote w:id="1697">
    <w:p>
      <w:pPr>
        <w:pStyle w:val="Funote"/>
        <w:rPr/>
      </w:pPr>
      <w:r>
        <w:rPr>
          <w:rStyle w:val="Funotenzeichen"/>
        </w:rPr>
        <w:footnoteRef/>
      </w:r>
      <w:r>
        <w:rPr/>
        <w:tab/>
        <w:t>[Status: Zuverlässig]</w:t>
      </w:r>
    </w:p>
  </w:footnote>
  <w:footnote w:id="1698">
    <w:p>
      <w:pPr>
        <w:pStyle w:val="Funote"/>
        <w:rPr/>
      </w:pPr>
      <w:r>
        <w:rPr>
          <w:rStyle w:val="Funotenzeichen"/>
        </w:rPr>
        <w:footnoteRef/>
      </w:r>
      <w:r>
        <w:rPr/>
        <w:tab/>
        <w:t>Heimat Gemeint ist Nazaret (Mk 1,9.24). Die meisten Übersetzungen spezifizieren „Heimatstadt“ oder „Vaterstadt“.</w:t>
      </w:r>
    </w:p>
  </w:footnote>
  <w:footnote w:id="1699">
    <w:p>
      <w:pPr>
        <w:pStyle w:val="Funote"/>
        <w:rPr/>
      </w:pPr>
      <w:r>
        <w:rPr>
          <w:rStyle w:val="Funotenzeichen"/>
        </w:rPr>
        <w:footnoteRef/>
      </w:r>
      <w:r>
        <w:rPr/>
        <w:tab/>
        <w:t>als … gekommen war Gen. abs., als temporaler Nebensatz aufgelöst.</w:t>
      </w:r>
    </w:p>
  </w:footnote>
  <w:footnote w:id="1700">
    <w:p>
      <w:pPr>
        <w:pStyle w:val="Funote"/>
        <w:rPr/>
      </w:pPr>
      <w:r>
        <w:rPr>
          <w:rStyle w:val="Funotenzeichen"/>
        </w:rPr>
        <w:footnoteRef/>
      </w:r>
      <w:r>
        <w:rPr/>
        <w:tab/>
        <w:t>begann er, in der Synagoge zu lehren (lehrte er) Markus benutzt „beginnen“ gerne schwach und ohne echte Funktion. Viele Übersetzungen formulieren daher wie in der Klammer. Vgl. die Fußnote zu 5,17.</w:t>
      </w:r>
    </w:p>
  </w:footnote>
  <w:footnote w:id="1701">
    <w:p>
      <w:pPr>
        <w:pStyle w:val="Funote"/>
        <w:rPr/>
      </w:pPr>
      <w:r>
        <w:rPr>
          <w:rStyle w:val="Funotenzeichen"/>
        </w:rPr>
        <w:footnoteRef/>
      </w:r>
      <w:r>
        <w:rPr/>
        <w:tab/>
        <w:t>und sagten Modales Ptz. conj., beigeordnet aufgelöst.</w:t>
      </w:r>
    </w:p>
  </w:footnote>
  <w:footnote w:id="1702">
    <w:p>
      <w:pPr>
        <w:pStyle w:val="Funote"/>
        <w:rPr/>
      </w:pPr>
      <w:r>
        <w:rPr>
          <w:rStyle w:val="Funotenzeichen"/>
        </w:rPr>
        <w:footnoteRef/>
      </w:r>
      <w:r>
        <w:rPr/>
        <w:tab/>
        <w:t>und (und [wie kommt es, dass]) solche Wunder, die durch seine Hände geschehen Den Satz kann man entweder als überraschten Ausruf verstehen (wie die meisten Übersetzungen), oder als elliptische Frage (so NGÜ). Dabei wäre wie in der Klammer [wie kommt es, dass] sinngemäß zu ergänzen (NSS).</w:t>
      </w:r>
    </w:p>
  </w:footnote>
  <w:footnote w:id="1703">
    <w:p>
      <w:pPr>
        <w:pStyle w:val="Funote"/>
        <w:rPr/>
      </w:pPr>
      <w:r>
        <w:rPr>
          <w:rStyle w:val="Funotenzeichen"/>
        </w:rPr>
        <w:footnoteRef/>
      </w:r>
      <w:r>
        <w:rPr/>
        <w:tab/>
        <w:t>auflegte und Modales Ptz. conj., hier mit „und“ beigeordnet. Auch möglich: „indem er ihnen die Hände auflegte“ oder „durch Handauflegen“ (MEN)</w:t>
      </w:r>
    </w:p>
  </w:footnote>
  <w:footnote w:id="1704">
    <w:p>
      <w:pPr>
        <w:pStyle w:val="Funote"/>
        <w:rPr/>
      </w:pPr>
      <w:r>
        <w:rPr>
          <w:rStyle w:val="Funotenzeichen"/>
        </w:rPr>
        <w:footnoteRef/>
      </w:r>
      <w:r>
        <w:rPr/>
        <w:tab/>
        <w:t>und lehrte Modales Ptz. conj., beigeordnet aufgelöst.</w:t>
      </w:r>
    </w:p>
  </w:footnote>
  <w:footnote w:id="1705">
    <w:p>
      <w:pPr>
        <w:pStyle w:val="Funote"/>
        <w:rPr/>
      </w:pPr>
      <w:r>
        <w:rPr>
          <w:rStyle w:val="Funotenzeichen"/>
        </w:rPr>
        <w:footnoteRef/>
      </w:r>
      <w:r>
        <w:rPr/>
        <w:tab/>
        <w:t>paarweise W. „zwei zwei“. Die Formulierung war sowohl in der Volkssprache als auch in semitischen Sprachen gebräuchlich (NSS).</w:t>
      </w:r>
    </w:p>
  </w:footnote>
  <w:footnote w:id="1706">
    <w:p>
      <w:pPr>
        <w:pStyle w:val="Funote"/>
        <w:rPr/>
      </w:pPr>
      <w:r>
        <w:rPr>
          <w:rStyle w:val="Funotenzeichen"/>
        </w:rPr>
        <w:footnoteRef/>
      </w:r>
      <w:r>
        <w:rPr/>
        <w:tab/>
        <w:t>sandte aus W. „begann auszusenden“. Dazu s. die Fußnote zu 5,17. Ein ähnlicher Fall liegt auch in V. 2 vor.</w:t>
      </w:r>
    </w:p>
  </w:footnote>
  <w:footnote w:id="1707">
    <w:p>
      <w:pPr>
        <w:pStyle w:val="Funote"/>
        <w:rPr/>
      </w:pPr>
      <w:r>
        <w:rPr>
          <w:rStyle w:val="Funotenzeichen"/>
        </w:rPr>
        <w:footnoteRef/>
      </w:r>
      <w:r>
        <w:rPr/>
        <w:tab/>
        <w:t>Geld W. „Kupfer(münze)“ (oder „Bronze(münze)“). Das Wort wird hier metonymisch für Kupfermünzen, also Kleingeld benutzt. Die Parallelstelle Mt 10,19 führt aus: „weder Gold noch Silber noch Kupfer...“ im Gürtel Im Orient bewahrte man Geld lange in den Falten des Gürtels auf, einem breiten Tuch, das entsprechend um die Hüfte gebunden war.</w:t>
      </w:r>
    </w:p>
  </w:footnote>
  <w:footnote w:id="1708">
    <w:p>
      <w:pPr>
        <w:pStyle w:val="Funote"/>
        <w:rPr/>
      </w:pPr>
      <w:r>
        <w:rPr>
          <w:rStyle w:val="Funotenzeichen"/>
        </w:rPr>
        <w:footnoteRef/>
      </w:r>
      <w:r>
        <w:rPr/>
        <w:tab/>
        <w:t xml:space="preserve">dabei jedoch Sandalen zu tragen Mod. oder konz. Ptz. conj. Pf. zu tragen ist das resultative Äquivalent des griechischen Perfekts,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AcI handelte (NSS nach BDR §470.3). Collins versteht das Partizip als imperativisch (BDR 468.2), übersieht jedoch, dass es sich hier um einen Akkusativ, nicht wie andernfalls erforderlich um einen Nominativ handelt (Collins 2007, 299 Fn 25).</w:t>
      </w:r>
    </w:p>
  </w:footnote>
  <w:footnote w:id="1709">
    <w:p>
      <w:pPr>
        <w:pStyle w:val="Funote"/>
        <w:rPr/>
      </w:pPr>
      <w:r>
        <w:rPr>
          <w:rStyle w:val="Funotenzeichen"/>
        </w:rPr>
        <w:footnoteRef/>
      </w:r>
      <w:r>
        <w:rPr/>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1710">
    <w:p>
      <w:pPr>
        <w:pStyle w:val="Funote"/>
        <w:rPr/>
      </w:pPr>
      <w:r>
        <w:rPr>
          <w:rStyle w:val="Funotenzeichen"/>
        </w:rPr>
        <w:footnoteRef/>
      </w:r>
      <w:r>
        <w:rPr/>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711">
    <w:p>
      <w:pPr>
        <w:pStyle w:val="Funote"/>
        <w:rPr/>
      </w:pPr>
      <w:r>
        <w:rPr>
          <w:rStyle w:val="Funotenzeichen"/>
        </w:rPr>
        <w:footnoteRef/>
      </w:r>
      <w:r>
        <w:rPr/>
        <w:tab/>
        <w:t>beim Aufbruch bzw. geht von dort weg und Modales Ptz. conj., als Präpositionalphrase (bzw. beigeordnete Konstruktion) übersetzt.</w:t>
      </w:r>
    </w:p>
  </w:footnote>
  <w:footnote w:id="1712">
    <w:p>
      <w:pPr>
        <w:pStyle w:val="Funote"/>
        <w:rPr/>
      </w:pPr>
      <w:r>
        <w:rPr>
          <w:rStyle w:val="Funotenzeichen"/>
        </w:rPr>
        <w:footnoteRef/>
      </w:r>
      <w:r>
        <w:rPr/>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1713">
    <w:p>
      <w:pPr>
        <w:pStyle w:val="Funote"/>
        <w:rPr/>
      </w:pPr>
      <w:r>
        <w:rPr>
          <w:rStyle w:val="Funotenzeichen"/>
        </w:rPr>
        <w:footnoteRef/>
      </w:r>
      <w:r>
        <w:rPr/>
        <w:tab/>
        <w:t>als Zeugenaussage (Beweis, Zeichen, Zeugnis) [gegen (für)] sie Es handelt sich bei gegen um einen Dativus incommodi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714">
    <w:p>
      <w:pPr>
        <w:pStyle w:val="Funote"/>
        <w:rPr/>
      </w:pPr>
      <w:r>
        <w:rPr>
          <w:rStyle w:val="Funotenzeichen"/>
        </w:rPr>
        <w:footnoteRef/>
      </w:r>
      <w:r>
        <w:rPr/>
        <w:tab/>
        <w:t>machten sich auf den Weg Modal-temporales Ptz. conj., beigeordnet aufgelöst.</w:t>
      </w:r>
    </w:p>
  </w:footnote>
  <w:footnote w:id="1715">
    <w:p>
      <w:pPr>
        <w:pStyle w:val="Funote"/>
        <w:rPr/>
      </w:pPr>
      <w:r>
        <w:rPr>
          <w:rStyle w:val="Funotenzeichen"/>
        </w:rPr>
        <w:footnoteRef/>
      </w:r>
      <w:r>
        <w:rPr/>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1716">
    <w:p>
      <w:pPr>
        <w:pStyle w:val="Funote"/>
        <w:rPr/>
      </w:pPr>
      <w:r>
        <w:rPr>
          <w:rStyle w:val="Funotenzeichen"/>
        </w:rPr>
        <w:footnoteRef/>
      </w:r>
      <w:r>
        <w:rPr/>
        <w:tab/>
        <w:t>meinten Das Imperfekt leitet hier die (vielfach geäußerte) öffentliche Meinung ein. In V. 15 sind dagegen mit Aor. offenbar spezifische Einzelaussagen zu hören. ZÜR: „es hieß“+indirekte Rede.</w:t>
      </w:r>
    </w:p>
  </w:footnote>
  <w:footnote w:id="1717">
    <w:p>
      <w:pPr>
        <w:pStyle w:val="Funote"/>
        <w:rPr/>
      </w:pPr>
      <w:r>
        <w:rPr>
          <w:rStyle w:val="Funotenzeichen"/>
        </w:rPr>
        <w:footnoteRef/>
      </w:r>
      <w:r>
        <w:rPr/>
        <w:tab/>
        <w:t>Das erklärt, warum W. »und aus diesem Grund/deshalb«</w:t>
      </w:r>
    </w:p>
  </w:footnote>
  <w:footnote w:id="1718">
    <w:p>
      <w:pPr>
        <w:pStyle w:val="Funote"/>
        <w:rPr/>
      </w:pPr>
      <w:r>
        <w:rPr>
          <w:rStyle w:val="Funotenzeichen"/>
        </w:rPr>
        <w:footnoteRef/>
      </w:r>
      <w:r>
        <w:rPr/>
        <w:tab/>
        <w:t>Elija Die Rückkehr des im Alten Testament entrückten Propheten wurde aufgrund von Mal 3,23-24 zu Jesu Zeit vielfach erwartet (France 2002, 253).</w:t>
      </w:r>
    </w:p>
  </w:footnote>
  <w:footnote w:id="1719">
    <w:p>
      <w:pPr>
        <w:pStyle w:val="Funote"/>
        <w:rPr/>
      </w:pPr>
      <w:r>
        <w:rPr>
          <w:rStyle w:val="Funotenzeichen"/>
        </w:rPr>
        <w:footnoteRef/>
      </w:r>
      <w:r>
        <w:rPr/>
        <w:tab/>
        <w:t>Als … hörte Ptz. conj., als temporaler Nebensatz aufgelöst.</w:t>
      </w:r>
    </w:p>
  </w:footnote>
  <w:footnote w:id="1720">
    <w:p>
      <w:pPr>
        <w:pStyle w:val="Funote"/>
        <w:rPr/>
      </w:pPr>
      <w:r>
        <w:rPr>
          <w:rStyle w:val="Funotenzeichen"/>
        </w:rPr>
        <w:footnoteRef/>
      </w:r>
      <w:r>
        <w:rPr/>
        <w:tab/>
        <w:t>glaubte er W. „sagte“ (Imperfekt),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ich enthauptet habe, die anzeigen könnte, dass Herodes sich für Johannes' Tod verantwortlich fühlt; so France 2002, 254; vgl. Collins 2007, 304).</w:t>
      </w:r>
    </w:p>
  </w:footnote>
  <w:footnote w:id="1721">
    <w:p>
      <w:pPr>
        <w:pStyle w:val="Funote"/>
        <w:rPr/>
      </w:pPr>
      <w:r>
        <w:rPr>
          <w:rStyle w:val="Funotenzeichen"/>
        </w:rPr>
        <w:footnoteRef/>
      </w:r>
      <w:r>
        <w:rPr/>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1722">
    <w:p>
      <w:pPr>
        <w:pStyle w:val="Funote"/>
        <w:rPr/>
      </w:pPr>
      <w:r>
        <w:rPr>
          <w:rStyle w:val="Funotenzeichen"/>
        </w:rPr>
        <w:footnoteRef/>
      </w:r>
      <w:r>
        <w:rPr/>
        <w:tab/>
        <w:t xml:space="preserve">lassen Oder: „[Soldaten] ausgesandt und“ (vgl. MEN). Das modale Ptz. conj. modifiziert hier kausativ zwei finite Verben und heißt dasselbe wie das Deutsche „lassen“ (BA </w:t>
      </w:r>
      <w:r>
        <w:rPr>
          <w:lang w:val="el-GR"/>
        </w:rPr>
        <w:t>ἀποστέλλω</w:t>
      </w:r>
      <w:r>
        <w:rPr/>
        <w:t>, 2.; vgl. NSS).</w:t>
      </w:r>
    </w:p>
  </w:footnote>
  <w:footnote w:id="1723">
    <w:p>
      <w:pPr>
        <w:pStyle w:val="Funote"/>
        <w:rPr/>
      </w:pPr>
      <w:r>
        <w:rPr>
          <w:rStyle w:val="Funotenzeichen"/>
        </w:rPr>
        <w:footnoteRef/>
      </w:r>
      <w:r>
        <w:rPr/>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1724">
    <w:p>
      <w:pPr>
        <w:pStyle w:val="Funote"/>
        <w:rPr/>
      </w:pPr>
      <w:r>
        <w:rPr>
          <w:rStyle w:val="Funotenzeichen"/>
        </w:rPr>
        <w:footnoteRef/>
      </w:r>
      <w:r>
        <w:rPr/>
        <w:tab/>
        <w:t>hatte [wiederholt] gesagt Das Imperfekt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725">
    <w:p>
      <w:pPr>
        <w:pStyle w:val="Funote"/>
        <w:rPr/>
      </w:pPr>
      <w:r>
        <w:rPr>
          <w:rStyle w:val="Funotenzeichen"/>
        </w:rPr>
        <w:footnoteRef/>
      </w:r>
      <w:r>
        <w:rPr/>
        <w:tab/>
        <w:t>plante (wollte) „wollen“ im durativen Imperfekt ist „über einen längeren Zeitraum wollen“ → „planen“.</w:t>
      </w:r>
    </w:p>
  </w:footnote>
  <w:footnote w:id="1726">
    <w:p>
      <w:pPr>
        <w:pStyle w:val="Funote"/>
        <w:rPr/>
      </w:pPr>
      <w:r>
        <w:rPr>
          <w:rStyle w:val="Funotenzeichen"/>
        </w:rPr>
        <w:footnoteRef/>
      </w:r>
      <w:r>
        <w:rPr/>
        <w:tab/>
        <w:t>hatte lange keine Gelegenheit dazu W. es gelang ihr nicht oder „sie konnte nicht“ (Ipf.).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727">
    <w:p>
      <w:pPr>
        <w:pStyle w:val="Funote"/>
        <w:rPr/>
      </w:pPr>
      <w:r>
        <w:rPr>
          <w:rStyle w:val="Funotenzeichen"/>
        </w:rPr>
        <w:footnoteRef/>
      </w:r>
      <w:r>
        <w:rPr/>
        <w:tab/>
        <w:t>respektierte/fürchtete und weil er wusste (kausales Ptz. conj.,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728">
    <w:p>
      <w:pPr>
        <w:pStyle w:val="Funote"/>
        <w:rPr/>
      </w:pPr>
      <w:r>
        <w:rPr>
          <w:rStyle w:val="Funotenzeichen"/>
        </w:rPr>
        <w:footnoteRef/>
      </w:r>
      <w:r>
        <w:rPr/>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1729">
    <w:p>
      <w:pPr>
        <w:pStyle w:val="Funote"/>
        <w:rPr/>
      </w:pPr>
      <w:r>
        <w:rPr>
          <w:rStyle w:val="Funotenzeichen"/>
        </w:rPr>
        <w:footnoteRef/>
      </w:r>
      <w:r>
        <w:rPr/>
        <w:tab/>
        <w:t>wenn er ihm zuhörte Temporales Ptz. conj., als Nebensatz aufgelöst. Die Klammer übersetzt vorzeitig, Sinn wäre „nach dem Zuhören“.</w:t>
      </w:r>
    </w:p>
  </w:footnote>
  <w:footnote w:id="1730">
    <w:p>
      <w:pPr>
        <w:pStyle w:val="Funote"/>
        <w:rPr/>
      </w:pPr>
      <w:r>
        <w:rPr>
          <w:rStyle w:val="Funotenzeichen"/>
        </w:rPr>
        <w:footnoteRef/>
      </w:r>
      <w:r>
        <w:rPr/>
        <w:tab/>
        <w:t xml:space="preserve">immer wieder stark verunsichert Das Adverb </w:t>
      </w:r>
      <w:r>
        <w:rPr>
          <w:lang w:val="el-GR"/>
        </w:rPr>
        <w:t>πολλὰ</w:t>
      </w:r>
      <w:r>
        <w:rPr/>
        <w:t xml:space="preserve"> kann sowohl intensivierend als auch wiederholend gemeint sein. Da das Imperfekt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w:t>
      </w:r>
    </w:p>
  </w:footnote>
  <w:footnote w:id="1731">
    <w:p>
      <w:pPr>
        <w:pStyle w:val="Funote"/>
        <w:rPr/>
      </w:pPr>
      <w:r>
        <w:rPr>
          <w:rStyle w:val="Funotenzeichen"/>
        </w:rPr>
        <w:footnoteRef/>
      </w:r>
      <w:r>
        <w:rPr/>
        <w:tab/>
        <w:t>als ein günstiger Zeitpunkt kam Gen. abs., temporal als Nebensatz aufgelöst. Der Hauptsatz kommt erst in V. 22.</w:t>
      </w:r>
    </w:p>
  </w:footnote>
  <w:footnote w:id="1732">
    <w:p>
      <w:pPr>
        <w:pStyle w:val="Funote"/>
        <w:rPr/>
      </w:pPr>
      <w:r>
        <w:rPr>
          <w:rStyle w:val="Funotenzeichen"/>
        </w:rPr>
        <w:footnoteRef/>
      </w:r>
      <w:r>
        <w:rPr/>
        <w:tab/>
        <w:t>[anlässlich] seines Geburtstages Temporaler Dativ.</w:t>
      </w:r>
    </w:p>
  </w:footnote>
  <w:footnote w:id="1733">
    <w:p>
      <w:pPr>
        <w:pStyle w:val="Funote"/>
        <w:rPr/>
      </w:pPr>
      <w:r>
        <w:rPr>
          <w:rStyle w:val="Funotenzeichen"/>
        </w:rPr>
        <w:footnoteRef/>
      </w:r>
      <w:r>
        <w:rPr/>
        <w:tab/>
        <w:t>Galiläas angesehenste Bürger W. „die Ersten Galiläas“</w:t>
      </w:r>
    </w:p>
  </w:footnote>
  <w:footnote w:id="1734">
    <w:p>
      <w:pPr>
        <w:pStyle w:val="Funote"/>
        <w:rPr/>
      </w:pPr>
      <w:r>
        <w:rPr>
          <w:rStyle w:val="Funotenzeichen"/>
        </w:rPr>
        <w:footnoteRef/>
      </w:r>
      <w:r>
        <w:rPr/>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1735">
    <w:p>
      <w:pPr>
        <w:pStyle w:val="Funote"/>
        <w:rPr/>
      </w:pPr>
      <w:r>
        <w:rPr>
          <w:rStyle w:val="Funotenzeichen"/>
        </w:rPr>
        <w:footnoteRef/>
      </w:r>
      <w:r>
        <w:rPr/>
        <w:tab/>
        <w:t>als … hereinkam und tanzte Gen. abs., als temporaler Nebensatz aufgelöst. Nach der generellen Zeitangabe (V. 21) bildet dieser Gen. abs. nun die spezifische. Als Herodes' Aufforderung kam, wusste Herodias, dass dies der „günstige Tag“ (V. 21) war.</w:t>
      </w:r>
    </w:p>
  </w:footnote>
  <w:footnote w:id="1736">
    <w:p>
      <w:pPr>
        <w:pStyle w:val="Funote"/>
        <w:rPr/>
      </w:pPr>
      <w:r>
        <w:rPr>
          <w:rStyle w:val="Funotenzeichen"/>
        </w:rPr>
        <w:footnoteRef/>
      </w:r>
      <w:r>
        <w:rPr/>
        <w:tab/>
        <w:t>seinen Tischgästen (denen, die mit [ihm] aßen/[zu Tisch] lagen) Die meisten deutschen Übersetzungen übertragen das subst. Ptz. einfach als „seine Gäste“. Wie LUT, ELB kann man es auch als Relativsatz auflösen.</w:t>
      </w:r>
    </w:p>
  </w:footnote>
  <w:footnote w:id="1737">
    <w:p>
      <w:pPr>
        <w:pStyle w:val="Funote"/>
        <w:rPr/>
      </w:pPr>
      <w:r>
        <w:rPr>
          <w:rStyle w:val="Funotenzeichen"/>
        </w:rPr>
        <w:footnoteRef/>
      </w:r>
      <w:r>
        <w:rPr/>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1738">
    <w:p>
      <w:pPr>
        <w:pStyle w:val="Funote"/>
        <w:rPr/>
      </w:pPr>
      <w:r>
        <w:rPr>
          <w:rStyle w:val="Funotenzeichen"/>
        </w:rPr>
        <w:footnoteRef/>
      </w:r>
      <w:r>
        <w:rPr/>
        <w:tab/>
        <w:t xml:space="preserve">schwor ihr mehrmals/eindringlich Das Adverb </w:t>
      </w:r>
      <w:r>
        <w:rPr>
          <w:lang w:val="el-GR"/>
        </w:rPr>
        <w:t>πολλὰ</w:t>
      </w:r>
      <w:r>
        <w:rPr/>
        <w:t>, das wir hier als sekundär einstufen und nur in der Klammer übersetzen (s.u.), kann sowohl intensivierend als auch wiederholend gemeint sein (vgl. schon V. 20). Hier ist es wohl wiederholend, denn in V. 26 ist von Herodes' Schwüren (Pl.) die Rede.</w:t>
      </w:r>
    </w:p>
  </w:footnote>
  <w:footnote w:id="1739">
    <w:p>
      <w:pPr>
        <w:pStyle w:val="Funote"/>
        <w:rPr/>
      </w:pPr>
      <w:r>
        <w:rPr>
          <w:rStyle w:val="Funotenzeichen"/>
        </w:rPr>
        <w:footnoteRef/>
      </w:r>
      <w:r>
        <w:rPr/>
        <w:tab/>
        <w:t>ging hinaus und Modal-temporales beschreibendes Partizip Aor., mit „und“-Kombination übersetzt.</w:t>
      </w:r>
    </w:p>
  </w:footnote>
  <w:footnote w:id="1740">
    <w:p>
      <w:pPr>
        <w:pStyle w:val="Funote"/>
        <w:rPr/>
      </w:pPr>
      <w:r>
        <w:rPr>
          <w:rStyle w:val="Funotenzeichen"/>
        </w:rPr>
        <w:footnoteRef/>
      </w:r>
      <w:r>
        <w:rPr/>
        <w:tab/>
        <w:t>eilig W. „mit Eile“</w:t>
      </w:r>
    </w:p>
  </w:footnote>
  <w:footnote w:id="1741">
    <w:p>
      <w:pPr>
        <w:pStyle w:val="Funote"/>
        <w:rPr/>
      </w:pPr>
      <w:r>
        <w:rPr>
          <w:rStyle w:val="Funotenzeichen"/>
        </w:rPr>
        <w:footnoteRef/>
      </w:r>
      <w:r>
        <w:rPr/>
        <w:tab/>
        <w:t>ging … hinein und Modal-temporales beschreibendes Partizip Aor., mit „und“-Kombination übersetzt.</w:t>
      </w:r>
    </w:p>
  </w:footnote>
  <w:footnote w:id="1742">
    <w:p>
      <w:pPr>
        <w:pStyle w:val="Funote"/>
        <w:rPr/>
      </w:pPr>
      <w:r>
        <w:rPr>
          <w:rStyle w:val="Funotenzeichen"/>
        </w:rPr>
        <w:footnoteRef/>
      </w:r>
      <w:r>
        <w:rPr/>
        <w:tab/>
        <w:t>wurde sehr traurig Konzessives Ptz. conj.., als gleichgeordneter Hauptsatz mit folgendem „aber“ aufgelöst.</w:t>
      </w:r>
    </w:p>
  </w:footnote>
  <w:footnote w:id="1743">
    <w:p>
      <w:pPr>
        <w:pStyle w:val="Funote"/>
        <w:rPr/>
      </w:pPr>
      <w:r>
        <w:rPr>
          <w:rStyle w:val="Funotenzeichen"/>
        </w:rPr>
        <w:footnoteRef/>
      </w:r>
      <w:r>
        <w:rPr/>
        <w:tab/>
        <w:t>der Gäste ([zu Tisch] Liegenden) Die meisten deutschen Übersetzungen übertragen das subst. Ptz. einfach als „seine Gäste“. Wie LUT, ELB kann man es auch als Relativsatz auflösen. Vgl. 22.</w:t>
      </w:r>
    </w:p>
  </w:footnote>
  <w:footnote w:id="1744">
    <w:p>
      <w:pPr>
        <w:pStyle w:val="Funote"/>
        <w:rPr/>
      </w:pPr>
      <w:r>
        <w:rPr>
          <w:rStyle w:val="Funotenzeichen"/>
        </w:rPr>
        <w:footnoteRef/>
      </w:r>
      <w:r>
        <w:rPr/>
        <w:tab/>
        <w:t>Also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745">
    <w:p>
      <w:pPr>
        <w:pStyle w:val="Funote"/>
        <w:rPr/>
      </w:pPr>
      <w:r>
        <w:rPr>
          <w:rStyle w:val="Funotenzeichen"/>
        </w:rPr>
        <w:footnoteRef/>
      </w:r>
      <w:r>
        <w:rPr/>
        <w:tab/>
        <w:t>schickte … und Modal-temporales Ptz. conj., mit „und“-Kombination übersetzt.</w:t>
      </w:r>
    </w:p>
  </w:footnote>
  <w:footnote w:id="1746">
    <w:p>
      <w:pPr>
        <w:pStyle w:val="Funote"/>
        <w:rPr/>
      </w:pPr>
      <w:r>
        <w:rPr>
          <w:rStyle w:val="Funotenzeichen"/>
        </w:rPr>
        <w:footnoteRef/>
      </w:r>
      <w:r>
        <w:rPr/>
        <w:tab/>
        <w:t>als … erfuhren Temporales Ptz. conj., als Nebensatz aufgelöst.</w:t>
      </w:r>
    </w:p>
  </w:footnote>
  <w:footnote w:id="1747">
    <w:p>
      <w:pPr>
        <w:pStyle w:val="Funote"/>
        <w:rPr/>
      </w:pPr>
      <w:r>
        <w:rPr>
          <w:rStyle w:val="Funotenzeichen"/>
        </w:rPr>
        <w:footnoteRef/>
      </w:r>
      <w:r>
        <w:rPr/>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1748">
    <w:p>
      <w:pPr>
        <w:pStyle w:val="Funote"/>
        <w:rPr/>
      </w:pPr>
      <w:r>
        <w:rPr>
          <w:rStyle w:val="Funotenzeichen"/>
        </w:rPr>
        <w:footnoteRef/>
      </w:r>
      <w:r>
        <w:rPr/>
        <w:tab/>
        <w:t>ganz allein NSS schlägt (wie es auch andere Übersetzungen verstehen) die sinngemäß wohl richtige Übersetzung „um für sich allein zu sein“ vor.</w:t>
      </w:r>
    </w:p>
  </w:footnote>
  <w:footnote w:id="1749">
    <w:p>
      <w:pPr>
        <w:pStyle w:val="Funote"/>
        <w:rPr/>
      </w:pPr>
      <w:r>
        <w:rPr>
          <w:rStyle w:val="Funotenzeichen"/>
        </w:rPr>
        <w:footnoteRef/>
      </w:r>
      <w:r>
        <w:rPr/>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1750">
    <w:p>
      <w:pPr>
        <w:pStyle w:val="Funote"/>
        <w:rPr/>
      </w:pPr>
      <w:r>
        <w:rPr>
          <w:rStyle w:val="Funotenzeichen"/>
        </w:rPr>
        <w:footnoteRef/>
      </w:r>
      <w:r>
        <w:rPr/>
        <w:tab/>
        <w:t>an ihrem Zielort Sinngemäße Wiedergabe von dort.</w:t>
      </w:r>
    </w:p>
  </w:footnote>
  <w:footnote w:id="1751">
    <w:p>
      <w:pPr>
        <w:pStyle w:val="Funote"/>
        <w:rPr/>
      </w:pPr>
      <w:r>
        <w:rPr>
          <w:rStyle w:val="Funotenzeichen"/>
        </w:rPr>
        <w:footnoteRef/>
      </w:r>
      <w:r>
        <w:rPr/>
        <w:tab/>
        <w:t>als er ausstieg Ptz. conj., als temporaler Nebensatz aufgelöst.</w:t>
      </w:r>
    </w:p>
  </w:footnote>
  <w:footnote w:id="1752">
    <w:p>
      <w:pPr>
        <w:pStyle w:val="Funote"/>
        <w:rPr/>
      </w:pPr>
      <w:r>
        <w:rPr>
          <w:rStyle w:val="Funotenzeichen"/>
        </w:rPr>
        <w:footnoteRef/>
      </w:r>
      <w:r>
        <w:rPr/>
        <w:tab/>
        <w:t>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753">
    <w:p>
      <w:pPr>
        <w:pStyle w:val="Funote"/>
        <w:rPr/>
      </w:pPr>
      <w:r>
        <w:rPr>
          <w:rStyle w:val="Funotenzeichen"/>
        </w:rPr>
        <w:footnoteRef/>
      </w:r>
      <w:r>
        <w:rPr/>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1754">
    <w:p>
      <w:pPr>
        <w:pStyle w:val="Funote"/>
        <w:rPr/>
      </w:pPr>
      <w:r>
        <w:rPr>
          <w:rStyle w:val="Funotenzeichen"/>
        </w:rPr>
        <w:footnoteRef/>
      </w:r>
      <w:r>
        <w:rPr/>
        <w:tab/>
        <w:t>kamen … zu ihm und Temp. Ptz. conj., parataktisch aufgelöst.</w:t>
      </w:r>
    </w:p>
  </w:footnote>
  <w:footnote w:id="1755">
    <w:p>
      <w:pPr>
        <w:pStyle w:val="Funote"/>
        <w:rPr/>
      </w:pPr>
      <w:r>
        <w:rPr>
          <w:rStyle w:val="Funotenzeichen"/>
        </w:rPr>
        <w:footnoteRef/>
      </w:r>
      <w:r>
        <w:rPr/>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1756">
    <w:p>
      <w:pPr>
        <w:pStyle w:val="Funote"/>
        <w:rPr/>
      </w:pPr>
      <w:r>
        <w:rPr>
          <w:rStyle w:val="Funotenzeichen"/>
        </w:rPr>
        <w:footnoteRef/>
      </w:r>
      <w:r>
        <w:rPr/>
        <w:tab/>
        <w:t>gehen und W. »weggehen und« Beschreibendes Partizip, beigeordnet aufgelöst.</w:t>
      </w:r>
    </w:p>
  </w:footnote>
  <w:footnote w:id="1757">
    <w:p>
      <w:pPr>
        <w:pStyle w:val="Funote"/>
        <w:rPr/>
      </w:pPr>
      <w:r>
        <w:rPr>
          <w:rStyle w:val="Funotenzeichen"/>
        </w:rPr>
        <w:footnoteRef/>
      </w:r>
      <w:r>
        <w:rPr/>
        <w:tab/>
        <w:t>antwortete {und sagte} W. etwa „antwortend sagte er...“ Diese pleonastische Verbindung geben wir aus stilistischen Gründen mit nur einem Verb wieder. antwortete Mod. Ptz. conj..</w:t>
      </w:r>
    </w:p>
  </w:footnote>
  <w:footnote w:id="1758">
    <w:p>
      <w:pPr>
        <w:pStyle w:val="Funote"/>
        <w:rPr/>
      </w:pPr>
      <w:r>
        <w:rPr>
          <w:rStyle w:val="Funotenzeichen"/>
        </w:rPr>
        <w:footnoteRef/>
      </w:r>
      <w:r>
        <w:rPr/>
        <w:tab/>
        <w:t>losgehen und Oder »weggehen und« Beschreibendes Partizip,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759">
    <w:p>
      <w:pPr>
        <w:pStyle w:val="Funote"/>
        <w:rPr/>
      </w:pPr>
      <w:r>
        <w:rPr>
          <w:rStyle w:val="Funotenzeichen"/>
        </w:rPr>
        <w:footnoteRef/>
      </w:r>
      <w:r>
        <w:rPr/>
        <w:tab/>
        <w:t>[für] zweihundert Denare Genitiv des Preises. Ein Denar entsprach einem Tagelohn (Guelich 1989, 341).</w:t>
      </w:r>
    </w:p>
  </w:footnote>
  <w:footnote w:id="1760">
    <w:p>
      <w:pPr>
        <w:pStyle w:val="Funote"/>
        <w:rPr/>
      </w:pPr>
      <w:r>
        <w:rPr>
          <w:rStyle w:val="Funotenzeichen"/>
        </w:rPr>
        <w:footnoteRef/>
      </w:r>
      <w:r>
        <w:rPr/>
        <w:tab/>
        <w:t>nachdem sie [es] festgestellt hatten Ptz. conj. Aor., temporal-vorzeitig als Nebensatz aufgelöst. Oder: „sie stellten es fest und“</w:t>
      </w:r>
    </w:p>
  </w:footnote>
  <w:footnote w:id="1761">
    <w:p>
      <w:pPr>
        <w:pStyle w:val="Funote"/>
        <w:rPr/>
      </w:pPr>
      <w:r>
        <w:rPr>
          <w:rStyle w:val="Funotenzeichen"/>
        </w:rPr>
        <w:footnoteRef/>
      </w:r>
      <w:r>
        <w:rPr/>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1762">
    <w:p>
      <w:pPr>
        <w:pStyle w:val="Funote"/>
        <w:rPr/>
      </w:pPr>
      <w:r>
        <w:rPr>
          <w:rStyle w:val="Funotenzeichen"/>
        </w:rPr>
        <w:footnoteRef/>
      </w:r>
      <w:r>
        <w:rPr/>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1763">
    <w:p>
      <w:pPr>
        <w:pStyle w:val="Funote"/>
        <w:rPr/>
      </w:pPr>
      <w:r>
        <w:rPr>
          <w:rStyle w:val="Funotenzeichen"/>
        </w:rPr>
        <w:footnoteRef/>
      </w:r>
      <w:r>
        <w:rPr/>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1764">
    <w:p>
      <w:pPr>
        <w:pStyle w:val="Funote"/>
        <w:rPr/>
      </w:pPr>
      <w:r>
        <w:rPr>
          <w:rStyle w:val="Funotenzeichen"/>
        </w:rPr>
        <w:footnoteRef/>
      </w:r>
      <w:r>
        <w:rPr/>
        <w:tab/>
        <w:t>er nahm und blickte auf Modal-temporales Ptz. conj. (2x), beigeordnet übersetzt.</w:t>
      </w:r>
    </w:p>
  </w:footnote>
  <w:footnote w:id="1765">
    <w:p>
      <w:pPr>
        <w:pStyle w:val="Funote"/>
        <w:rPr/>
      </w:pPr>
      <w:r>
        <w:rPr>
          <w:rStyle w:val="Funotenzeichen"/>
        </w:rPr>
        <w:footnoteRef/>
      </w:r>
      <w:r>
        <w:rPr/>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1766">
    <w:p>
      <w:pPr>
        <w:pStyle w:val="Funote"/>
        <w:rPr/>
      </w:pPr>
      <w:r>
        <w:rPr>
          <w:rStyle w:val="Funotenzeichen"/>
        </w:rPr>
        <w:footnoteRef/>
      </w:r>
      <w:r>
        <w:rPr/>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1767">
    <w:p>
      <w:pPr>
        <w:pStyle w:val="Funote"/>
        <w:rPr/>
      </w:pPr>
      <w:r>
        <w:rPr>
          <w:rStyle w:val="Funotenzeichen"/>
        </w:rPr>
        <w:footnoteRef/>
      </w:r>
      <w:r>
        <w:rPr/>
        <w:tab/>
        <w:t>verabschieden wollte Im Griechischen „verabschiedet“; es ist hier so formuliert, wie es die entsprechende wörtliche Rede wäre (NSS).</w:t>
      </w:r>
    </w:p>
  </w:footnote>
  <w:footnote w:id="1768">
    <w:p>
      <w:pPr>
        <w:pStyle w:val="Funote"/>
        <w:rPr/>
      </w:pPr>
      <w:r>
        <w:rPr>
          <w:rStyle w:val="Funotenzeichen"/>
        </w:rPr>
        <w:footnoteRef/>
      </w:r>
      <w:r>
        <w:rPr/>
        <w:tab/>
        <w:t>nachdem er sich von ihnen verabschiedet hatte Temporales Ptz. conj.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769">
    <w:p>
      <w:pPr>
        <w:pStyle w:val="Funote"/>
        <w:rPr/>
      </w:pPr>
      <w:r>
        <w:rPr>
          <w:rStyle w:val="Funotenzeichen"/>
        </w:rPr>
        <w:footnoteRef/>
      </w:r>
      <w:r>
        <w:rPr/>
        <w:tab/>
        <w:t>als es … geworden war Gen. abs., als temporaler Nebensatz aufgelöst.</w:t>
      </w:r>
    </w:p>
  </w:footnote>
  <w:footnote w:id="1770">
    <w:p>
      <w:pPr>
        <w:pStyle w:val="Funote"/>
        <w:rPr/>
      </w:pPr>
      <w:r>
        <w:rPr>
          <w:rStyle w:val="Funotenzeichen"/>
        </w:rPr>
        <w:footnoteRef/>
      </w:r>
      <w:r>
        <w:rPr/>
        <w:tab/>
        <w:t xml:space="preserve">weil (als) er sah Kausales oder temporales Ptz. conj., als Nebensatz aufgelöst. sah, dass sie sich quälten AcP, mit „dass“ aufgelöst. sich quälten W. „gequält wurden“ (zur Übersetzung s. BA </w:t>
      </w:r>
      <w:r>
        <w:rPr>
          <w:lang w:val="el-GR"/>
        </w:rPr>
        <w:t>βασανίζω</w:t>
      </w:r>
      <w:r>
        <w:rPr/>
        <w:t>, 3; NSS).</w:t>
      </w:r>
    </w:p>
  </w:footnote>
  <w:footnote w:id="1771">
    <w:p>
      <w:pPr>
        <w:pStyle w:val="Funote"/>
        <w:rPr/>
      </w:pPr>
      <w:r>
        <w:rPr>
          <w:rStyle w:val="Funotenzeichen"/>
        </w:rPr>
        <w:footnoteRef/>
      </w:r>
      <w:r>
        <w:rPr/>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1772">
    <w:p>
      <w:pPr>
        <w:pStyle w:val="Funote"/>
        <w:rPr/>
      </w:pPr>
      <w:r>
        <w:rPr>
          <w:rStyle w:val="Funotenzeichen"/>
        </w:rPr>
        <w:footnoteRef/>
      </w:r>
      <w:r>
        <w:rPr/>
        <w:tab/>
        <w:t>indem … lief Modales Ptc. conj., als Nebensatz aufgelöst.</w:t>
      </w:r>
    </w:p>
  </w:footnote>
  <w:footnote w:id="1773">
    <w:p>
      <w:pPr>
        <w:pStyle w:val="Funote"/>
        <w:rPr/>
      </w:pPr>
      <w:r>
        <w:rPr>
          <w:rStyle w:val="Funotenzeichen"/>
        </w:rPr>
        <w:footnoteRef/>
      </w:r>
      <w:r>
        <w:rPr/>
        <w:tab/>
        <w:t>wollte Die Verwendung des Imperfekts zeigt wohl an, dass dies in dieser Szene seine Absicht war.</w:t>
      </w:r>
    </w:p>
  </w:footnote>
  <w:footnote w:id="1774">
    <w:p>
      <w:pPr>
        <w:pStyle w:val="Funote"/>
        <w:rPr/>
      </w:pPr>
      <w:r>
        <w:rPr>
          <w:rStyle w:val="Funotenzeichen"/>
        </w:rPr>
        <w:footnoteRef/>
      </w:r>
      <w:r>
        <w:rPr/>
        <w:tab/>
        <w:t>als … sahen Ptz. conj., als temporaler Nebensatz aufgelöst.</w:t>
      </w:r>
    </w:p>
  </w:footnote>
  <w:footnote w:id="1775">
    <w:p>
      <w:pPr>
        <w:pStyle w:val="Funote"/>
        <w:rPr/>
      </w:pPr>
      <w:r>
        <w:rPr>
          <w:rStyle w:val="Funotenzeichen"/>
        </w:rPr>
        <w:footnoteRef/>
      </w:r>
      <w:r>
        <w:rPr/>
        <w:tab/>
        <w:t>schrien auf (fingen an zu schreien) Wie in der Klammer kann man den Aorist auch ingressiv übersetzen, der den Anfang von etwas markiert.</w:t>
      </w:r>
    </w:p>
  </w:footnote>
  <w:footnote w:id="1776">
    <w:p>
      <w:pPr>
        <w:pStyle w:val="Funote"/>
        <w:rPr/>
      </w:pPr>
      <w:r>
        <w:rPr>
          <w:rStyle w:val="Funotenzeichen"/>
        </w:rPr>
        <w:footnoteRef/>
      </w:r>
      <w:r>
        <w:rPr/>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1777">
    <w:p>
      <w:pPr>
        <w:pStyle w:val="Funote"/>
        <w:rPr/>
      </w:pPr>
      <w:r>
        <w:rPr>
          <w:rStyle w:val="Funotenzeichen"/>
        </w:rPr>
        <w:footnoteRef/>
      </w:r>
      <w:r>
        <w:rPr/>
        <w:tab/>
        <w:t>begann … zu reden Der Aorist ist hier ingressiv übersetzt, der den Anfang von etwas markiert (vgl. NSS; EÜ). Ansonsten wäre die Übersetzung: „er redete sofort mit ihnen“, oder schöner: „er sprach sie sofort an“ (NGÜ, vgl. GNB).</w:t>
      </w:r>
    </w:p>
  </w:footnote>
  <w:footnote w:id="1778">
    <w:p>
      <w:pPr>
        <w:pStyle w:val="Funote"/>
        <w:rPr/>
      </w:pPr>
      <w:r>
        <w:rPr>
          <w:rStyle w:val="Funotenzeichen"/>
        </w:rPr>
        <w:footnoteRef/>
      </w:r>
      <w:r>
        <w:rPr/>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1779">
    <w:p>
      <w:pPr>
        <w:pStyle w:val="Funote"/>
        <w:rPr/>
      </w:pPr>
      <w:r>
        <w:rPr>
          <w:rStyle w:val="Funotenzeichen"/>
        </w:rPr>
        <w:footnoteRef/>
      </w:r>
      <w:r>
        <w:rPr/>
        <w:tab/>
        <w:t>ganz (ganz außerordentlich) fassungslos Die Übersetzung mit fassungslos schließt sich an unsere Übersetzung in Mk 2,12 und 5,42 an (vgl. NGÜ). Ist die NA28-Lesart mit gleich zwei intensivierenden Ausdrücken korrekt (hier in der Klammer zu finden, dann hat Markus wie schon in 5,42 dem überforderten Erstaunen der Jünger in sehr blumiger Ausdruck verliehen. LUT: „Und sie entsetzten sich über die Maßen“, GNB: „Da gerieten sie vor Entsetzen ganz außer sich.“, NGÜ: „Da waren sie erst recht fassungslos.“</w:t>
      </w:r>
    </w:p>
  </w:footnote>
  <w:footnote w:id="1780">
    <w:p>
      <w:pPr>
        <w:pStyle w:val="Funote"/>
        <w:rPr/>
      </w:pPr>
      <w:r>
        <w:rPr>
          <w:rStyle w:val="Funotenzeichen"/>
        </w:rPr>
        <w:footnoteRef/>
      </w:r>
      <w:r>
        <w:rPr/>
        <w:tab/>
        <w:t>was es mit den Broten auf sich hatte W. „hinsichtlich/angesichts/aufgrund der Brote“ Eine andere sinngemäße Übersetzung lautet: „Denn auch durch das Wunder mit den Broten waren sie nicht zur Einsicht gekommen“ (GNB, ähnlich NGÜ, ELB?, LUT?)</w:t>
      </w:r>
    </w:p>
  </w:footnote>
  <w:footnote w:id="1781">
    <w:p>
      <w:pPr>
        <w:pStyle w:val="Funote"/>
        <w:rPr/>
      </w:pPr>
      <w:r>
        <w:rPr>
          <w:rStyle w:val="Funotenzeichen"/>
        </w:rPr>
        <w:footnoteRef/>
      </w:r>
      <w:r>
        <w:rPr/>
        <w:tab/>
        <w:t>ihr Herz war verstockt (verhärtet)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schwierigkeiten der Jünger zu sprechen.</w:t>
      </w:r>
    </w:p>
  </w:footnote>
  <w:footnote w:id="1782">
    <w:p>
      <w:pPr>
        <w:pStyle w:val="Funote"/>
        <w:rPr/>
      </w:pPr>
      <w:r>
        <w:rPr>
          <w:rStyle w:val="Funotenzeichen"/>
        </w:rPr>
        <w:footnoteRef/>
      </w:r>
      <w:r>
        <w:rPr/>
        <w:tab/>
        <w:t>nachdem sie übergesetzt hatten Temp. Ptz. conj., als vorzeitiger Nebensatz aufgelöst.</w:t>
      </w:r>
    </w:p>
  </w:footnote>
  <w:footnote w:id="1783">
    <w:p>
      <w:pPr>
        <w:pStyle w:val="Funote"/>
        <w:rPr/>
      </w:pPr>
      <w:r>
        <w:rPr>
          <w:rStyle w:val="Funotenzeichen"/>
        </w:rPr>
        <w:footnoteRef/>
      </w:r>
      <w:r>
        <w:rPr/>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784">
    <w:p>
      <w:pPr>
        <w:pStyle w:val="Funote"/>
        <w:rPr/>
      </w:pPr>
      <w:r>
        <w:rPr>
          <w:rStyle w:val="Funotenzeichen"/>
        </w:rPr>
        <w:footnoteRef/>
      </w:r>
      <w:r>
        <w:rPr/>
        <w:tab/>
        <w:t>erkannten … und Kausales oder temporales Ptz. conj., hier beigeordnet aufgelöst.</w:t>
      </w:r>
    </w:p>
  </w:footnote>
  <w:footnote w:id="1785">
    <w:p>
      <w:pPr>
        <w:pStyle w:val="Funote"/>
        <w:rPr/>
      </w:pPr>
      <w:r>
        <w:rPr>
          <w:rStyle w:val="Funotenzeichen"/>
        </w:rPr>
        <w:footnoteRef/>
      </w:r>
      <w:r>
        <w:rPr/>
        <w:tab/>
        <w:t>die W. „jene“, im Deutschen obsolet.</w:t>
      </w:r>
    </w:p>
  </w:footnote>
  <w:footnote w:id="1786">
    <w:p>
      <w:pPr>
        <w:pStyle w:val="Funote"/>
        <w:rPr/>
      </w:pPr>
      <w:r>
        <w:rPr>
          <w:rStyle w:val="Funotenzeichen"/>
        </w:rPr>
        <w:footnoteRef/>
      </w:r>
      <w:r>
        <w:rPr/>
        <w:tab/>
        <w:t>trugen W. „fingen an zu tragen“, eine pleonastische Verbindung, die typisch für Markus ist. „Anfangen“ hat hier sehr abgeschwächte Bedeutung (Siebenthal 2011, §218e; NSS). Vgl. z.B. Mk 5,17, wo das Verb ebenfalls unübersetzt blieb.</w:t>
      </w:r>
    </w:p>
  </w:footnote>
  <w:footnote w:id="1787">
    <w:p>
      <w:pPr>
        <w:pStyle w:val="Funote"/>
        <w:rPr/>
      </w:pPr>
      <w:r>
        <w:rPr>
          <w:rStyle w:val="Funotenzeichen"/>
        </w:rPr>
        <w:footnoteRef/>
      </w:r>
      <w:r>
        <w:rPr/>
        <w:tab/>
        <w:t>diejenigen, denen es schlecht ging Subst. Ptz.,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w:t>
      </w:r>
    </w:p>
  </w:footnote>
  <w:footnote w:id="1788">
    <w:p>
      <w:pPr>
        <w:pStyle w:val="Funote"/>
        <w:rPr/>
      </w:pPr>
      <w:r>
        <w:rPr>
          <w:rStyle w:val="Funotenzeichen"/>
        </w:rPr>
        <w:footnoteRef/>
      </w:r>
      <w:r>
        <w:rPr/>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1789">
    <w:p>
      <w:pPr>
        <w:pStyle w:val="Funote"/>
        <w:rPr/>
      </w:pPr>
      <w:r>
        <w:rPr>
          <w:rStyle w:val="Funotenzeichen"/>
        </w:rPr>
        <w:footnoteRef/>
      </w:r>
      <w:r>
        <w:rPr/>
        <w:tab/>
        <w:t>[Status: Zuverlässig]</w:t>
      </w:r>
    </w:p>
  </w:footnote>
  <w:footnote w:id="1790">
    <w:p>
      <w:pPr>
        <w:pStyle w:val="Funote"/>
        <w:rPr/>
      </w:pPr>
      <w:r>
        <w:rPr>
          <w:rStyle w:val="Funotenzeichen"/>
        </w:rPr>
        <w:footnoteRef/>
      </w:r>
      <w:r>
        <w:rPr/>
        <w:tab/>
        <w:t>die ... gekommen waren attr. Ptz. Aor., als vorzeitiger Relativsatz aufgelöst.</w:t>
      </w:r>
    </w:p>
  </w:footnote>
  <w:footnote w:id="1791">
    <w:p>
      <w:pPr>
        <w:pStyle w:val="Funote"/>
        <w:rPr/>
      </w:pPr>
      <w:r>
        <w:rPr>
          <w:rStyle w:val="Funotenzeichen"/>
        </w:rPr>
        <w:footnoteRef/>
      </w:r>
      <w:r>
        <w:rPr/>
        <w:tab/>
        <w:t>weil (als) sie gesehen hatten (sahen) Kausales oder temporales Ptz. conj..</w:t>
      </w:r>
    </w:p>
  </w:footnote>
  <w:footnote w:id="1792">
    <w:p>
      <w:pPr>
        <w:pStyle w:val="Funote"/>
        <w:rPr/>
      </w:pPr>
      <w:r>
        <w:rPr>
          <w:rStyle w:val="Funotenzeichen"/>
        </w:rPr>
        <w:footnoteRef/>
      </w:r>
      <w:r>
        <w:rPr/>
        <w:tab/>
        <w:t>[mit] unreinen ... [mit] ungewaschenen, Händen Instr. Dativ.</w:t>
      </w:r>
    </w:p>
  </w:footnote>
  <w:footnote w:id="1793">
    <w:p>
      <w:pPr>
        <w:pStyle w:val="Funote"/>
        <w:rPr/>
      </w:pPr>
      <w:r>
        <w:rPr>
          <w:rStyle w:val="Funotenzeichen"/>
        </w:rPr>
        <w:footnoteRef/>
      </w:r>
      <w:r>
        <w:rPr/>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1794">
    <w:p>
      <w:pPr>
        <w:pStyle w:val="Funote"/>
        <w:rPr/>
      </w:pPr>
      <w:r>
        <w:rPr>
          <w:rStyle w:val="Funotenzeichen"/>
        </w:rPr>
        <w:footnoteRef/>
      </w:r>
      <w:r>
        <w:rPr/>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1795">
    <w:p>
      <w:pPr>
        <w:pStyle w:val="Funote"/>
        <w:rPr/>
      </w:pPr>
      <w:r>
        <w:rPr>
          <w:rStyle w:val="Funotenzeichen"/>
        </w:rPr>
        <w:footnoteRef/>
      </w:r>
      <w:r>
        <w:rPr/>
        <w:tab/>
        <w:t xml:space="preserve">sorgfältig Gr. </w:t>
      </w:r>
      <w:r>
        <w:rPr>
          <w:lang w:val="el-GR"/>
        </w:rPr>
        <w:t>πυγμῇ</w:t>
      </w:r>
      <w:r>
        <w:rPr/>
        <w:t xml:space="preserve"> W. „[mit] der Faust“ Instr. Dativ.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796">
    <w:p>
      <w:pPr>
        <w:pStyle w:val="Funote"/>
        <w:rPr/>
      </w:pPr>
      <w:r>
        <w:rPr>
          <w:rStyle w:val="Funotenzeichen"/>
        </w:rPr>
        <w:footnoteRef/>
      </w:r>
      <w:r>
        <w:rPr/>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1797">
    <w:p>
      <w:pPr>
        <w:pStyle w:val="Funote"/>
        <w:rPr/>
      </w:pPr>
      <w:r>
        <w:rPr>
          <w:rStyle w:val="Funotenzeichen"/>
        </w:rPr>
        <w:footnoteRef/>
      </w:r>
      <w:r>
        <w:rPr/>
        <w:tab/>
        <w:t>um (Damit, weil) … festzuhalten Ptz. conj., als Nebensatz aufgelöst. Man kann diese Angabe (mit um) final verstehen (vgl. ZÜR) oder sie als getrennten Satz modal übersetzen: „Damit halten sie an der Überlieferung der Ältesten fest.“ (vgl. NGÜ) Auch eine kausale Deutung ist möglich (NSS, MEN).</w:t>
      </w:r>
    </w:p>
  </w:footnote>
  <w:footnote w:id="1798">
    <w:p>
      <w:pPr>
        <w:pStyle w:val="Funote"/>
        <w:rPr/>
      </w:pPr>
      <w:r>
        <w:rPr>
          <w:rStyle w:val="Funotenzeichen"/>
        </w:rPr>
        <w:footnoteRef/>
      </w:r>
      <w:r>
        <w:rPr/>
        <w:tab/>
        <w:t>nach der Rückkehr vom Markt W. „vom Markt“, ein griechisches Idiom. Möglich wäre vielleicht auch „essen nichts, was vom Markt kommt, ohne es gewaschen zu haben“ (NSS).</w:t>
      </w:r>
    </w:p>
  </w:footnote>
  <w:footnote w:id="1799">
    <w:p>
      <w:pPr>
        <w:pStyle w:val="Funote"/>
        <w:rPr/>
      </w:pPr>
      <w:r>
        <w:rPr>
          <w:rStyle w:val="Funotenzeichen"/>
        </w:rPr>
        <w:footnoteRef/>
      </w:r>
      <w:r>
        <w:rPr/>
        <w:tab/>
        <w:t>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w:t>
      </w:r>
    </w:p>
  </w:footnote>
  <w:footnote w:id="1800">
    <w:p>
      <w:pPr>
        <w:pStyle w:val="Funote"/>
        <w:rPr/>
      </w:pPr>
      <w:r>
        <w:rPr>
          <w:rStyle w:val="Funotenzeichen"/>
        </w:rPr>
        <w:footnoteRef/>
      </w:r>
      <w:r>
        <w:rPr/>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1801">
    <w:p>
      <w:pPr>
        <w:pStyle w:val="Funote"/>
        <w:rPr/>
      </w:pPr>
      <w:r>
        <w:rPr>
          <w:rStyle w:val="Funotenzeichen"/>
        </w:rPr>
        <w:footnoteRef/>
      </w:r>
      <w:r>
        <w:rPr/>
        <w:tab/>
        <w:t>[mit] unreinen Händen Instr. Dativ.</w:t>
      </w:r>
    </w:p>
  </w:footnote>
  <w:footnote w:id="1802">
    <w:p>
      <w:pPr>
        <w:pStyle w:val="Funote"/>
        <w:rPr/>
      </w:pPr>
      <w:r>
        <w:rPr>
          <w:rStyle w:val="Funotenzeichen"/>
        </w:rPr>
        <w:footnoteRef/>
      </w:r>
      <w:r>
        <w:rPr/>
        <w:tab/>
        <w:t>[mit] den Lippen Instr. Dativ.</w:t>
      </w:r>
    </w:p>
  </w:footnote>
  <w:footnote w:id="1803">
    <w:p>
      <w:pPr>
        <w:pStyle w:val="Funote"/>
        <w:rPr/>
      </w:pPr>
      <w:r>
        <w:rPr>
          <w:rStyle w:val="Funotenzeichen"/>
        </w:rPr>
        <w:footnoteRef/>
      </w:r>
      <w:r>
        <w:rPr/>
        <w:tab/>
        <w:t>weil sie … lehren Ptz. conj.,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804">
    <w:p>
      <w:pPr>
        <w:pStyle w:val="Funote"/>
        <w:rPr/>
      </w:pPr>
      <w:r>
        <w:rPr>
          <w:rStyle w:val="Funotenzeichen"/>
        </w:rPr>
        <w:footnoteRef/>
      </w:r>
      <w:r>
        <w:rPr/>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1805">
    <w:p>
      <w:pPr>
        <w:pStyle w:val="Funote"/>
        <w:rPr/>
      </w:pPr>
      <w:r>
        <w:rPr>
          <w:rStyle w:val="Funotenzeichen"/>
        </w:rPr>
        <w:footnoteRef/>
      </w:r>
      <w:r>
        <w:rPr/>
        <w:tab/>
        <w:t>Während ihr … außer Acht lasst (preisgebt, verlasst, ablehnt) Modales Ptz. conj.,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806">
    <w:p>
      <w:pPr>
        <w:pStyle w:val="Funote"/>
        <w:rPr/>
      </w:pPr>
      <w:r>
        <w:rPr>
          <w:rStyle w:val="Funotenzeichen"/>
        </w:rPr>
        <w:footnoteRef/>
      </w:r>
      <w:r>
        <w:rPr/>
        <w:tab/>
        <w:t xml:space="preserve">er fuhr fort (V. 9 und 20) übersetzt das Imperfekt </w:t>
      </w:r>
      <w:r>
        <w:rPr>
          <w:lang w:val="el-GR"/>
        </w:rPr>
        <w:t>ἔλεγεν</w:t>
      </w:r>
      <w:r>
        <w:rPr/>
        <w:t>. Der durative Aspekt zeigt hier wohl an, dass Jesus weiterspricht. Vgl. die ähnliche Übersetzung des Imperfekts in V. 14.</w:t>
      </w:r>
    </w:p>
  </w:footnote>
  <w:footnote w:id="1807">
    <w:p>
      <w:pPr>
        <w:pStyle w:val="Funote"/>
        <w:rPr/>
      </w:pPr>
      <w:r>
        <w:rPr>
          <w:rStyle w:val="Funotenzeichen"/>
        </w:rPr>
        <w:footnoteRef/>
      </w:r>
      <w:r>
        <w:rPr/>
        <w:tab/>
        <w:t>muss sterben W. etwa »[dem] Tod sterben« (Dativ+Imperativ 3. Sg.). Der Dativ soll hier den hebräischen Inf. abs.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808">
    <w:p>
      <w:pPr>
        <w:pStyle w:val="Funote"/>
        <w:rPr/>
      </w:pPr>
      <w:r>
        <w:rPr>
          <w:rStyle w:val="Funotenzeichen"/>
        </w:rPr>
        <w:footnoteRef/>
      </w:r>
      <w:r>
        <w:rPr/>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1809">
    <w:p>
      <w:pPr>
        <w:pStyle w:val="Funote"/>
        <w:rPr/>
      </w:pPr>
      <w:r>
        <w:rPr>
          <w:rStyle w:val="Funotenzeichen"/>
        </w:rPr>
        <w:footnoteRef/>
      </w:r>
      <w:r>
        <w:rPr/>
        <w:tab/>
        <w:t>Anakoluth (z.B. Kleist 1937, S. 208). Jesus hat sich hier offenbar so in Rage geredet, dass er nicht einmal seinen begonnenen Satz zu Ende führt.</w:t>
      </w:r>
    </w:p>
  </w:footnote>
  <w:footnote w:id="1810">
    <w:p>
      <w:pPr>
        <w:pStyle w:val="Funote"/>
        <w:rPr/>
      </w:pPr>
      <w:r>
        <w:rPr>
          <w:rStyle w:val="Funotenzeichen"/>
        </w:rPr>
        <w:footnoteRef/>
      </w:r>
      <w:r>
        <w:rPr/>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1811">
    <w:p>
      <w:pPr>
        <w:pStyle w:val="Funote"/>
        <w:rPr/>
      </w:pPr>
      <w:r>
        <w:rPr>
          <w:rStyle w:val="Funotenzeichen"/>
        </w:rPr>
        <w:footnoteRef/>
      </w:r>
      <w:r>
        <w:rPr/>
        <w:tab/>
        <w:t>nicht mehr, etwas W. »nicht mehr, nichts«, eine doppelte Verneinung, die den Effekt der Aussage (s. die vorige Fußnote) verstärkt.</w:t>
      </w:r>
    </w:p>
  </w:footnote>
  <w:footnote w:id="1812">
    <w:p>
      <w:pPr>
        <w:pStyle w:val="Funote"/>
        <w:rPr/>
      </w:pPr>
      <w:r>
        <w:rPr>
          <w:rStyle w:val="Funotenzeichen"/>
        </w:rPr>
        <w:footnoteRef/>
      </w:r>
      <w:r>
        <w:rPr/>
        <w:tab/>
        <w:t>[für seinen] Vater oder [seine] Mutter Instr. Dat. (2x).</w:t>
      </w:r>
    </w:p>
  </w:footnote>
  <w:footnote w:id="1813">
    <w:p>
      <w:pPr>
        <w:pStyle w:val="Funote"/>
        <w:rPr/>
      </w:pPr>
      <w:r>
        <w:rPr>
          <w:rStyle w:val="Funotenzeichen"/>
        </w:rPr>
        <w:footnoteRef/>
      </w:r>
      <w:r>
        <w:rPr/>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1814">
    <w:p>
      <w:pPr>
        <w:pStyle w:val="Funote"/>
        <w:rPr/>
      </w:pPr>
      <w:r>
        <w:rPr>
          <w:rStyle w:val="Funotenzeichen"/>
        </w:rPr>
        <w:footnoteRef/>
      </w:r>
      <w:r>
        <w:rPr/>
        <w:tab/>
        <w:t>so hebt ihr auf bzw. indem ihr aufhebt Modales Ptz. conj.,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815">
    <w:p>
      <w:pPr>
        <w:pStyle w:val="Funote"/>
        <w:rPr/>
      </w:pPr>
      <w:r>
        <w:rPr>
          <w:rStyle w:val="Funotenzeichen"/>
        </w:rPr>
        <w:footnoteRef/>
      </w:r>
      <w:r>
        <w:rPr/>
        <w:tab/>
        <w:t>er rief ... und Ptz. conj. Aor., temporal-modal, beigeordnet übersetzt.</w:t>
      </w:r>
    </w:p>
  </w:footnote>
  <w:footnote w:id="1816">
    <w:p>
      <w:pPr>
        <w:pStyle w:val="Funote"/>
        <w:rPr/>
      </w:pPr>
      <w:r>
        <w:rPr>
          <w:rStyle w:val="Funotenzeichen"/>
        </w:rPr>
        <w:footnoteRef/>
      </w:r>
      <w:r>
        <w:rPr/>
        <w:tab/>
        <w:t xml:space="preserve">sprach nun übersetzt das Imperfekt </w:t>
      </w:r>
      <w:r>
        <w:rPr>
          <w:lang w:val="el-GR"/>
        </w:rPr>
        <w:t>ἔλεγεν</w:t>
      </w:r>
      <w:r>
        <w:rPr/>
        <w:t>. Der durative Aspekt zeigt hier wohl an, dass Jesus weiterspricht, und zwar jetzt an die Menge gewandt. Vgl. die ähnliche Übersetzung des Imperfekts in V. 9 und 20.</w:t>
      </w:r>
    </w:p>
  </w:footnote>
  <w:footnote w:id="1817">
    <w:p>
      <w:pPr>
        <w:pStyle w:val="Funote"/>
        <w:rPr/>
      </w:pPr>
      <w:r>
        <w:rPr>
          <w:rStyle w:val="Funotenzeichen"/>
        </w:rPr>
        <w:footnoteRef/>
      </w:r>
      <w:r>
        <w:rPr/>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1818">
    <w:p>
      <w:pPr>
        <w:pStyle w:val="Funote"/>
        <w:rPr/>
      </w:pPr>
      <w:r>
        <w:rPr>
          <w:rStyle w:val="Funotenzeichen"/>
        </w:rPr>
        <w:footnoteRef/>
      </w:r>
      <w:r>
        <w:rPr/>
        <w:tab/>
        <w:t>Nichts, was … hineingelangt Subst. oder umschreibendes Partizip,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Ptz. conj. zu übersetzen. Das temporal-konditionale (wenn) oder modale (indem) Ptz. conj. wäre als Nebensatz aufzulösen: »Außerhalb des Menschen gibt es nichts, was ihn verunreinigen kann, wenn (indem) es in ihn hineingelangt« bzw. »Es gibt nichts, was …, wenn es von außen...« (vgl. z.B. ESV, NASB, ähnlich wohl SLT). (Vgl. NSS.)</w:t>
      </w:r>
    </w:p>
  </w:footnote>
  <w:footnote w:id="1819">
    <w:p>
      <w:pPr>
        <w:pStyle w:val="Funote"/>
        <w:rPr/>
      </w:pPr>
      <w:r>
        <w:rPr>
          <w:rStyle w:val="Funotenzeichen"/>
        </w:rPr>
        <w:footnoteRef/>
      </w:r>
      <w:r>
        <w:rPr/>
        <w:tab/>
        <w:t>was herauskommt und das verunreinigt Subst. Ptz. (2x), als Relativsatz aufgelöst. Man könnte das zweite Partizip auch als umschreibendes Partizip übersetzen (dazu s. die vorige Fußnote): »Vielmehr verunreinigt den Menschen das, was aus dem Menschen herauskommt.«</w:t>
      </w:r>
    </w:p>
  </w:footnote>
  <w:footnote w:id="1820">
    <w:p>
      <w:pPr>
        <w:pStyle w:val="Funote"/>
        <w:rPr/>
      </w:pPr>
      <w:r>
        <w:rPr>
          <w:rStyle w:val="Funotenzeichen"/>
        </w:rPr>
        <w:footnoteRef/>
      </w:r>
      <w:r>
        <w:rPr/>
        <w:tab/>
        <w:t>Textkritik: Dieser Vers fehlt in den frühesten bekannten Handschriften; genaueres im Kommentar</w:t>
      </w:r>
    </w:p>
  </w:footnote>
  <w:footnote w:id="1821">
    <w:p>
      <w:pPr>
        <w:pStyle w:val="Funote"/>
        <w:rPr/>
      </w:pPr>
      <w:r>
        <w:rPr>
          <w:rStyle w:val="Funotenzeichen"/>
        </w:rPr>
        <w:footnoteRef/>
      </w:r>
      <w:r>
        <w:rPr/>
        <w:tab/>
        <w:t>sagte Historisches Präsens.</w:t>
      </w:r>
    </w:p>
  </w:footnote>
  <w:footnote w:id="1822">
    <w:p>
      <w:pPr>
        <w:pStyle w:val="Funote"/>
        <w:rPr/>
      </w:pPr>
      <w:r>
        <w:rPr>
          <w:rStyle w:val="Funotenzeichen"/>
        </w:rPr>
        <w:footnoteRef/>
      </w:r>
      <w:r>
        <w:rPr/>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1823">
    <w:p>
      <w:pPr>
        <w:pStyle w:val="Funote"/>
        <w:rPr/>
      </w:pPr>
      <w:r>
        <w:rPr>
          <w:rStyle w:val="Funotenzeichen"/>
        </w:rPr>
        <w:footnoteRef/>
      </w:r>
      <w:r>
        <w:rPr/>
        <w:tab/>
        <w:t xml:space="preserve">So erklärte [Jesus] alle Speisen für rein Alternativ „...ausgeschieden wird, was alle Speisen rein macht.“ Dieser abhängige Satz hat keinen offensichtlichen Bezug zum Kontext. Am wahrscheinlichsten ist, dass sich das modale Ptz. conj.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824">
    <w:p>
      <w:pPr>
        <w:pStyle w:val="Funote"/>
        <w:rPr/>
      </w:pPr>
      <w:r>
        <w:rPr>
          <w:rStyle w:val="Funotenzeichen"/>
        </w:rPr>
        <w:footnoteRef/>
      </w:r>
      <w:r>
        <w:rPr/>
        <w:tab/>
        <w:t>Was … herauskommt Subst. Ptz., als Relativsatz aufgelöst.</w:t>
      </w:r>
    </w:p>
  </w:footnote>
  <w:footnote w:id="1825">
    <w:p>
      <w:pPr>
        <w:pStyle w:val="Funote"/>
        <w:rPr/>
      </w:pPr>
      <w:r>
        <w:rPr>
          <w:rStyle w:val="Funotenzeichen"/>
        </w:rPr>
        <w:footnoteRef/>
      </w:r>
      <w:r>
        <w:rPr/>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1826">
    <w:p>
      <w:pPr>
        <w:pStyle w:val="Funote"/>
        <w:rPr/>
      </w:pPr>
      <w:r>
        <w:rPr>
          <w:rStyle w:val="Funotenzeichen"/>
        </w:rPr>
        <w:footnoteRef/>
      </w:r>
      <w:r>
        <w:rPr/>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1827">
    <w:p>
      <w:pPr>
        <w:pStyle w:val="Funote"/>
        <w:rPr/>
      </w:pPr>
      <w:r>
        <w:rPr>
          <w:rStyle w:val="Funotenzeichen"/>
        </w:rPr>
        <w:footnoteRef/>
      </w:r>
      <w:r>
        <w:rPr/>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1828">
    <w:p>
      <w:pPr>
        <w:pStyle w:val="Funote"/>
        <w:rPr/>
      </w:pPr>
      <w:r>
        <w:rPr>
          <w:rStyle w:val="Funotenzeichen"/>
        </w:rPr>
        <w:footnoteRef/>
      </w:r>
      <w:r>
        <w:rPr/>
        <w:tab/>
        <w:t>Tyrus war ein Stadtstaat, der im Norden an Galiläa angrenzte. Die Bewohner der Region waren Nichtjuden. Ein zeitgenössischer jüdischer Autor beschreibt sie sinngemäß als „unsere Intimfeinde“ (France 2002, 297).</w:t>
      </w:r>
    </w:p>
  </w:footnote>
  <w:footnote w:id="1829">
    <w:p>
      <w:pPr>
        <w:pStyle w:val="Funote"/>
        <w:rPr/>
      </w:pPr>
      <w:r>
        <w:rPr>
          <w:rStyle w:val="Funotenzeichen"/>
        </w:rPr>
        <w:footnoteRef/>
      </w:r>
      <w:r>
        <w:rPr/>
        <w:tab/>
        <w:t>brach er auf und sowie er begab sich … und Ptz. conj., beigeordnet aufgelöst.</w:t>
      </w:r>
    </w:p>
  </w:footnote>
  <w:footnote w:id="1830">
    <w:p>
      <w:pPr>
        <w:pStyle w:val="Funote"/>
        <w:rPr/>
      </w:pPr>
      <w:r>
        <w:rPr>
          <w:rStyle w:val="Funotenzeichen"/>
        </w:rPr>
        <w:footnoteRef/>
      </w:r>
      <w:r>
        <w:rPr/>
        <w:tab/>
        <w:t>von einem unreinen Geist besessen war W. „einen unreinen Geist hatte“</w:t>
      </w:r>
    </w:p>
  </w:footnote>
  <w:footnote w:id="1831">
    <w:p>
      <w:pPr>
        <w:pStyle w:val="Funote"/>
        <w:rPr/>
      </w:pPr>
      <w:r>
        <w:rPr>
          <w:rStyle w:val="Funotenzeichen"/>
        </w:rPr>
        <w:footnoteRef/>
      </w:r>
      <w:r>
        <w:rPr/>
        <w:tab/>
        <w:t>kam … und Ptz. conj., temporal, beigeordnet aufgelöst.</w:t>
      </w:r>
    </w:p>
  </w:footnote>
  <w:footnote w:id="1832">
    <w:p>
      <w:pPr>
        <w:pStyle w:val="Funote"/>
        <w:rPr/>
      </w:pPr>
      <w:r>
        <w:rPr>
          <w:rStyle w:val="Funotenzeichen"/>
        </w:rPr>
        <w:footnoteRef/>
      </w:r>
      <w:r>
        <w:rPr/>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Dat. respectus.</w:t>
      </w:r>
    </w:p>
  </w:footnote>
  <w:footnote w:id="1833">
    <w:p>
      <w:pPr>
        <w:pStyle w:val="Funote"/>
        <w:rPr/>
      </w:pPr>
      <w:r>
        <w:rPr>
          <w:rStyle w:val="Funotenzeichen"/>
        </w:rPr>
        <w:footnoteRef/>
      </w:r>
      <w:r>
        <w:rPr/>
        <w:tab/>
        <w:t>sie bat ihn hartnäckig (immer wieder) Das Verb steht im Imperfekt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834">
    <w:p>
      <w:pPr>
        <w:pStyle w:val="Funote"/>
        <w:rPr/>
      </w:pPr>
      <w:r>
        <w:rPr>
          <w:rStyle w:val="Funotenzeichen"/>
        </w:rPr>
        <w:footnoteRef/>
      </w:r>
      <w:r>
        <w:rPr/>
        <w:tab/>
        <w:t>die Krümel W. »von den Krümeln«, eine Präpositionalphrase, die den partitiven Genitiv ersetzt (NSS).</w:t>
      </w:r>
    </w:p>
  </w:footnote>
  <w:footnote w:id="1835">
    <w:p>
      <w:pPr>
        <w:pStyle w:val="Funote"/>
        <w:rPr/>
      </w:pPr>
      <w:r>
        <w:rPr>
          <w:rStyle w:val="Funotenzeichen"/>
        </w:rPr>
        <w:footnoteRef/>
      </w:r>
      <w:r>
        <w:rPr/>
        <w:tab/>
        <w:t>Weil du das gesagt hast W. »Aufgrund dieses Wortes/dieser Äußerung bzw. Antwort«</w:t>
      </w:r>
    </w:p>
  </w:footnote>
  <w:footnote w:id="1836">
    <w:p>
      <w:pPr>
        <w:pStyle w:val="Funote"/>
        <w:rPr/>
      </w:pPr>
      <w:r>
        <w:rPr>
          <w:rStyle w:val="Funotenzeichen"/>
        </w:rPr>
        <w:footnoteRef/>
      </w:r>
      <w:r>
        <w:rPr/>
        <w:tab/>
        <w:t>geh D.h. »Du kannst gehen« (NGÜ) oder »Geh nach Hause« (EÜ, GNB). Vgl. 10,52.</w:t>
      </w:r>
    </w:p>
  </w:footnote>
  <w:footnote w:id="1837">
    <w:p>
      <w:pPr>
        <w:pStyle w:val="Funote"/>
        <w:rPr/>
      </w:pPr>
      <w:r>
        <w:rPr>
          <w:rStyle w:val="Funotenzeichen"/>
        </w:rPr>
        <w:footnoteRef/>
      </w:r>
      <w:r>
        <w:rPr/>
        <w:tab/>
        <w:t>ging zurück … und W. „ging weg“. Ptz. conj., beigeordnet aufgelöst.</w:t>
      </w:r>
    </w:p>
  </w:footnote>
  <w:footnote w:id="1838">
    <w:p>
      <w:pPr>
        <w:pStyle w:val="Funote"/>
        <w:rPr/>
      </w:pPr>
      <w:r>
        <w:rPr>
          <w:rStyle w:val="Funotenzeichen"/>
        </w:rPr>
        <w:footnoteRef/>
      </w:r>
      <w:r>
        <w:rPr/>
        <w:tab/>
        <w:t>reiste … und Ptz. conj., beigeordnet aufgelöst.</w:t>
      </w:r>
    </w:p>
  </w:footnote>
  <w:footnote w:id="1839">
    <w:p>
      <w:pPr>
        <w:pStyle w:val="Funote"/>
        <w:rPr/>
      </w:pPr>
      <w:r>
        <w:rPr>
          <w:rStyle w:val="Funotenzeichen"/>
        </w:rPr>
        <w:footnoteRef/>
      </w:r>
      <w:r>
        <w:rPr/>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Dekapolis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840">
    <w:p>
      <w:pPr>
        <w:pStyle w:val="Funote"/>
        <w:rPr/>
      </w:pPr>
      <w:r>
        <w:rPr>
          <w:rStyle w:val="Funotenzeichen"/>
        </w:rPr>
        <w:footnoteRef/>
      </w:r>
      <w:r>
        <w:rPr/>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1841">
    <w:p>
      <w:pPr>
        <w:pStyle w:val="Funote"/>
        <w:rPr/>
      </w:pPr>
      <w:r>
        <w:rPr>
          <w:rStyle w:val="Funotenzeichen"/>
        </w:rPr>
        <w:footnoteRef/>
      </w:r>
      <w:r>
        <w:rPr/>
        <w:tab/>
        <w:t>ihm die Hand aufzulegen bedeutet offenbar, ihn dadurch zu heilen (Collins 2007, 370).</w:t>
      </w:r>
    </w:p>
  </w:footnote>
  <w:footnote w:id="1842">
    <w:p>
      <w:pPr>
        <w:pStyle w:val="Funote"/>
        <w:rPr/>
      </w:pPr>
      <w:r>
        <w:rPr>
          <w:rStyle w:val="Funotenzeichen"/>
        </w:rPr>
        <w:footnoteRef/>
      </w:r>
      <w:r>
        <w:rPr/>
        <w:tab/>
        <w:t>nahm beiseite … und sowie spuckte er und Ptz. conj.,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843">
    <w:p>
      <w:pPr>
        <w:pStyle w:val="Funote"/>
        <w:rPr/>
      </w:pPr>
      <w:r>
        <w:rPr>
          <w:rStyle w:val="Funotenzeichen"/>
        </w:rPr>
        <w:footnoteRef/>
      </w:r>
      <w:r>
        <w:rPr/>
        <w:tab/>
        <w:t>blickte er ... auf und Ptz. conj., beigeordnet aufgelöst.</w:t>
      </w:r>
    </w:p>
  </w:footnote>
  <w:footnote w:id="1844">
    <w:p>
      <w:pPr>
        <w:pStyle w:val="Funote"/>
        <w:rPr/>
      </w:pPr>
      <w:r>
        <w:rPr>
          <w:rStyle w:val="Funotenzeichen"/>
        </w:rPr>
        <w:footnoteRef/>
      </w:r>
      <w:r>
        <w:rPr/>
        <w:tab/>
        <w:t>„</w:t>
      </w:r>
      <w:r>
        <w:rPr/>
        <w:t>Effata!“ Das ist wahrscheinlich eine nicht 100% genau überlieferte aramäische Form (France 2002, 304; Guelich 1989, 395f.).</w:t>
      </w:r>
    </w:p>
  </w:footnote>
  <w:footnote w:id="1845">
    <w:p>
      <w:pPr>
        <w:pStyle w:val="Funote"/>
        <w:rPr/>
      </w:pPr>
      <w:r>
        <w:rPr>
          <w:rStyle w:val="Funotenzeichen"/>
        </w:rPr>
        <w:footnoteRef/>
      </w:r>
      <w:r>
        <w:rPr/>
        <w:tab/>
        <w:t>Hemmung W. „Fessel“ (so die meisten Übersetzungen), MEN: „Gebundenheit“. Es handelt sich um eine übertragene Bedeutungserweiterung von „Fessel“, die hier die Einschränkung der Sprachfertigkeit bezeichnet (LN 23.156).</w:t>
      </w:r>
    </w:p>
  </w:footnote>
  <w:footnote w:id="1846">
    <w:p>
      <w:pPr>
        <w:pStyle w:val="Funote"/>
        <w:rPr/>
      </w:pPr>
      <w:r>
        <w:rPr>
          <w:rStyle w:val="Funotenzeichen"/>
        </w:rPr>
        <w:footnoteRef/>
      </w:r>
      <w:r>
        <w:rPr/>
        <w:tab/>
        <w:t xml:space="preserve">konnte richtig sprechen (Imperfekt) Das Verb bezeichnet hier die Fähigkeit, sprechen zu können (BA </w:t>
      </w:r>
      <w:r>
        <w:rPr>
          <w:lang w:val="el-GR"/>
        </w:rPr>
        <w:t>λαλέω</w:t>
      </w:r>
      <w:r>
        <w:rPr/>
        <w:t>, 2a</w:t>
      </w:r>
      <w:r>
        <w:rPr>
          <w:lang w:val="el-GR"/>
        </w:rPr>
        <w:t>α</w:t>
      </w:r>
      <w:r>
        <w:rPr/>
        <w:t>; NSS).</w:t>
      </w:r>
    </w:p>
  </w:footnote>
  <w:footnote w:id="1847">
    <w:p>
      <w:pPr>
        <w:pStyle w:val="Funote"/>
        <w:rPr/>
      </w:pPr>
      <w:r>
        <w:rPr>
          <w:rStyle w:val="Funotenzeichen"/>
        </w:rPr>
        <w:footnoteRef/>
      </w:r>
      <w:r>
        <w:rPr/>
        <w:tab/>
        <w:t>und sagten Ptz. conj., beigeordnet aufgelöst.</w:t>
      </w:r>
    </w:p>
  </w:footnote>
  <w:footnote w:id="1848">
    <w:p>
      <w:pPr>
        <w:pStyle w:val="Funote"/>
        <w:rPr/>
      </w:pPr>
      <w:r>
        <w:rPr>
          <w:rStyle w:val="Funotenzeichen"/>
        </w:rPr>
        <w:footnoteRef/>
      </w:r>
      <w:r>
        <w:rPr/>
        <w:tab/>
        <w:t>[Status: Zuverlässig]</w:t>
      </w:r>
    </w:p>
  </w:footnote>
  <w:footnote w:id="1849">
    <w:p>
      <w:pPr>
        <w:pStyle w:val="Funote"/>
        <w:rPr/>
      </w:pPr>
      <w:r>
        <w:rPr>
          <w:rStyle w:val="Funotenzeichen"/>
        </w:rPr>
        <w:footnoteRef/>
      </w:r>
      <w:r>
        <w:rPr/>
        <w:tab/>
        <w:t>rief er zu sich und Ptz. conj., beigeordnet aufgelöst.</w:t>
      </w:r>
    </w:p>
  </w:footnote>
  <w:footnote w:id="1850">
    <w:p>
      <w:pPr>
        <w:pStyle w:val="Funote"/>
        <w:rPr/>
      </w:pPr>
      <w:r>
        <w:rPr>
          <w:rStyle w:val="Funotenzeichen"/>
        </w:rPr>
        <w:footnoteRef/>
      </w:r>
      <w:r>
        <w:rPr/>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851">
    <w:p>
      <w:pPr>
        <w:pStyle w:val="Funote"/>
        <w:rPr/>
      </w:pPr>
      <w:r>
        <w:rPr>
          <w:rStyle w:val="Funotenzeichen"/>
        </w:rPr>
        <w:footnoteRef/>
      </w:r>
      <w:r>
        <w:rPr/>
        <w:tab/>
        <w:t>Woher LUT, ZÜR übersetzen »Wie«, doch gemeint ist, woher die Jünger das Brot (pars pro toto für Nahrung) nehmen sollen (Pesch 1976, 403; vgl. GNB, NGÜ, EÜ).</w:t>
      </w:r>
    </w:p>
  </w:footnote>
  <w:footnote w:id="1852">
    <w:p>
      <w:pPr>
        <w:pStyle w:val="Funote"/>
        <w:rPr/>
      </w:pPr>
      <w:r>
        <w:rPr>
          <w:rStyle w:val="Funotenzeichen"/>
        </w:rPr>
        <w:footnoteRef/>
      </w:r>
      <w:r>
        <w:rPr/>
        <w:tab/>
        <w:t>nachdem er ... genommen und ein Dankgebet gesprochen hatte Temporal-modales Ptz. conj. Aor., hier als vorzeitiger temporaler Nebensatz aufgelöst. ein Dankgebet gesprochen W. „gedankt“. Gemeint ist hier jedoch ein Dankgebet.</w:t>
      </w:r>
    </w:p>
  </w:footnote>
  <w:footnote w:id="1853">
    <w:p>
      <w:pPr>
        <w:pStyle w:val="Funote"/>
        <w:rPr/>
      </w:pPr>
      <w:r>
        <w:rPr>
          <w:rStyle w:val="Funotenzeichen"/>
        </w:rPr>
        <w:footnoteRef/>
      </w:r>
      <w:r>
        <w:rPr/>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1854">
    <w:p>
      <w:pPr>
        <w:pStyle w:val="Funote"/>
        <w:rPr/>
      </w:pPr>
      <w:r>
        <w:rPr>
          <w:rStyle w:val="Funotenzeichen"/>
        </w:rPr>
        <w:footnoteRef/>
      </w:r>
      <w:r>
        <w:rPr/>
        <w:tab/>
        <w:t>die übrig gebliebenen Brocken W. „die Reste der Brocken“ (Gen. part.; NSS)</w:t>
      </w:r>
    </w:p>
  </w:footnote>
  <w:footnote w:id="1855">
    <w:p>
      <w:pPr>
        <w:pStyle w:val="Funote"/>
        <w:rPr/>
      </w:pPr>
      <w:r>
        <w:rPr>
          <w:rStyle w:val="Funotenzeichen"/>
        </w:rPr>
        <w:footnoteRef/>
      </w:r>
      <w:r>
        <w:rPr/>
        <w:tab/>
        <w:t>stieg er … und Ptz. conj., beigeordnet aufgelöst.</w:t>
      </w:r>
    </w:p>
  </w:footnote>
  <w:footnote w:id="1856">
    <w:p>
      <w:pPr>
        <w:pStyle w:val="Funote"/>
        <w:rPr/>
      </w:pPr>
      <w:r>
        <w:rPr>
          <w:rStyle w:val="Funotenzeichen"/>
        </w:rPr>
        <w:footnoteRef/>
      </w:r>
      <w:r>
        <w:rPr/>
        <w:tab/>
        <w:t>Dalmanuta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857">
    <w:p>
      <w:pPr>
        <w:pStyle w:val="Funote"/>
        <w:rPr/>
      </w:pPr>
      <w:r>
        <w:rPr>
          <w:rStyle w:val="Funotenzeichen"/>
        </w:rPr>
        <w:footnoteRef/>
      </w:r>
      <w:r>
        <w:rPr/>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858">
    <w:p>
      <w:pPr>
        <w:pStyle w:val="Funote"/>
        <w:rPr/>
      </w:pPr>
      <w:r>
        <w:rPr>
          <w:rStyle w:val="Funotenzeichen"/>
        </w:rPr>
        <w:footnoteRef/>
      </w:r>
      <w:r>
        <w:rPr/>
        <w:tab/>
        <w:t>wobei sie … verlangten Modales Ptz. conj.,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859">
    <w:p>
      <w:pPr>
        <w:pStyle w:val="Funote"/>
        <w:rPr/>
      </w:pPr>
      <w:r>
        <w:rPr>
          <w:rStyle w:val="Funotenzeichen"/>
        </w:rPr>
        <w:footnoteRef/>
      </w:r>
      <w:r>
        <w:rPr/>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860">
    <w:p>
      <w:pPr>
        <w:pStyle w:val="Funote"/>
        <w:rPr/>
      </w:pPr>
      <w:r>
        <w:rPr>
          <w:rStyle w:val="Funotenzeichen"/>
        </w:rPr>
        <w:footnoteRef/>
      </w:r>
      <w:r>
        <w:rPr/>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1861">
    <w:p>
      <w:pPr>
        <w:pStyle w:val="Funote"/>
        <w:rPr/>
      </w:pPr>
      <w:r>
        <w:rPr>
          <w:rStyle w:val="Funotenzeichen"/>
        </w:rPr>
        <w:footnoteRef/>
      </w:r>
      <w:r>
        <w:rPr/>
        <w:tab/>
        <w:t>stöhnte (seufzte) … auf und Modales Ptz. conj., beigeordnet aufgelöst.</w:t>
      </w:r>
    </w:p>
  </w:footnote>
  <w:footnote w:id="1862">
    <w:p>
      <w:pPr>
        <w:pStyle w:val="Funote"/>
        <w:rPr/>
      </w:pPr>
      <w:r>
        <w:rPr>
          <w:rStyle w:val="Funotenzeichen"/>
        </w:rPr>
        <w:footnoteRef/>
      </w:r>
      <w:r>
        <w:rPr/>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863">
    <w:p>
      <w:pPr>
        <w:pStyle w:val="Funote"/>
        <w:rPr/>
      </w:pPr>
      <w:r>
        <w:rPr>
          <w:rStyle w:val="Funotenzeichen"/>
        </w:rPr>
        <w:footnoteRef/>
      </w:r>
      <w:r>
        <w:rPr/>
        <w:tab/>
        <w:t>Diese Generation (dieses Pack) ist in Mk beinahe ein Schimpfwort, vgl. deutlich noch Mk 8,38; 9,19 (dazu auch FN ba); ad loc. z.B. van Iersel 1998, S. 262; allgemein EWNT I, S. 294; TWNT I, S. 661 u.ö. Sehr gut daher B/N: »Dieses Pack«.</w:t>
      </w:r>
    </w:p>
  </w:footnote>
  <w:footnote w:id="1864">
    <w:p>
      <w:pPr>
        <w:pStyle w:val="Funote"/>
        <w:rPr/>
      </w:pPr>
      <w:r>
        <w:rPr>
          <w:rStyle w:val="Funotenzeichen"/>
        </w:rPr>
        <w:footnoteRef/>
      </w:r>
      <w:r>
        <w:rPr/>
        <w:tab/>
        <w:t>er ließ sie [stehen] Temporales Ptz. conj., beigeordnet aufgelöst.</w:t>
      </w:r>
    </w:p>
  </w:footnote>
  <w:footnote w:id="1865">
    <w:p>
      <w:pPr>
        <w:pStyle w:val="Funote"/>
        <w:rPr/>
      </w:pPr>
      <w:r>
        <w:rPr>
          <w:rStyle w:val="Funotenzeichen"/>
        </w:rPr>
        <w:footnoteRef/>
      </w:r>
      <w:r>
        <w:rPr/>
        <w:tab/>
        <w:t>Sie Die meisten Übersetzungen übersetzen sinngemäß „die Jünger“, nicht „sie“, aber es gibt keinen direkten Anhaltspunkt dafür, dass Jesus davon auszunehmen ist.</w:t>
      </w:r>
    </w:p>
  </w:footnote>
  <w:footnote w:id="1866">
    <w:p>
      <w:pPr>
        <w:pStyle w:val="Funote"/>
        <w:rPr/>
      </w:pPr>
      <w:r>
        <w:rPr>
          <w:rStyle w:val="Funotenzeichen"/>
        </w:rPr>
        <w:footnoteRef/>
      </w:r>
      <w:r>
        <w:rPr/>
        <w:tab/>
        <w:t>sie hatten vergessen (vergaßen) Der Aorist wird hier wohl mit vorzeitiger Bedeutung benutzt.</w:t>
      </w:r>
    </w:p>
  </w:footnote>
  <w:footnote w:id="1867">
    <w:p>
      <w:pPr>
        <w:pStyle w:val="Funote"/>
        <w:rPr/>
      </w:pPr>
      <w:r>
        <w:rPr>
          <w:rStyle w:val="Funotenzeichen"/>
        </w:rPr>
        <w:footnoteRef/>
      </w:r>
      <w:r>
        <w:rPr/>
        <w:tab/>
        <w:t>schärfte ihnen ein Das Verb steht im Imperfekt, was wohl impliziert, dass diese Aussage einen etwas längeren Diskurs zusammenfasst (oder eine häufige Aussage Jesu darstellt) (France 2002, 315). {sagend} Pleonastisches Partizip.</w:t>
      </w:r>
    </w:p>
  </w:footnote>
  <w:footnote w:id="1868">
    <w:p>
      <w:pPr>
        <w:pStyle w:val="Funote"/>
        <w:rPr/>
      </w:pPr>
      <w:r>
        <w:rPr>
          <w:rStyle w:val="Funotenzeichen"/>
        </w:rPr>
        <w:footnoteRef/>
      </w:r>
      <w:r>
        <w:rPr/>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1869">
    <w:p>
      <w:pPr>
        <w:pStyle w:val="Funote"/>
        <w:rPr/>
      </w:pPr>
      <w:r>
        <w:rPr>
          <w:rStyle w:val="Funotenzeichen"/>
        </w:rPr>
        <w:footnoteRef/>
      </w:r>
      <w:r>
        <w:rPr/>
        <w:tab/>
        <w:t xml:space="preserve">diskutierten weiter (begannen zu diskutieren) bzw. machten sich Gedanken „Diskutieren“ (so die wahrscheinlich gemeinte Bedeutung) steht im Imperfekt.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870">
    <w:p>
      <w:pPr>
        <w:pStyle w:val="Funote"/>
        <w:rPr/>
      </w:pPr>
      <w:r>
        <w:rPr>
          <w:rStyle w:val="Funotenzeichen"/>
        </w:rPr>
        <w:footnoteRef/>
      </w:r>
      <w:r>
        <w:rPr/>
        <w:tab/>
        <w:t>der (als er, weil er) Bescheid wusste ([das] bemerkte) Modal-temporales Ptz. conj. (oder attr. Ptz.), hier als Relativsatz aufgelöst.</w:t>
      </w:r>
    </w:p>
  </w:footnote>
  <w:footnote w:id="1871">
    <w:p>
      <w:pPr>
        <w:pStyle w:val="Funote"/>
        <w:rPr/>
      </w:pPr>
      <w:r>
        <w:rPr>
          <w:rStyle w:val="Funotenzeichen"/>
        </w:rPr>
        <w:footnoteRef/>
      </w:r>
      <w:r>
        <w:rPr/>
        <w:tab/>
        <w:t>diskutiert ihr (macht ihr euch Gedanken) Zur Abwägung zwischen den beiden Alternativen s. die Fußnote im vorigen Vers.</w:t>
      </w:r>
    </w:p>
  </w:footnote>
  <w:footnote w:id="1872">
    <w:p>
      <w:pPr>
        <w:pStyle w:val="Funote"/>
        <w:rPr/>
      </w:pPr>
      <w:r>
        <w:rPr>
          <w:rStyle w:val="Funotenzeichen"/>
        </w:rPr>
        <w:footnoteRef/>
      </w:r>
      <w:r>
        <w:rPr/>
        <w:tab/>
        <w:t>und … [denn immer] noch nicht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873">
    <w:p>
      <w:pPr>
        <w:pStyle w:val="Funote"/>
        <w:rPr/>
      </w:pPr>
      <w:r>
        <w:rPr>
          <w:rStyle w:val="Funotenzeichen"/>
        </w:rPr>
        <w:footnoteRef/>
      </w:r>
      <w:r>
        <w:rPr/>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1874">
    <w:p>
      <w:pPr>
        <w:pStyle w:val="Funote"/>
        <w:rPr/>
      </w:pPr>
      <w:r>
        <w:rPr>
          <w:rStyle w:val="Funotenzeichen"/>
        </w:rPr>
        <w:footnoteRef/>
      </w:r>
      <w:r>
        <w:rPr/>
        <w:tab/>
        <w:t>Habt ihr zwar Augen, aber seht nicht? Und habt ihr zwar Ohren, aber hört nicht? Die beiden Ptz. conj.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875">
    <w:p>
      <w:pPr>
        <w:pStyle w:val="Funote"/>
        <w:rPr/>
      </w:pPr>
      <w:r>
        <w:rPr>
          <w:rStyle w:val="Funotenzeichen"/>
        </w:rPr>
        <w:footnoteRef/>
      </w:r>
      <w:r>
        <w:rPr/>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1876">
    <w:p>
      <w:pPr>
        <w:pStyle w:val="Funote"/>
        <w:rPr/>
      </w:pPr>
      <w:r>
        <w:rPr>
          <w:rStyle w:val="Funotenzeichen"/>
        </w:rPr>
        <w:footnoteRef/>
      </w:r>
      <w:r>
        <w:rPr/>
        <w:tab/>
        <w:t>Brote … zerbrochen habe »Brote zerbrechen« steht hier als metonymisches Idiom dafür, dass Jesus sie mit Nahrung versorgt hat (vgl. LN 23.20).</w:t>
      </w:r>
    </w:p>
  </w:footnote>
  <w:footnote w:id="1877">
    <w:p>
      <w:pPr>
        <w:pStyle w:val="Funote"/>
        <w:rPr/>
      </w:pPr>
      <w:r>
        <w:rPr>
          <w:rStyle w:val="Funotenzeichen"/>
        </w:rPr>
        <w:footnoteRef/>
      </w:r>
      <w:r>
        <w:rPr/>
        <w:tab/>
        <w:t>sagte er (fuhr fort) Das Imperfekt zeigt hier wohl einfach an, dass Jesus weitersprach oder fortfuhr.</w:t>
      </w:r>
    </w:p>
  </w:footnote>
  <w:footnote w:id="1878">
    <w:p>
      <w:pPr>
        <w:pStyle w:val="Funote"/>
        <w:rPr/>
      </w:pPr>
      <w:r>
        <w:rPr>
          <w:rStyle w:val="Funotenzeichen"/>
        </w:rPr>
        <w:footnoteRef/>
      </w:r>
      <w:r>
        <w:rPr/>
        <w:tab/>
        <w:t>Als, ({Und} ... {und}) W. „und … und“, hier als temporales Satzgefüge verstanden (vgl. Reiser 1983, 119).</w:t>
      </w:r>
    </w:p>
  </w:footnote>
  <w:footnote w:id="1879">
    <w:p>
      <w:pPr>
        <w:pStyle w:val="Funote"/>
        <w:rPr/>
      </w:pPr>
      <w:r>
        <w:rPr>
          <w:rStyle w:val="Funotenzeichen"/>
        </w:rPr>
        <w:footnoteRef/>
      </w:r>
      <w:r>
        <w:rPr/>
        <w:tab/>
        <w:t>er nahm … und Ptz. conj., beigeordnet aufgelöst.</w:t>
      </w:r>
    </w:p>
  </w:footnote>
  <w:footnote w:id="1880">
    <w:p>
      <w:pPr>
        <w:pStyle w:val="Funote"/>
        <w:rPr/>
      </w:pPr>
      <w:r>
        <w:rPr>
          <w:rStyle w:val="Funotenzeichen"/>
        </w:rPr>
        <w:footnoteRef/>
      </w:r>
      <w:r>
        <w:rPr/>
        <w:tab/>
        <w:t>gespuckt Zur Funktion von Spucke in Wunderheilungen vgl. FN bf zu Mk 7,33. Ähnlich wie dort wird auch hier der Brauch des Ausspeiens durch das Motiv des Auflegens der Hände erweitert, das eine für Jesus typische „Medikation“ bei Wunderheilungen gewesen zu sein scheint (s. noch Mk 1,41; 5,23).</w:t>
      </w:r>
    </w:p>
  </w:footnote>
  <w:footnote w:id="1881">
    <w:p>
      <w:pPr>
        <w:pStyle w:val="Funote"/>
        <w:rPr/>
      </w:pPr>
      <w:r>
        <w:rPr>
          <w:rStyle w:val="Funotenzeichen"/>
        </w:rPr>
        <w:footnoteRef/>
      </w:r>
      <w:r>
        <w:rPr/>
        <w:tab/>
        <w:t>nachdem er … gespuckt und … aufgelegt hatte Temp. Ptz. conj. (2x), als Nebensatz aufgelöst.</w:t>
      </w:r>
    </w:p>
  </w:footnote>
  <w:footnote w:id="1882">
    <w:p>
      <w:pPr>
        <w:pStyle w:val="Funote"/>
        <w:rPr/>
      </w:pPr>
      <w:r>
        <w:rPr>
          <w:rStyle w:val="Funotenzeichen"/>
        </w:rPr>
        <w:footnoteRef/>
      </w:r>
      <w:r>
        <w:rPr/>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1883">
    <w:p>
      <w:pPr>
        <w:pStyle w:val="Funote"/>
        <w:rPr/>
      </w:pPr>
      <w:r>
        <w:rPr>
          <w:rStyle w:val="Funotenzeichen"/>
        </w:rPr>
        <w:footnoteRef/>
      </w:r>
      <w:r>
        <w:rPr/>
        <w:tab/>
        <w:t>nachdem [der Mann] wieder sehen konnte Ptz. conj.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884">
    <w:p>
      <w:pPr>
        <w:pStyle w:val="Funote"/>
        <w:rPr/>
      </w:pPr>
      <w:r>
        <w:rPr>
          <w:rStyle w:val="Funotenzeichen"/>
        </w:rPr>
        <w:footnoteRef/>
      </w:r>
      <w:r>
        <w:rPr/>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1885">
    <w:p>
      <w:pPr>
        <w:pStyle w:val="Funote"/>
        <w:rPr/>
      </w:pPr>
      <w:r>
        <w:rPr>
          <w:rStyle w:val="Funotenzeichen"/>
        </w:rPr>
        <w:footnoteRef/>
      </w:r>
      <w:r>
        <w:rPr/>
        <w:tab/>
        <w:t>Ich sehe die Leute – wie Bäume, ich sehe sie umhergehen Falsch wäre die Übersetzung „ich sehe sie wie Bäume umhergehen“ (LUT, ELB, GNB?). Bäume ist Neutrum Plural, das Partizip umhergehen (ein AcP) Maskulinum Plural. Das Partizip bezieht sich auf die Leute (France 2002, 325). Die Übersetzung versucht das zu berücksichtigen. Sehr schön fängt das NGÜ ein: „Ich sehe Menschen; sie gehen umher, aber sie sehen aus wie Bäume.“</w:t>
      </w:r>
    </w:p>
  </w:footnote>
  <w:footnote w:id="1886">
    <w:p>
      <w:pPr>
        <w:pStyle w:val="Funote"/>
        <w:rPr/>
      </w:pPr>
      <w:r>
        <w:rPr>
          <w:rStyle w:val="Funotenzeichen"/>
        </w:rPr>
        <w:footnoteRef/>
      </w:r>
      <w:r>
        <w:rPr/>
        <w:tab/>
        <w:t>er konnte nun alles deutlich erkennen Das Verb steht im Unterschied zu den beiden vorigen (Aorist) im Imperfekt,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887">
    <w:p>
      <w:pPr>
        <w:pStyle w:val="Funote"/>
        <w:rPr/>
      </w:pPr>
      <w:r>
        <w:rPr>
          <w:rStyle w:val="Funotenzeichen"/>
        </w:rPr>
        <w:footnoteRef/>
      </w:r>
      <w:r>
        <w:rPr/>
        <w:tab/>
        <w:t>wobei er ihm auftrug (sagte) Modales Ptz. conj., als Nebensatz aufgelöst. Eine andere Möglichkeit wäre „mit den (folgenden) Worten“.</w:t>
      </w:r>
    </w:p>
  </w:footnote>
  <w:footnote w:id="1888">
    <w:p>
      <w:pPr>
        <w:pStyle w:val="Funote"/>
        <w:rPr/>
      </w:pPr>
      <w:r>
        <w:rPr>
          <w:rStyle w:val="Funotenzeichen"/>
        </w:rPr>
        <w:footnoteRef/>
      </w:r>
      <w:r>
        <w:rPr/>
        <w:tab/>
        <w:t>»Geh auch nicht ins Dorf!« Das ist offenbar so zu verstehen, dass der Mann nicht direkt in Betsaida (=dem Dorf) lebte. Vgl. GNB: »Geh nicht erst nach Betsaida hinein, sondern geh gleich nach Hause!«</w:t>
      </w:r>
    </w:p>
  </w:footnote>
  <w:footnote w:id="1889">
    <w:p>
      <w:pPr>
        <w:pStyle w:val="Funote"/>
        <w:rPr/>
      </w:pPr>
      <w:r>
        <w:rPr>
          <w:rStyle w:val="Funotenzeichen"/>
        </w:rPr>
        <w:footnoteRef/>
      </w:r>
      <w:r>
        <w:rPr/>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1890">
    <w:p>
      <w:pPr>
        <w:pStyle w:val="Funote"/>
        <w:rPr/>
      </w:pPr>
      <w:r>
        <w:rPr>
          <w:rStyle w:val="Funotenzeichen"/>
        </w:rPr>
        <w:footnoteRef/>
      </w:r>
      <w:r>
        <w:rPr/>
        <w:tab/>
        <w:t>{und sagte} Pleonastisches Partizip.</w:t>
      </w:r>
    </w:p>
  </w:footnote>
  <w:footnote w:id="1891">
    <w:p>
      <w:pPr>
        <w:pStyle w:val="Funote"/>
        <w:rPr/>
      </w:pPr>
      <w:r>
        <w:rPr>
          <w:rStyle w:val="Funotenzeichen"/>
        </w:rPr>
        <w:footnoteRef/>
      </w:r>
      <w:r>
        <w:rPr/>
        <w:tab/>
        <w:t>„</w:t>
      </w:r>
      <w:r>
        <w:rPr/>
        <w:t>Für wen halten mich die Leute?“ Oder „Was sagen die Leute (Menschen), wer ich bin?“ W. etwa „Wen sagen/halten die Leute mich zu sein?“ (AcI)</w:t>
      </w:r>
    </w:p>
  </w:footnote>
  <w:footnote w:id="1892">
    <w:p>
      <w:pPr>
        <w:pStyle w:val="Funote"/>
        <w:rPr/>
      </w:pPr>
      <w:r>
        <w:rPr>
          <w:rStyle w:val="Funotenzeichen"/>
        </w:rPr>
        <w:footnoteRef/>
      </w:r>
      <w:r>
        <w:rPr/>
        <w:tab/>
        <w:t>{sagend} Pleonastisches Partizip.</w:t>
      </w:r>
    </w:p>
  </w:footnote>
  <w:footnote w:id="1893">
    <w:p>
      <w:pPr>
        <w:pStyle w:val="Funote"/>
        <w:rPr/>
      </w:pPr>
      <w:r>
        <w:rPr>
          <w:rStyle w:val="Funotenzeichen"/>
        </w:rPr>
        <w:footnoteRef/>
      </w:r>
      <w:r>
        <w:rPr/>
        <w:tab/>
        <w:t>Für wen haltet ihr mich? W. etwa „Ihr aber, wen sagt/haltet ihr mich zu sein?“ (AcI. Vgl. die Frage in V. 27)</w:t>
      </w:r>
    </w:p>
  </w:footnote>
  <w:footnote w:id="1894">
    <w:p>
      <w:pPr>
        <w:pStyle w:val="Funote"/>
        <w:rPr/>
      </w:pPr>
      <w:r>
        <w:rPr>
          <w:rStyle w:val="Funotenzeichen"/>
        </w:rPr>
        <w:footnoteRef/>
      </w:r>
      <w:r>
        <w:rPr/>
        <w:tab/>
        <w:t>{antwortend} Pleonastisches Partizip; übersetze schlicht: „Petrus antwortete:...“</w:t>
      </w:r>
    </w:p>
  </w:footnote>
  <w:footnote w:id="1895">
    <w:p>
      <w:pPr>
        <w:pStyle w:val="Funote"/>
        <w:rPr/>
      </w:pPr>
      <w:r>
        <w:rPr>
          <w:rStyle w:val="Funotenzeichen"/>
        </w:rPr>
        <w:footnoteRef/>
      </w:r>
      <w:r>
        <w:rPr/>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1896">
    <w:p>
      <w:pPr>
        <w:pStyle w:val="Funote"/>
        <w:rPr/>
      </w:pPr>
      <w:r>
        <w:rPr>
          <w:rStyle w:val="Funotenzeichen"/>
        </w:rPr>
        <w:footnoteRef/>
      </w:r>
      <w:r>
        <w:rPr/>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897">
    <w:p>
      <w:pPr>
        <w:pStyle w:val="Funote"/>
        <w:rPr/>
      </w:pPr>
      <w:r>
        <w:rPr>
          <w:rStyle w:val="Funotenzeichen"/>
        </w:rPr>
        <w:footnoteRef/>
      </w:r>
      <w:r>
        <w:rPr/>
        <w:tab/>
        <w:t>oberste Priester Auf Griechisch „Hohe Priester“. Damit waren ehemalige Hohe Priester gemeint, die weiter im Hohen Rat vertreten waren, aber wahrscheinlich auch Mitglieder der wichtigen Priesterfamilien (France 2002, 335 Fn 51).</w:t>
      </w:r>
    </w:p>
  </w:footnote>
  <w:footnote w:id="1898">
    <w:p>
      <w:pPr>
        <w:pStyle w:val="Funote"/>
        <w:rPr/>
      </w:pPr>
      <w:r>
        <w:rPr>
          <w:rStyle w:val="Funotenzeichen"/>
        </w:rPr>
        <w:footnoteRef/>
      </w:r>
      <w:r>
        <w:rPr/>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1899">
    <w:p>
      <w:pPr>
        <w:pStyle w:val="Funote"/>
        <w:rPr/>
      </w:pPr>
      <w:r>
        <w:rPr>
          <w:rStyle w:val="Funotenzeichen"/>
        </w:rPr>
        <w:footnoteRef/>
      </w:r>
      <w:r>
        <w:rPr/>
        <w:tab/>
        <w:t>er sagte das ganz offen W. „Diese Aussage machte er mit Offenheit“ (instr. Dat.); gut MEN, ZÜR: „und er sprach das ganz offen aus“, EÜ (vgl. NGÜ): „er redete ganz offen darüber“. Markus bezieht sich hier speziell auf die Lehre aus V. 31 (France 2002, 337).</w:t>
      </w:r>
    </w:p>
  </w:footnote>
  <w:footnote w:id="1900">
    <w:p>
      <w:pPr>
        <w:pStyle w:val="Funote"/>
        <w:rPr/>
      </w:pPr>
      <w:r>
        <w:rPr>
          <w:rStyle w:val="Funotenzeichen"/>
        </w:rPr>
        <w:footnoteRef/>
      </w:r>
      <w:r>
        <w:rPr/>
        <w:tab/>
        <w:t>begann, missbilligend auf ihn einzureden W. „tadeln, zurechtweisen“. Gemeint ist, dass Petrus Jesus solche düsteren Vorhersagen ausreden und ihn zur Vernunft bringen möchte. GNB: „wollte ihm das ausreden“, MEN: „begann auf ihn einzureden“.</w:t>
      </w:r>
    </w:p>
  </w:footnote>
  <w:footnote w:id="1901">
    <w:p>
      <w:pPr>
        <w:pStyle w:val="Funote"/>
        <w:rPr/>
      </w:pPr>
      <w:r>
        <w:rPr>
          <w:rStyle w:val="Funotenzeichen"/>
        </w:rPr>
        <w:footnoteRef/>
      </w:r>
      <w:r>
        <w:rPr/>
        <w:tab/>
        <w:t>Der drehte sich um und, indem (und) er seine Jünger ansah (nachdem … angesehen hatte) Beide Verben sind Ptz. conj.,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902">
    <w:p>
      <w:pPr>
        <w:pStyle w:val="Funote"/>
        <w:rPr/>
      </w:pPr>
      <w:r>
        <w:rPr>
          <w:rStyle w:val="Funotenzeichen"/>
        </w:rPr>
        <w:footnoteRef/>
      </w:r>
      <w:r>
        <w:rPr/>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1903">
    <w:p>
      <w:pPr>
        <w:pStyle w:val="Funote"/>
        <w:rPr/>
      </w:pPr>
      <w:r>
        <w:rPr>
          <w:rStyle w:val="Funotenzeichen"/>
        </w:rPr>
        <w:footnoteRef/>
      </w:r>
      <w:r>
        <w:rPr/>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1904">
    <w:p>
      <w:pPr>
        <w:pStyle w:val="Funote"/>
        <w:rPr/>
      </w:pPr>
      <w:r>
        <w:rPr>
          <w:rStyle w:val="Funotenzeichen"/>
        </w:rPr>
        <w:footnoteRef/>
      </w:r>
      <w:r>
        <w:rPr/>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1905">
    <w:p>
      <w:pPr>
        <w:pStyle w:val="Funote"/>
        <w:rPr/>
      </w:pPr>
      <w:r>
        <w:rPr>
          <w:rStyle w:val="Funotenzeichen"/>
        </w:rPr>
        <w:footnoteRef/>
      </w:r>
      <w:r>
        <w:rPr/>
        <w:tab/>
        <w:t>rief zu sich … und Temporales Ptz. conj., beigeordnet aufgelöst.</w:t>
      </w:r>
    </w:p>
  </w:footnote>
  <w:footnote w:id="1906">
    <w:p>
      <w:pPr>
        <w:pStyle w:val="Funote"/>
        <w:rPr/>
      </w:pPr>
      <w:r>
        <w:rPr>
          <w:rStyle w:val="Funotenzeichen"/>
        </w:rPr>
        <w:footnoteRef/>
      </w:r>
      <w:r>
        <w:rPr/>
        <w:tab/>
        <w:t>mir nachfolgen W. »hinter mir gehen« (vgl. Mk 1,17; 2,14). Manche Übersetzungen: »Wer mein Jünger sein will...« (EÜ, NGÜ) Genau das hat Jesus hier im Blick (France 2002, 339; Pryke 1978, S. 41).</w:t>
      </w:r>
    </w:p>
  </w:footnote>
  <w:footnote w:id="1907">
    <w:p>
      <w:pPr>
        <w:pStyle w:val="Funote"/>
        <w:rPr/>
      </w:pPr>
      <w:r>
        <w:rPr>
          <w:rStyle w:val="Funotenzeichen"/>
        </w:rPr>
        <w:footnoteRef/>
      </w:r>
      <w:r>
        <w:rPr/>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1908">
    <w:p>
      <w:pPr>
        <w:pStyle w:val="Funote"/>
        <w:rPr/>
      </w:pPr>
      <w:r>
        <w:rPr>
          <w:rStyle w:val="Funotenzeichen"/>
        </w:rPr>
        <w:footnoteRef/>
      </w:r>
      <w:r>
        <w:rPr/>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1909">
    <w:p>
      <w:pPr>
        <w:pStyle w:val="Funote"/>
        <w:rPr/>
      </w:pPr>
      <w:r>
        <w:rPr>
          <w:rStyle w:val="Funotenzeichen"/>
        </w:rPr>
        <w:footnoteRef/>
      </w:r>
      <w:r>
        <w:rPr/>
        <w:tab/>
        <w:t>die gesamte Welt zu gewinnen Das heißt im übertragenen Sinn, (im diesseitigen Leben) den größtmöglichen Erfolg zu erzielen (France 2002, 341).</w:t>
      </w:r>
    </w:p>
  </w:footnote>
  <w:footnote w:id="1910">
    <w:p>
      <w:pPr>
        <w:pStyle w:val="Funote"/>
        <w:rPr/>
      </w:pPr>
      <w:r>
        <w:rPr>
          <w:rStyle w:val="Funotenzeichen"/>
        </w:rPr>
        <w:footnoteRef/>
      </w:r>
      <w:r>
        <w:rPr/>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1911">
    <w:p>
      <w:pPr>
        <w:pStyle w:val="Funote"/>
        <w:rPr/>
      </w:pPr>
      <w:r>
        <w:rPr>
          <w:rStyle w:val="Funotenzeichen"/>
        </w:rPr>
        <w:footnoteRef/>
      </w:r>
      <w:r>
        <w:rPr/>
        <w:tab/>
        <w:t>Generation (Pack) - zu diesem Ausdruck s. FN o zu V. 12.</w:t>
      </w:r>
    </w:p>
  </w:footnote>
  <w:footnote w:id="1912">
    <w:p>
      <w:pPr>
        <w:pStyle w:val="Funote"/>
        <w:rPr/>
      </w:pPr>
      <w:r>
        <w:rPr>
          <w:rStyle w:val="Funotenzeichen"/>
        </w:rPr>
        <w:footnoteRef/>
      </w:r>
      <w:r>
        <w:rPr/>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1913">
    <w:p>
      <w:pPr>
        <w:pStyle w:val="Funote"/>
        <w:rPr/>
      </w:pPr>
      <w:r>
        <w:rPr>
          <w:rStyle w:val="Funotenzeichen"/>
        </w:rPr>
        <w:footnoteRef/>
      </w:r>
      <w:r>
        <w:rPr/>
        <w:tab/>
        <w:t>[Status: Zuverlässig]</w:t>
      </w:r>
    </w:p>
  </w:footnote>
  <w:footnote w:id="1914">
    <w:p>
      <w:pPr>
        <w:pStyle w:val="Funote"/>
        <w:rPr/>
      </w:pPr>
      <w:r>
        <w:rPr>
          <w:rStyle w:val="Funotenzeichen"/>
        </w:rPr>
        <w:footnoteRef/>
      </w:r>
      <w:r>
        <w:rPr/>
        <w:tab/>
        <w:t xml:space="preserve">weiter sagte er - W. Und er sagte. Das </w:t>
      </w:r>
      <w:r>
        <w:rPr>
          <w:lang w:val="el-GR"/>
        </w:rPr>
        <w:t>καὶ</w:t>
      </w:r>
      <w:r>
        <w:rPr/>
        <w:t xml:space="preserve"> schließt direkt an den vorangehenden Abschnitt an; das Impf.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915">
    <w:p>
      <w:pPr>
        <w:pStyle w:val="Funote"/>
        <w:rPr/>
      </w:pPr>
      <w:r>
        <w:rPr>
          <w:rStyle w:val="Funotenzeichen"/>
        </w:rPr>
        <w:footnoteRef/>
      </w:r>
      <w:r>
        <w:rPr/>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1916">
    <w:p>
      <w:pPr>
        <w:pStyle w:val="Funote"/>
        <w:rPr/>
      </w:pPr>
      <w:r>
        <w:rPr>
          <w:rStyle w:val="Funotenzeichen"/>
        </w:rPr>
        <w:footnoteRef/>
      </w:r>
      <w:r>
        <w:rPr/>
        <w:tab/>
        <w:t>den Tod nicht schmecken - hebräisches Idiom für »sterben«; auch in Joh 8,52; Heb 2,9 und häufiger in der frühjüdischen Literatur (Stellen bei B/S I, S. 751f; vgl. auch BDAG 195). Verwandt ist vielleicht der Ausdruck »(bitterer) Kelch des Todes« für den Tod in TestAb 16,12; TgN zu Dtn 32,1 und TgN, TgJ, TgF zu Gen 40,23. BB, Camacho/Mateos 1994, CEB, GNT, GW, HfA, NCV, NGÜ, NIRV, NL, NLT, Pesch 1977, S. 66 einfach: »nicht sterben« - das ist wohl die einfachste Lösung.</w:t>
      </w:r>
    </w:p>
  </w:footnote>
  <w:footnote w:id="1917">
    <w:p>
      <w:pPr>
        <w:pStyle w:val="Funote"/>
        <w:rPr/>
      </w:pPr>
      <w:r>
        <w:rPr>
          <w:rStyle w:val="Funotenzeichen"/>
        </w:rPr>
        <w:footnoteRef/>
      </w:r>
      <w:r>
        <w:rPr/>
        <w:tab/>
        <w:t>zu Reich Gottes vgl. Terminologie/Reich Gottes.</w:t>
      </w:r>
    </w:p>
  </w:footnote>
  <w:footnote w:id="1918">
    <w:p>
      <w:pPr>
        <w:pStyle w:val="Funote"/>
        <w:rPr/>
      </w:pPr>
      <w:r>
        <w:rPr>
          <w:rStyle w:val="Funotenzeichen"/>
        </w:rPr>
        <w:footnoteRef/>
      </w:r>
      <w:r>
        <w:rPr/>
        <w:tab/>
        <w:t xml:space="preserve">gekommen ist - W. bis sie gesehen haben das Reich Gottes gekommen in Macht. Das Perfekt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919">
    <w:p>
      <w:pPr>
        <w:pStyle w:val="Funote"/>
        <w:rPr/>
      </w:pPr>
      <w:r>
        <w:rPr>
          <w:rStyle w:val="Funotenzeichen"/>
        </w:rPr>
        <w:footnoteRef/>
      </w:r>
      <w:r>
        <w:rPr/>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1920">
    <w:p>
      <w:pPr>
        <w:pStyle w:val="Funote"/>
        <w:rPr/>
      </w:pPr>
      <w:r>
        <w:rPr>
          <w:rStyle w:val="Funotenzeichen"/>
        </w:rPr>
        <w:footnoteRef/>
      </w:r>
      <w:r>
        <w:rPr/>
        <w:tab/>
        <w:t>s. letzte FN</w:t>
      </w:r>
    </w:p>
  </w:footnote>
  <w:footnote w:id="1921">
    <w:p>
      <w:pPr>
        <w:pStyle w:val="Funote"/>
        <w:rPr/>
      </w:pPr>
      <w:r>
        <w:rPr>
          <w:rStyle w:val="Funotenzeichen"/>
        </w:rPr>
        <w:footnoteRef/>
      </w:r>
      <w:r>
        <w:rPr/>
        <w:tab/>
        <w:t>vor ihnen - viele Üss. stilistisch gut: „vor ihren Augen“, aber Mk verwendet wohl bewusst „ihnen“: Die Geschehnisse der Perikope Mk 9,2-8 sind kein Selbstzweck, sondern für die Jünger bestimmt: Vor ihnen wird Jesus verwandelt; ihnen erscheinen Elija mit Mose, und ihnen („aus der Wolke“) deutet die „Stimme“ aus, was sie da eben gesehen haben.</w:t>
      </w:r>
    </w:p>
  </w:footnote>
  <w:footnote w:id="1922">
    <w:p>
      <w:pPr>
        <w:pStyle w:val="Funote"/>
        <w:rPr/>
      </w:pPr>
      <w:r>
        <w:rPr>
          <w:rStyle w:val="Funotenzeichen"/>
        </w:rPr>
        <w:footnoteRef/>
      </w:r>
      <w:r>
        <w:rPr/>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1923">
    <w:p>
      <w:pPr>
        <w:pStyle w:val="Funote"/>
        <w:rPr/>
      </w:pPr>
      <w:r>
        <w:rPr>
          <w:rStyle w:val="Funotenzeichen"/>
        </w:rPr>
        <w:footnoteRef/>
      </w:r>
      <w:r>
        <w:rPr/>
        <w:tab/>
        <w:t>V. 3: wurden strahlten, V. 4: sprachen waren im Gespräch, V. 6: waren in Furcht geraten fürchteten sich, V. 7: Und eine Wolke entstand und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1924">
    <w:p>
      <w:pPr>
        <w:pStyle w:val="Funote"/>
        <w:rPr/>
      </w:pPr>
      <w:r>
        <w:rPr>
          <w:rStyle w:val="Funotenzeichen"/>
        </w:rPr>
        <w:footnoteRef/>
      </w:r>
      <w:r>
        <w:rPr/>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1925">
    <w:p>
      <w:pPr>
        <w:pStyle w:val="Funote"/>
        <w:rPr/>
      </w:pPr>
      <w:r>
        <w:rPr>
          <w:rStyle w:val="Funotenzeichen"/>
        </w:rPr>
        <w:footnoteRef/>
      </w:r>
      <w:r>
        <w:rPr/>
        <w:tab/>
        <w:t>zu Walker gut Dschulnigg 2007, S. 245: „Walker oder Tuchscherer krempelten Wolle, kratzten Tücher auf und reinigten schmutzige Gewänder. Der Vergleich verdeutlicht, dass die Kleider Jesu in himmlischem Glanz versetzt werden.“</w:t>
      </w:r>
    </w:p>
  </w:footnote>
  <w:footnote w:id="1926">
    <w:p>
      <w:pPr>
        <w:pStyle w:val="Funote"/>
        <w:rPr/>
      </w:pPr>
      <w:r>
        <w:rPr>
          <w:rStyle w:val="Funotenzeichen"/>
        </w:rPr>
        <w:footnoteRef/>
      </w:r>
      <w:r>
        <w:rPr/>
        <w:tab/>
        <w:t>auf der [ganzen] Erde - eigentlich unnötig; natürlich geht es um irdische Walker. Der Sinn ist emphatisch (Cranfield 1959, S. 290), daher [ganzen].</w:t>
      </w:r>
    </w:p>
  </w:footnote>
  <w:footnote w:id="1927">
    <w:p>
      <w:pPr>
        <w:pStyle w:val="Funote"/>
        <w:rPr/>
      </w:pPr>
      <w:r>
        <w:rPr>
          <w:rStyle w:val="Funotenzeichen"/>
        </w:rPr>
        <w:footnoteRef/>
      </w:r>
      <w:r>
        <w:rPr/>
        <w:tab/>
        <w:t>derart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1928">
    <w:p>
      <w:pPr>
        <w:pStyle w:val="Funote"/>
        <w:rPr/>
      </w:pPr>
      <w:r>
        <w:rPr>
          <w:rStyle w:val="Funotenzeichen"/>
        </w:rPr>
        <w:footnoteRef/>
      </w:r>
      <w:r>
        <w:rPr/>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929">
    <w:p>
      <w:pPr>
        <w:pStyle w:val="Funote"/>
        <w:rPr/>
      </w:pPr>
      <w:r>
        <w:rPr>
          <w:rStyle w:val="Funotenzeichen"/>
        </w:rPr>
        <w:footnoteRef/>
      </w:r>
      <w:r>
        <w:rPr/>
        <w:tab/>
        <w:t xml:space="preserve">V. 5.19: antwortete und,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1930">
    <w:p>
      <w:pPr>
        <w:pStyle w:val="Funote"/>
        <w:rPr/>
      </w:pPr>
      <w:r>
        <w:rPr>
          <w:rStyle w:val="Funotenzeichen"/>
        </w:rPr>
        <w:footnoteRef/>
      </w:r>
      <w:r>
        <w:rPr/>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1931">
    <w:p>
      <w:pPr>
        <w:pStyle w:val="Funote"/>
        <w:rPr/>
      </w:pPr>
      <w:r>
        <w:rPr>
          <w:rStyle w:val="Funotenzeichen"/>
        </w:rPr>
        <w:footnoteRef/>
      </w:r>
      <w:r>
        <w:rPr/>
        <w:tab/>
        <w:t xml:space="preserve">Und lass uns (so lass uns denn) - konsekutives </w:t>
      </w:r>
      <w:r>
        <w:rPr>
          <w:lang w:val="el-GR"/>
        </w:rPr>
        <w:t>καὶ</w:t>
      </w:r>
      <w:r>
        <w:rPr/>
        <w:t>; »So lass uns denn...« gut nach Reiser 1983, S. 117.</w:t>
      </w:r>
    </w:p>
  </w:footnote>
  <w:footnote w:id="1932">
    <w:p>
      <w:pPr>
        <w:pStyle w:val="Funote"/>
        <w:rPr/>
      </w:pPr>
      <w:r>
        <w:rPr>
          <w:rStyle w:val="Funotenzeichen"/>
        </w:rPr>
        <w:footnoteRef/>
      </w:r>
      <w:r>
        <w:rPr/>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&lt;poem&gt;„In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Rießler)&lt;/poem&gt;</w:t>
      </w:r>
    </w:p>
  </w:footnote>
  <w:footnote w:id="1933">
    <w:p>
      <w:pPr>
        <w:pStyle w:val="Funote"/>
        <w:rPr/>
      </w:pPr>
      <w:r>
        <w:rPr>
          <w:rStyle w:val="Funotenzeichen"/>
        </w:rPr>
        <w:footnoteRef/>
      </w:r>
      <w:r>
        <w:rPr/>
        <w:tab/>
        <w:t>hüllte ein (verbarg, überschattete) - s. nächste Fußnote</w:t>
      </w:r>
    </w:p>
  </w:footnote>
  <w:footnote w:id="1934">
    <w:p>
      <w:pPr>
        <w:pStyle w:val="Funote"/>
        <w:rPr/>
      </w:pPr>
      <w:r>
        <w:rPr>
          <w:rStyle w:val="Funotenzeichen"/>
        </w:rPr>
        <w:footnoteRef/>
      </w:r>
      <w:r>
        <w:rPr/>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935">
    <w:p>
      <w:pPr>
        <w:pStyle w:val="Funote"/>
        <w:rPr/>
      </w:pPr>
      <w:r>
        <w:rPr>
          <w:rStyle w:val="Funotenzeichen"/>
        </w:rPr>
        <w:footnoteRef/>
      </w:r>
      <w:r>
        <w:rPr/>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1936">
    <w:p>
      <w:pPr>
        <w:pStyle w:val="Funote"/>
        <w:rPr/>
      </w:pPr>
      <w:r>
        <w:rPr>
          <w:rStyle w:val="Funotenzeichen"/>
        </w:rPr>
        <w:footnoteRef/>
      </w:r>
      <w:r>
        <w:rPr/>
        <w:tab/>
        <w:t>[darum] - »[darum]« gut nach Reiser 1983, S. 145.</w:t>
      </w:r>
    </w:p>
  </w:footnote>
  <w:footnote w:id="1937">
    <w:p>
      <w:pPr>
        <w:pStyle w:val="Funote"/>
        <w:rPr/>
      </w:pPr>
      <w:r>
        <w:rPr>
          <w:rStyle w:val="Funotenzeichen"/>
        </w:rPr>
        <w:footnoteRef/>
      </w:r>
      <w:r>
        <w:rPr/>
        <w:tab/>
        <w:t xml:space="preserve">niemanden nicht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1938">
    <w:p>
      <w:pPr>
        <w:pStyle w:val="Funote"/>
        <w:rPr/>
      </w:pPr>
      <w:r>
        <w:rPr>
          <w:rStyle w:val="Funotenzeichen"/>
        </w:rPr>
        <w:footnoteRef/>
      </w:r>
      <w:r>
        <w:rPr/>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1939">
    <w:p>
      <w:pPr>
        <w:pStyle w:val="Funote"/>
        <w:rPr/>
      </w:pPr>
      <w:r>
        <w:rPr>
          <w:rStyle w:val="Funotenzeichen"/>
        </w:rPr>
        <w:footnoteRef/>
      </w:r>
      <w:r>
        <w:rPr/>
        <w:tab/>
        <w:t xml:space="preserve">V. 9: vom (aus dem) - </w:t>
      </w:r>
      <w:r>
        <w:rPr>
          <w:lang w:val="el-GR"/>
        </w:rPr>
        <w:t>ἐκ</w:t>
      </w:r>
      <w:r>
        <w:rPr/>
        <w:t xml:space="preserve"> verwendet wie </w:t>
      </w:r>
      <w:r>
        <w:rPr>
          <w:lang w:val="el-GR"/>
        </w:rPr>
        <w:t>ἀπό</w:t>
      </w:r>
      <w:r>
        <w:rPr/>
        <w:t>; vielleicht Semitismus - s. Turner 1929a, S. 282f. Daher auch Textvarianten.</w:t>
      </w:r>
    </w:p>
  </w:footnote>
  <w:footnote w:id="1940">
    <w:p>
      <w:pPr>
        <w:pStyle w:val="Funote"/>
        <w:rPr/>
      </w:pPr>
      <w:r>
        <w:rPr>
          <w:rStyle w:val="Funotenzeichen"/>
        </w:rPr>
        <w:footnoteRef/>
      </w:r>
      <w:r>
        <w:rPr/>
        <w:tab/>
        <w:t xml:space="preserve">V. 9: dass,;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1941">
    <w:p>
      <w:pPr>
        <w:pStyle w:val="Funote"/>
        <w:rPr/>
      </w:pPr>
      <w:r>
        <w:rPr>
          <w:rStyle w:val="Funotenzeichen"/>
        </w:rPr>
        <w:footnoteRef/>
      </w:r>
      <w:r>
        <w:rPr/>
        <w:tab/>
        <w:t>erst (außer) - Exzeptivsatz temporal verwendet, wohl Semitismus; vgl. Beyer 1968, S. 132-34; Marcus 2009</w:t>
      </w:r>
    </w:p>
  </w:footnote>
  <w:footnote w:id="1942">
    <w:p>
      <w:pPr>
        <w:pStyle w:val="Funote"/>
        <w:rPr/>
      </w:pPr>
      <w:r>
        <w:rPr>
          <w:rStyle w:val="Funotenzeichen"/>
        </w:rPr>
        <w:footnoteRef/>
      </w:r>
      <w:r>
        <w:rPr/>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943">
    <w:p>
      <w:pPr>
        <w:pStyle w:val="Funote"/>
        <w:rPr/>
      </w:pPr>
      <w:r>
        <w:rPr>
          <w:rStyle w:val="Funotenzeichen"/>
        </w:rPr>
        <w:footnoteRef/>
      </w:r>
      <w:r>
        <w:rPr/>
        <w:tab/>
        <w:t>von den Toten - gemeint ist nicht das „Reich der Toten“, sondern die toten Menschen; vgl. BDAG 668; ad loc. Marcus 2009. Vor allen anderen Toten und als (vorerst) einziger unter den Toten wird der Menschensohn auferstehen.</w:t>
      </w:r>
    </w:p>
  </w:footnote>
  <w:footnote w:id="1944">
    <w:p>
      <w:pPr>
        <w:pStyle w:val="Funote"/>
        <w:rPr/>
      </w:pPr>
      <w:r>
        <w:rPr>
          <w:rStyle w:val="Funotenzeichen"/>
        </w:rPr>
        <w:footnoteRef/>
      </w:r>
      <w:r>
        <w:rPr/>
        <w:tab/>
        <w:t xml:space="preserve">behielten das Wort bei sich (bei sich),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1945">
    <w:p>
      <w:pPr>
        <w:pStyle w:val="Funote"/>
        <w:rPr/>
      </w:pPr>
      <w:r>
        <w:rPr>
          <w:rStyle w:val="Funotenzeichen"/>
        </w:rPr>
        <w:footnoteRef/>
      </w:r>
      <w:r>
        <w:rPr/>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1946">
    <w:p>
      <w:pPr>
        <w:pStyle w:val="Funote"/>
        <w:rPr/>
      </w:pPr>
      <w:r>
        <w:rPr>
          <w:rStyle w:val="Funotenzeichen"/>
        </w:rPr>
        <w:footnoteRef/>
      </w:r>
      <w:r>
        <w:rPr/>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1947">
    <w:p>
      <w:pPr>
        <w:pStyle w:val="Funote"/>
        <w:rPr/>
      </w:pPr>
      <w:r>
        <w:rPr>
          <w:rStyle w:val="Funotenzeichen"/>
        </w:rPr>
        <w:footnoteRef/>
      </w:r>
      <w:r>
        <w:rPr/>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948">
    <w:p>
      <w:pPr>
        <w:pStyle w:val="Funote"/>
        <w:rPr/>
      </w:pPr>
      <w:r>
        <w:rPr>
          <w:rStyle w:val="Funotenzeichen"/>
        </w:rPr>
        <w:footnoteRef/>
      </w:r>
      <w:r>
        <w:rPr/>
        <w:tab/>
        <w:t xml:space="preserve">kommt + stellt wieder her - Wenn wir Vv. 12f richtig gedeutet haben (vgl. FN ai, FN al), werden die Verbformen in V. 12 klug verwendet: </w:t>
      </w:r>
      <w:r>
        <w:rPr>
          <w:lang w:val="el-GR"/>
        </w:rPr>
        <w:t>ἐλθὼν</w:t>
      </w:r>
      <w:r>
        <w:rPr/>
        <w:t xml:space="preserve"> kommt ist Partizip Aorist, </w:t>
      </w:r>
      <w:r>
        <w:rPr>
          <w:lang w:val="el-GR"/>
        </w:rPr>
        <w:t>ἀποκαθιστάνει</w:t>
      </w:r>
      <w:r>
        <w:rPr/>
        <w:t xml:space="preserve"> stellt wieder her ist Indikativ Präsens. Partizip Aorist hat meist vorzeitige Bedeutung und wird so zeitlich relativ vor das Indikativ Präsens er stellt wieder her eingeordnet. Und Indikativ Präsens kann (1) gnomische Bedeutung haben; Jesus würde dann etwas über die überzeitliche Wahrheit dessen, was geschrieben steht, aussagen, ohne auf den exakten Zeitpunkt zu achten(»In der Tat: Das mit dem zuerst-Kommen und dem folgenden alles-Wiederherstellen Elija's stimmt«), es kann aber (2) auch effektive Bedeutung haben und so aussagen, dass es bereits geschehen ist und nun die Effekte dieses eingetreten-Seins in Kraft sind, also »er ist gekommen, hat alles wiederhergestellt und nun ist alles wiederhergestellt.« In V. 12 sind - wieder: wenn wir Vv. 12f richtig gedeutet haben - beide Bedeutungen aktiv: (1) macht V. 12 zu einer sinnvollen Antwort auf die Anfrage der Jünger in V. 11, (2) deckt sich mit der folgenden Richtigstellung in V. 13.</w:t>
      </w:r>
    </w:p>
  </w:footnote>
  <w:footnote w:id="1949">
    <w:p>
      <w:pPr>
        <w:pStyle w:val="Funote"/>
        <w:rPr/>
      </w:pPr>
      <w:r>
        <w:rPr>
          <w:rStyle w:val="Funotenzeichen"/>
        </w:rPr>
        <w:footnoteRef/>
      </w:r>
      <w:r>
        <w:rPr/>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1950">
    <w:p>
      <w:pPr>
        <w:pStyle w:val="Funote"/>
        <w:rPr/>
      </w:pPr>
      <w:r>
        <w:rPr>
          <w:rStyle w:val="Funotenzeichen"/>
        </w:rPr>
        <w:footnoteRef/>
      </w:r>
      <w:r>
        <w:rPr/>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951">
    <w:p>
      <w:pPr>
        <w:pStyle w:val="Funote"/>
        <w:rPr/>
      </w:pPr>
      <w:r>
        <w:rPr>
          <w:rStyle w:val="Funotenzeichen"/>
        </w:rPr>
        <w:footnoteRef/>
      </w:r>
      <w:r>
        <w:rPr/>
        <w:tab/>
        <w:t>auch (sogar) - s. FN an</w:t>
      </w:r>
    </w:p>
  </w:footnote>
  <w:footnote w:id="1952">
    <w:p>
      <w:pPr>
        <w:pStyle w:val="Funote"/>
        <w:rPr/>
      </w:pPr>
      <w:r>
        <w:rPr>
          <w:rStyle w:val="Funotenzeichen"/>
        </w:rPr>
        <w:footnoteRef/>
      </w:r>
      <w:r>
        <w:rPr/>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1953">
    <w:p>
      <w:pPr>
        <w:pStyle w:val="Funote"/>
        <w:rPr/>
      </w:pPr>
      <w:r>
        <w:rPr>
          <w:rStyle w:val="Funotenzeichen"/>
        </w:rPr>
        <w:footnoteRef/>
      </w:r>
      <w:r>
        <w:rPr/>
        <w:tab/>
        <w:t xml:space="preserve">begrüßte ihn [freudig] - [freudig] nach EWNT I, S. 416: </w:t>
      </w:r>
      <w:r>
        <w:rPr>
          <w:lang w:val="el-GR"/>
        </w:rPr>
        <w:t>ἀσπάζομαι</w:t>
      </w:r>
      <w:r>
        <w:rPr/>
        <w:t xml:space="preserve"> „als Ausdruck der Zuneigung, der freudigen Aufnahme“.</w:t>
      </w:r>
    </w:p>
  </w:footnote>
  <w:footnote w:id="1954">
    <w:p>
      <w:pPr>
        <w:pStyle w:val="Funote"/>
        <w:rPr/>
      </w:pPr>
      <w:r>
        <w:rPr>
          <w:rStyle w:val="Funotenzeichen"/>
        </w:rPr>
        <w:footnoteRef/>
      </w:r>
      <w:r>
        <w:rPr/>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955">
    <w:p>
      <w:pPr>
        <w:pStyle w:val="Funote"/>
        <w:rPr/>
      </w:pPr>
      <w:r>
        <w:rPr>
          <w:rStyle w:val="Funotenzeichen"/>
        </w:rPr>
        <w:footnoteRef/>
      </w:r>
      <w:r>
        <w:rPr/>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1956">
    <w:p>
      <w:pPr>
        <w:pStyle w:val="Funote"/>
        <w:rPr/>
      </w:pPr>
      <w:r>
        <w:rPr>
          <w:rStyle w:val="Funotenzeichen"/>
        </w:rPr>
        <w:footnoteRef/>
      </w:r>
      <w:r>
        <w:rPr/>
        <w:tab/>
        <w:t xml:space="preserve">aus (aus heraus) - vgl. FN ac: </w:t>
      </w:r>
      <w:r>
        <w:rPr>
          <w:lang w:val="el-GR"/>
        </w:rPr>
        <w:t>ἐκ</w:t>
      </w:r>
      <w:r>
        <w:rPr/>
        <w:t xml:space="preserve"> verwendet wie </w:t>
      </w:r>
      <w:r>
        <w:rPr>
          <w:lang w:val="el-GR"/>
        </w:rPr>
        <w:t>ἀπό</w:t>
      </w:r>
      <w:r>
        <w:rPr/>
        <w:t>; vielleicht Semitismus - s. Turner 1929a, S. 282f.</w:t>
      </w:r>
    </w:p>
  </w:footnote>
  <w:footnote w:id="1957">
    <w:p>
      <w:pPr>
        <w:pStyle w:val="Funote"/>
        <w:rPr/>
      </w:pPr>
      <w:r>
        <w:rPr>
          <w:rStyle w:val="Funotenzeichen"/>
        </w:rPr>
        <w:footnoteRef/>
      </w:r>
      <w:r>
        <w:rPr/>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1958">
    <w:p>
      <w:pPr>
        <w:pStyle w:val="Funote"/>
        <w:rPr/>
      </w:pPr>
      <w:r>
        <w:rPr>
          <w:rStyle w:val="Funotenzeichen"/>
        </w:rPr>
        <w:footnoteRef/>
      </w:r>
      <w:r>
        <w:rPr/>
        <w:tab/>
        <w:t>weil - adv. Ptc., kausal aufgelöst.</w:t>
      </w:r>
    </w:p>
  </w:footnote>
  <w:footnote w:id="1959">
    <w:p>
      <w:pPr>
        <w:pStyle w:val="Funote"/>
        <w:rPr/>
      </w:pPr>
      <w:r>
        <w:rPr>
          <w:rStyle w:val="Funotenzeichen"/>
        </w:rPr>
        <w:footnoteRef/>
      </w:r>
      <w:r>
        <w:rPr/>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1960">
    <w:p>
      <w:pPr>
        <w:pStyle w:val="Funote"/>
        <w:rPr/>
      </w:pPr>
      <w:r>
        <w:rPr>
          <w:rStyle w:val="Funotenzeichen"/>
        </w:rPr>
        <w:footnoteRef/>
      </w:r>
      <w:r>
        <w:rPr/>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1961">
    <w:p>
      <w:pPr>
        <w:pStyle w:val="Funote"/>
        <w:rPr/>
      </w:pPr>
      <w:r>
        <w:rPr>
          <w:rStyle w:val="Funotenzeichen"/>
        </w:rPr>
        <w:footnoteRef/>
      </w:r>
      <w:r>
        <w:rPr/>
        <w:tab/>
        <w:t xml:space="preserve">anfällt (packt) - meist »packt«. </w:t>
      </w:r>
      <w:r>
        <w:rPr>
          <w:lang w:val="el-GR"/>
        </w:rPr>
        <w:t>καταλαμβάνω</w:t>
      </w:r>
      <w:r>
        <w:rPr/>
        <w:t xml:space="preserve"> kommt von der selben Wurzel wie </w:t>
      </w:r>
      <w:r>
        <w:rPr>
          <w:lang w:val="el-GR"/>
        </w:rPr>
        <w:t>ἐπιλαμβάνομαι</w:t>
      </w:r>
      <w:r>
        <w:rPr/>
        <w:t>, das gleichzeitig terminus technicus für Besessenheit und für den epileptischen Anfall ist (und sogar das Etymon des deutschen »Epilepsie« ist). In »anfallen« kommt dieser Zhg. auch im Deutschen zum Ausdruck.</w:t>
      </w:r>
    </w:p>
  </w:footnote>
  <w:footnote w:id="1962">
    <w:p>
      <w:pPr>
        <w:pStyle w:val="Funote"/>
        <w:rPr/>
      </w:pPr>
      <w:r>
        <w:rPr>
          <w:rStyle w:val="Funotenzeichen"/>
        </w:rPr>
        <w:footnoteRef/>
      </w:r>
      <w:r>
        <w:rPr/>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1963">
    <w:p>
      <w:pPr>
        <w:pStyle w:val="Funote"/>
        <w:rPr/>
      </w:pPr>
      <w:r>
        <w:rPr>
          <w:rStyle w:val="Funotenzeichen"/>
        </w:rPr>
        <w:footnoteRef/>
      </w:r>
      <w:r>
        <w:rPr/>
        <w:tab/>
        <w:t>er hat Schaum vor dem Mund (er schäumt) + er knirscht mit den Zähnen + er wird [ganz] starr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Starr werden gut nach Louw/Nida 23.172.; gemeint ist der Ganzkörperkrampf. Treffender: »Er hat Schaum vor dem Mund, sein Gesicht verzerrt sich und er krampft am ganzen Körper«.</w:t>
      </w:r>
    </w:p>
  </w:footnote>
  <w:footnote w:id="1964">
    <w:p>
      <w:pPr>
        <w:pStyle w:val="Funote"/>
        <w:rPr/>
      </w:pPr>
      <w:r>
        <w:rPr>
          <w:rStyle w:val="Funotenzeichen"/>
        </w:rPr>
        <w:footnoteRef/>
      </w:r>
      <w:r>
        <w:rPr/>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1965">
    <w:p>
      <w:pPr>
        <w:pStyle w:val="Funote"/>
        <w:rPr/>
      </w:pPr>
      <w:r>
        <w:rPr>
          <w:rStyle w:val="Funotenzeichen"/>
        </w:rPr>
        <w:footnoteRef/>
      </w:r>
      <w:r>
        <w:rPr/>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1966">
    <w:p>
      <w:pPr>
        <w:pStyle w:val="Funote"/>
        <w:rPr/>
      </w:pPr>
      <w:r>
        <w:rPr>
          <w:rStyle w:val="Funotenzeichen"/>
        </w:rPr>
        <w:footnoteRef/>
      </w:r>
      <w:r>
        <w:rPr/>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1967">
    <w:p>
      <w:pPr>
        <w:pStyle w:val="Funote"/>
        <w:rPr/>
      </w:pPr>
      <w:r>
        <w:rPr>
          <w:rStyle w:val="Funotenzeichen"/>
        </w:rPr>
        <w:footnoteRef/>
      </w:r>
      <w:r>
        <w:rPr/>
        <w:tab/>
        <w:t>werde (muss) - sicher modales Futur</w:t>
      </w:r>
    </w:p>
  </w:footnote>
  <w:footnote w:id="1968">
    <w:p>
      <w:pPr>
        <w:pStyle w:val="Funote"/>
        <w:rPr/>
      </w:pPr>
      <w:r>
        <w:rPr>
          <w:rStyle w:val="Funotenzeichen"/>
        </w:rPr>
        <w:footnoteRef/>
      </w:r>
      <w:r>
        <w:rPr/>
        <w:tab/>
        <w:t xml:space="preserve">Und als der Geist ihn sah, sofort (Kaum hatte der Geist in gesehen - da) - Das Adverb </w:t>
      </w:r>
      <w:r>
        <w:rPr>
          <w:lang w:val="el-GR"/>
        </w:rPr>
        <w:t>εὐθύς</w:t>
      </w:r>
      <w:r>
        <w:rPr/>
        <w:t xml:space="preserve"> sofort in „zerrte er ihn sofort in Krämpfen hin und her“ hat im Griechischen die Funktion, Spannung zu erzeugen (vgl. Pryke 1987, S. 87). Daher treffender die in der Klammer angegebene Übersetzung.</w:t>
      </w:r>
    </w:p>
  </w:footnote>
  <w:footnote w:id="1969">
    <w:p>
      <w:pPr>
        <w:pStyle w:val="Funote"/>
        <w:rPr/>
      </w:pPr>
      <w:r>
        <w:rPr>
          <w:rStyle w:val="Funotenzeichen"/>
        </w:rPr>
        <w:footnoteRef/>
      </w:r>
      <w:r>
        <w:rPr/>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1970">
    <w:p>
      <w:pPr>
        <w:pStyle w:val="Funote"/>
        <w:rPr/>
      </w:pPr>
      <w:r>
        <w:rPr>
          <w:rStyle w:val="Funotenzeichen"/>
        </w:rPr>
        <w:footnoteRef/>
      </w:r>
      <w:r>
        <w:rPr/>
        <w:tab/>
        <w:t xml:space="preserve">und auf die Erde gefallen wälzte er sich schäumend (so dass der Knabe sich mit Schaum vor dem Mund auf der Erde wälzte) - Der Satz drückt die Folgen der heftigen Konvulsionen aus; besser daher konsekutives </w:t>
      </w:r>
      <w:r>
        <w:rPr>
          <w:lang w:val="el-GR"/>
        </w:rPr>
        <w:t>καί</w:t>
      </w:r>
      <w:r>
        <w:rPr/>
        <w:t>: so dass. „Auf die Erde gefallen“ ist Partizip Aorist und drückt so das dem „Wälzen“ zeitlich relativ Vorangehende aus; schöner effektiv zu übersetzen: auf der Erde (liegend).</w:t>
      </w:r>
    </w:p>
  </w:footnote>
  <w:footnote w:id="1971">
    <w:p>
      <w:pPr>
        <w:pStyle w:val="Funote"/>
        <w:rPr/>
      </w:pPr>
      <w:r>
        <w:rPr>
          <w:rStyle w:val="Funotenzeichen"/>
        </w:rPr>
        <w:footnoteRef/>
      </w:r>
      <w:r>
        <w:rPr/>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1972">
    <w:p>
      <w:pPr>
        <w:pStyle w:val="Funote"/>
        <w:rPr/>
      </w:pPr>
      <w:r>
        <w:rPr>
          <w:rStyle w:val="Funotenzeichen"/>
        </w:rPr>
        <w:footnoteRef/>
      </w:r>
      <w:r>
        <w:rPr/>
        <w:tab/>
        <w:t xml:space="preserve">sogar (und) + sogar (sowohl) - sicher emphatisches </w:t>
      </w:r>
      <w:r>
        <w:rPr>
          <w:lang w:val="el-GR"/>
        </w:rPr>
        <w:t>καὶ</w:t>
      </w:r>
      <w:r>
        <w:rPr/>
        <w:t>; hierzu gut Dana/Mantey §221.3; zur Funktion im Text siehe bl</w:t>
      </w:r>
    </w:p>
  </w:footnote>
  <w:footnote w:id="1973">
    <w:p>
      <w:pPr>
        <w:pStyle w:val="Funote"/>
        <w:rPr/>
      </w:pPr>
      <w:r>
        <w:rPr>
          <w:rStyle w:val="Funotenzeichen"/>
        </w:rPr>
        <w:footnoteRef/>
      </w:r>
      <w:r>
        <w:rPr/>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1974">
    <w:p>
      <w:pPr>
        <w:pStyle w:val="Funote"/>
        <w:rPr/>
      </w:pPr>
      <w:r>
        <w:rPr>
          <w:rStyle w:val="Funotenzeichen"/>
        </w:rPr>
        <w:footnoteRef/>
      </w:r>
      <w:r>
        <w:rPr/>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975">
    <w:p>
      <w:pPr>
        <w:pStyle w:val="Funote"/>
        <w:rPr/>
      </w:pPr>
      <w:r>
        <w:rPr>
          <w:rStyle w:val="Funotenzeichen"/>
        </w:rPr>
        <w:footnoteRef/>
      </w:r>
      <w:r>
        <w:rPr/>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1976">
    <w:p>
      <w:pPr>
        <w:pStyle w:val="Funote"/>
        <w:rPr/>
      </w:pPr>
      <w:r>
        <w:rPr>
          <w:rStyle w:val="Funotenzeichen"/>
        </w:rPr>
        <w:footnoteRef/>
      </w:r>
      <w:r>
        <w:rPr/>
        <w:tab/>
        <w:t xml:space="preserve">Das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977">
    <w:p>
      <w:pPr>
        <w:pStyle w:val="Funote"/>
        <w:rPr/>
      </w:pPr>
      <w:r>
        <w:rPr>
          <w:rStyle w:val="Funotenzeichen"/>
        </w:rPr>
        <w:footnoteRef/>
      </w:r>
      <w:r>
        <w:rPr/>
        <w:tab/>
        <w:t>vermag Alles (ist allmächtig) - s. FN bk.</w:t>
      </w:r>
    </w:p>
  </w:footnote>
  <w:footnote w:id="1978">
    <w:p>
      <w:pPr>
        <w:pStyle w:val="Funote"/>
        <w:rPr/>
      </w:pPr>
      <w:r>
        <w:rPr>
          <w:rStyle w:val="Funotenzeichen"/>
        </w:rPr>
        <w:footnoteRef/>
      </w:r>
      <w:r>
        <w:rPr/>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1979">
    <w:p>
      <w:pPr>
        <w:pStyle w:val="Funote"/>
        <w:rPr/>
      </w:pPr>
      <w:r>
        <w:rPr>
          <w:rStyle w:val="Funotenzeichen"/>
        </w:rPr>
        <w:footnoteRef/>
      </w:r>
      <w:r>
        <w:rPr/>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1980">
    <w:p>
      <w:pPr>
        <w:pStyle w:val="Funote"/>
        <w:rPr/>
      </w:pPr>
      <w:r>
        <w:rPr>
          <w:rStyle w:val="Funotenzeichen"/>
        </w:rPr>
        <w:footnoteRef/>
      </w:r>
      <w:r>
        <w:rPr/>
        <w:tab/>
        <w:t xml:space="preserve">zusammenlief (herandrängte) - </w:t>
      </w:r>
      <w:r>
        <w:rPr>
          <w:lang w:val="el-GR"/>
        </w:rPr>
        <w:t>ἐπισυντρέχω</w:t>
      </w:r>
      <w:r>
        <w:rPr/>
        <w:t xml:space="preserve"> ist ein Hapax Legomenon im gesamten Griechisch; Wortbildung: </w:t>
      </w:r>
      <w:r>
        <w:rPr>
          <w:lang w:val="el-GR"/>
        </w:rPr>
        <w:t>τρέχω</w:t>
      </w:r>
      <w:r>
        <w:rPr/>
        <w:t xml:space="preserve"> laufen -&gt; </w:t>
      </w:r>
      <w:r>
        <w:rPr>
          <w:lang w:val="el-GR"/>
        </w:rPr>
        <w:t>συν-τρέχω</w:t>
      </w:r>
      <w:r>
        <w:rPr/>
        <w:t xml:space="preserve"> zusammen-laufen -&gt; </w:t>
      </w:r>
      <w:r>
        <w:rPr>
          <w:lang w:val="el-GR"/>
        </w:rPr>
        <w:t>ἐπι-συντρέχω</w:t>
      </w:r>
      <w:r>
        <w:rPr/>
        <w:t xml:space="preserve"> heran-zusammenlaufen; gut Louw/Nida 15.134: „eilig an einen Ort zusammenlaufen“. Redundante Wortbildung („an einen Ort“ ist in „zusammenlaufen“ bereits enthalten); besser daher gesteigert: „herandrängen“.</w:t>
      </w:r>
    </w:p>
  </w:footnote>
  <w:footnote w:id="1981">
    <w:p>
      <w:pPr>
        <w:pStyle w:val="Funote"/>
        <w:rPr/>
      </w:pPr>
      <w:r>
        <w:rPr>
          <w:rStyle w:val="Funotenzeichen"/>
        </w:rPr>
        <w:footnoteRef/>
      </w:r>
      <w:r>
        <w:rPr/>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982">
    <w:p>
      <w:pPr>
        <w:pStyle w:val="Funote"/>
        <w:rPr/>
      </w:pPr>
      <w:r>
        <w:rPr>
          <w:rStyle w:val="Funotenzeichen"/>
        </w:rPr>
        <w:footnoteRef/>
      </w:r>
      <w:r>
        <w:rPr/>
        <w:tab/>
        <w:t>Du stummer und tauber Geist - W. der stumme und taube Geist; Nominativ für Vokativ (Grosvenor/Zerwick). Kein Semitismus; vgl. Doudna 1961, S. 78.</w:t>
      </w:r>
    </w:p>
  </w:footnote>
  <w:footnote w:id="1983">
    <w:p>
      <w:pPr>
        <w:pStyle w:val="Funote"/>
        <w:rPr/>
      </w:pPr>
      <w:r>
        <w:rPr>
          <w:rStyle w:val="Funotenzeichen"/>
        </w:rPr>
        <w:footnoteRef/>
      </w:r>
      <w:r>
        <w:rPr/>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984">
    <w:p>
      <w:pPr>
        <w:pStyle w:val="Funote"/>
        <w:rPr/>
      </w:pPr>
      <w:r>
        <w:rPr>
          <w:rStyle w:val="Funotenzeichen"/>
        </w:rPr>
        <w:footnoteRef/>
      </w:r>
      <w:r>
        <w:rPr/>
        <w:tab/>
        <w:t xml:space="preserve">wurde (war) - Nicht: „er wurde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985">
    <w:p>
      <w:pPr>
        <w:pStyle w:val="Funote"/>
        <w:rPr/>
      </w:pPr>
      <w:r>
        <w:rPr>
          <w:rStyle w:val="Funotenzeichen"/>
        </w:rPr>
        <w:footnoteRef/>
      </w:r>
      <w:r>
        <w:rPr/>
        <w:tab/>
        <w:t xml:space="preserve">daher (sodass) - resultatives </w:t>
      </w:r>
      <w:r>
        <w:rPr>
          <w:lang w:val="el-GR"/>
        </w:rPr>
        <w:t>ὥστε</w:t>
      </w:r>
      <w:r>
        <w:rPr/>
        <w:t xml:space="preserve"> (Pryke 1978, S. 115) -&gt; „sodass“</w:t>
      </w:r>
    </w:p>
  </w:footnote>
  <w:footnote w:id="1986">
    <w:p>
      <w:pPr>
        <w:pStyle w:val="Funote"/>
        <w:rPr/>
      </w:pPr>
      <w:r>
        <w:rPr>
          <w:rStyle w:val="Funotenzeichen"/>
        </w:rPr>
        <w:footnoteRef/>
      </w:r>
      <w:r>
        <w:rPr/>
        <w:tab/>
        <w:t>die Meisten (die Menge) - „die Meisten“ i.S.v. „die Menge“; vgl. Pape 671, Bed. 3</w:t>
      </w:r>
    </w:p>
  </w:footnote>
  <w:footnote w:id="1987">
    <w:p>
      <w:pPr>
        <w:pStyle w:val="Funote"/>
        <w:rPr/>
      </w:pPr>
      <w:r>
        <w:rPr>
          <w:rStyle w:val="Funotenzeichen"/>
        </w:rPr>
        <w:footnoteRef/>
      </w:r>
      <w:r>
        <w:rPr/>
        <w:tab/>
        <w:t>hieß ihn aufstehen nach Louw/Nida 17.10 („to cause to stand up“); in Anbetracht des Folgesatzes sinnvoller als „weckte ihn auf“ oder gar „erweckte ihn“. Das häufige „richtete ihn auf“ oder „zog ihn hoch“ ist gut; wäre aber eine Doppelung mit dem Folgesatz.</w:t>
      </w:r>
    </w:p>
  </w:footnote>
  <w:footnote w:id="1988">
    <w:p>
      <w:pPr>
        <w:pStyle w:val="Funote"/>
        <w:rPr/>
      </w:pPr>
      <w:r>
        <w:rPr>
          <w:rStyle w:val="Funotenzeichen"/>
        </w:rPr>
        <w:footnoteRef/>
      </w:r>
      <w:r>
        <w:rPr/>
        <w:tab/>
        <w:t>für sich - versprachlicht hier das Motiv der Sonderbelehrung (siehe Parallelstellen); besser: „Und nachdem er ins Haus gegangen war und sie unter sich waren, fragten ihn seine Jünger“.</w:t>
      </w:r>
    </w:p>
  </w:footnote>
  <w:footnote w:id="1989">
    <w:p>
      <w:pPr>
        <w:pStyle w:val="Funote"/>
        <w:rPr/>
      </w:pPr>
      <w:r>
        <w:rPr>
          <w:rStyle w:val="Funotenzeichen"/>
        </w:rPr>
        <w:footnoteRef/>
      </w:r>
      <w:r>
        <w:rPr/>
        <w:tab/>
        <w:t xml:space="preserve">Dass (warum) - </w:t>
      </w:r>
      <w:r>
        <w:rPr>
          <w:lang w:val="el-GR"/>
        </w:rPr>
        <w:t>ὅτι</w:t>
      </w:r>
      <w:r>
        <w:rPr/>
        <w:t xml:space="preserve"> zur Einleitung von Warum-Fragen; vgl. Turner 1925d, S. 58. So auch fast alle Üss.</w:t>
      </w:r>
    </w:p>
  </w:footnote>
  <w:footnote w:id="1990">
    <w:p>
      <w:pPr>
        <w:pStyle w:val="Funote"/>
        <w:rPr/>
      </w:pPr>
      <w:r>
        <w:rPr>
          <w:rStyle w:val="Funotenzeichen"/>
        </w:rPr>
        <w:footnoteRef/>
      </w:r>
      <w:r>
        <w:rPr/>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1991">
    <w:p>
      <w:pPr>
        <w:pStyle w:val="Funote"/>
        <w:rPr/>
      </w:pPr>
      <w:r>
        <w:rPr>
          <w:rStyle w:val="Funotenzeichen"/>
        </w:rPr>
        <w:footnoteRef/>
      </w:r>
      <w:r>
        <w:rPr/>
        <w:tab/>
        <w:t>aus (gingen sie fort und) - W. „Von dort fortgegangen seiend“</w:t>
      </w:r>
    </w:p>
  </w:footnote>
  <w:footnote w:id="1992">
    <w:p>
      <w:pPr>
        <w:pStyle w:val="Funote"/>
        <w:rPr/>
      </w:pPr>
      <w:r>
        <w:rPr>
          <w:rStyle w:val="Funotenzeichen"/>
        </w:rPr>
        <w:footnoteRef/>
      </w:r>
      <w:r>
        <w:rPr/>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1993">
    <w:p>
      <w:pPr>
        <w:pStyle w:val="Funote"/>
        <w:rPr/>
      </w:pPr>
      <w:r>
        <w:rPr>
          <w:rStyle w:val="Funotenzeichen"/>
        </w:rPr>
        <w:footnoteRef/>
      </w:r>
      <w:r>
        <w:rPr/>
        <w:tab/>
        <w:t>in die Hände der Menschen - Biblizismus, »in die Hand von X« entspricht »an X«, »in die Gewalt von X«.</w:t>
      </w:r>
    </w:p>
  </w:footnote>
  <w:footnote w:id="1994">
    <w:p>
      <w:pPr>
        <w:pStyle w:val="Funote"/>
        <w:rPr/>
      </w:pPr>
      <w:r>
        <w:rPr>
          <w:rStyle w:val="Funotenzeichen"/>
        </w:rPr>
        <w:footnoteRef/>
      </w:r>
      <w:r>
        <w:rPr/>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1995">
    <w:p>
      <w:pPr>
        <w:pStyle w:val="Funote"/>
        <w:rPr/>
      </w:pPr>
      <w:r>
        <w:rPr>
          <w:rStyle w:val="Funotenzeichen"/>
        </w:rPr>
        <w:footnoteRef/>
      </w:r>
      <w:r>
        <w:rPr/>
        <w:tab/>
        <w:t>nachdem (obwohl) - beide Deutungen des Partizips sind möglich; »nachdem« z.B. Gnilka 1979; Marcus 2009; Schenke 2005; »obwohl« Camacho/Mateos 1994; Kleist 1937. Beides trifft die gern gewählte Übersetzung »drei Tage nach seinem Tod wird er auferstehen«</w:t>
      </w:r>
    </w:p>
  </w:footnote>
  <w:footnote w:id="1996">
    <w:p>
      <w:pPr>
        <w:pStyle w:val="Funote"/>
        <w:rPr/>
      </w:pPr>
      <w:r>
        <w:rPr>
          <w:rStyle w:val="Funotenzeichen"/>
        </w:rPr>
        <w:footnoteRef/>
      </w:r>
      <w:r>
        <w:rPr/>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1997">
    <w:p>
      <w:pPr>
        <w:pStyle w:val="Funote"/>
        <w:rPr/>
      </w:pPr>
      <w:r>
        <w:rPr>
          <w:rStyle w:val="Funotenzeichen"/>
        </w:rPr>
        <w:footnoteRef/>
      </w:r>
      <w:r>
        <w:rPr/>
        <w:tab/>
        <w:t xml:space="preserve">war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998">
    <w:p>
      <w:pPr>
        <w:pStyle w:val="Funote"/>
        <w:rPr/>
      </w:pPr>
      <w:r>
        <w:rPr>
          <w:rStyle w:val="Funotenzeichen"/>
        </w:rPr>
        <w:footnoteRef/>
      </w:r>
      <w:r>
        <w:rPr/>
        <w:tab/>
        <w:t>der Größte (größer) - Komparativ als Superlativ; vgl. Cranfield 1959, S. 307.</w:t>
      </w:r>
    </w:p>
  </w:footnote>
  <w:footnote w:id="1999">
    <w:p>
      <w:pPr>
        <w:pStyle w:val="Funote"/>
        <w:rPr/>
      </w:pPr>
      <w:r>
        <w:rPr>
          <w:rStyle w:val="Funotenzeichen"/>
        </w:rPr>
        <w:footnoteRef/>
      </w:r>
      <w:r>
        <w:rPr/>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und sagte:...“</w:t>
      </w:r>
    </w:p>
  </w:footnote>
  <w:footnote w:id="2000">
    <w:p>
      <w:pPr>
        <w:pStyle w:val="Funote"/>
        <w:rPr/>
      </w:pPr>
      <w:r>
        <w:rPr>
          <w:rStyle w:val="Funotenzeichen"/>
        </w:rPr>
        <w:footnoteRef/>
      </w:r>
      <w:r>
        <w:rPr/>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2001">
    <w:p>
      <w:pPr>
        <w:pStyle w:val="Funote"/>
        <w:rPr/>
      </w:pPr>
      <w:r>
        <w:rPr>
          <w:rStyle w:val="Funotenzeichen"/>
        </w:rPr>
        <w:footnoteRef/>
      </w:r>
      <w:r>
        <w:rPr/>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2002">
    <w:p>
      <w:pPr>
        <w:pStyle w:val="Funote"/>
        <w:rPr/>
      </w:pPr>
      <w:r>
        <w:rPr>
          <w:rStyle w:val="Funotenzeichen"/>
        </w:rPr>
        <w:footnoteRef/>
      </w:r>
      <w:r>
        <w:rPr/>
        <w:tab/>
        <w:t>in meinem Namen (mir zuliebe, um meinetwillen) - vgl. dazu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2003">
    <w:p>
      <w:pPr>
        <w:pStyle w:val="Funote"/>
        <w:rPr/>
      </w:pPr>
      <w:r>
        <w:rPr>
          <w:rStyle w:val="Funotenzeichen"/>
        </w:rPr>
        <w:footnoteRef/>
      </w:r>
      <w:r>
        <w:rPr/>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2004">
    <w:p>
      <w:pPr>
        <w:pStyle w:val="Funote"/>
        <w:rPr/>
      </w:pPr>
      <w:r>
        <w:rPr>
          <w:rStyle w:val="Funotenzeichen"/>
        </w:rPr>
        <w:footnoteRef/>
      </w:r>
      <w:r>
        <w:rPr/>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2005">
    <w:p>
      <w:pPr>
        <w:pStyle w:val="Funote"/>
        <w:rPr/>
      </w:pPr>
      <w:r>
        <w:rPr>
          <w:rStyle w:val="Funotenzeichen"/>
        </w:rPr>
        <w:footnoteRef/>
      </w:r>
      <w:r>
        <w:rPr/>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2006">
    <w:p>
      <w:pPr>
        <w:pStyle w:val="Funote"/>
        <w:rPr/>
      </w:pPr>
      <w:r>
        <w:rPr>
          <w:rStyle w:val="Funotenzeichen"/>
        </w:rPr>
        <w:footnoteRef/>
      </w:r>
      <w:r>
        <w:rPr/>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2007">
    <w:p>
      <w:pPr>
        <w:pStyle w:val="Funote"/>
        <w:rPr/>
      </w:pPr>
      <w:r>
        <w:rPr>
          <w:rStyle w:val="Funotenzeichen"/>
        </w:rPr>
        <w:footnoteRef/>
      </w:r>
      <w:r>
        <w:rPr/>
        <w:tab/>
        <w:t xml:space="preserve">mit meinem Namen - </w:t>
      </w:r>
      <w:r>
        <w:rPr>
          <w:lang w:val="el-GR"/>
        </w:rPr>
        <w:t>ἐπὶ τῷ ὀνόματί</w:t>
      </w:r>
      <w:r>
        <w:rPr/>
        <w:t xml:space="preserve"> verwendet wie oben </w:t>
      </w:r>
      <w:r>
        <w:rPr>
          <w:lang w:val="el-GR"/>
        </w:rPr>
        <w:t>ἐν τῷ ὀνόματί</w:t>
      </w:r>
      <w:r>
        <w:rPr/>
        <w:t xml:space="preserve"> (s. FN cp); vgl. BDAG: »der Machttaten vollbringt, indem er meinen Namen nennt«. So auch viele Üss.</w:t>
      </w:r>
    </w:p>
  </w:footnote>
  <w:footnote w:id="2008">
    <w:p>
      <w:pPr>
        <w:pStyle w:val="Funote"/>
        <w:rPr/>
      </w:pPr>
      <w:r>
        <w:rPr>
          <w:rStyle w:val="Funotenzeichen"/>
        </w:rPr>
        <w:footnoteRef/>
      </w:r>
      <w:r>
        <w:rPr/>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2009">
    <w:p>
      <w:pPr>
        <w:pStyle w:val="Funote"/>
        <w:rPr/>
      </w:pPr>
      <w:r>
        <w:rPr>
          <w:rStyle w:val="Funotenzeichen"/>
        </w:rPr>
        <w:footnoteRef/>
      </w:r>
      <w:r>
        <w:rPr/>
        <w:tab/>
        <w:t xml:space="preserve">schlecht von mir zu sprechen vermag (von mir sprechen kann) - </w:t>
      </w:r>
      <w:r>
        <w:rPr>
          <w:lang w:val="el-GR"/>
        </w:rPr>
        <w:t>δύναμαι</w:t>
      </w:r>
      <w:r>
        <w:rPr/>
        <w:t xml:space="preserve"> vermögen verwendet als Hilfsverb, besser einfach »verfluchen kann«. Vgl. Turner 1927a, S. 355.</w:t>
      </w:r>
    </w:p>
  </w:footnote>
  <w:footnote w:id="2010">
    <w:p>
      <w:pPr>
        <w:pStyle w:val="Funote"/>
        <w:rPr/>
      </w:pPr>
      <w:r>
        <w:rPr>
          <w:rStyle w:val="Funotenzeichen"/>
        </w:rPr>
        <w:footnoteRef/>
      </w:r>
      <w:r>
        <w:rPr/>
        <w:tab/>
        <w:t>Wer nicht gegen uns ist, ist für uns - auch dies ist ein Sprichwort; s. Cicero, Lig 11 (vgl. Cranfield 1959, S. 310).</w:t>
      </w:r>
    </w:p>
  </w:footnote>
  <w:footnote w:id="2011">
    <w:p>
      <w:pPr>
        <w:pStyle w:val="Funote"/>
        <w:rPr/>
      </w:pPr>
      <w:r>
        <w:rPr>
          <w:rStyle w:val="Funotenzeichen"/>
        </w:rPr>
        <w:footnoteRef/>
      </w:r>
      <w:r>
        <w:rPr/>
        <w:tab/>
        <w:t>Zur Strukturellen Zuordnung von Vv. 41f siehe Kommentar.</w:t>
      </w:r>
    </w:p>
  </w:footnote>
  <w:footnote w:id="2012">
    <w:p>
      <w:pPr>
        <w:pStyle w:val="Funote"/>
        <w:rPr/>
      </w:pPr>
      <w:r>
        <w:rPr>
          <w:rStyle w:val="Funotenzeichen"/>
        </w:rPr>
        <w:footnoteRef/>
      </w:r>
      <w:r>
        <w:rPr/>
        <w:tab/>
        <w:t xml:space="preserve">Denn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2013">
    <w:p>
      <w:pPr>
        <w:pStyle w:val="Funote"/>
        <w:rPr/>
      </w:pPr>
      <w:r>
        <w:rPr>
          <w:rStyle w:val="Funotenzeichen"/>
        </w:rPr>
        <w:footnoteRef/>
      </w:r>
      <w:r>
        <w:rPr/>
        <w:tab/>
        <w:t>[auch nur] - »einen Becher Wasser zu trinken geben« ist das geringste Werk der Gastfreundschaft (Pesch 1977, S. 110); es wird hier für die sprichwörtlich kleinstmögliche gute Tat verwendet - daher »[auch nur]«.</w:t>
      </w:r>
    </w:p>
  </w:footnote>
  <w:footnote w:id="2014">
    <w:p>
      <w:pPr>
        <w:pStyle w:val="Funote"/>
        <w:rPr/>
      </w:pPr>
      <w:r>
        <w:rPr>
          <w:rStyle w:val="Funotenzeichen"/>
        </w:rPr>
        <w:footnoteRef/>
      </w:r>
      <w:r>
        <w:rPr/>
        <w:tab/>
        <w:t xml:space="preserve">einen Becher Wasser zu trinken gibt - im Griechischen figura etymologica: </w:t>
      </w:r>
      <w:r>
        <w:rPr>
          <w:lang w:val="el-GR"/>
        </w:rPr>
        <w:t>ποτίσῃ ποτήριον</w:t>
      </w:r>
      <w:r>
        <w:rPr/>
        <w:t xml:space="preserve"> [Wer euch] tränkt mit einem Trunk (»Trunk« aber w. »Becher«).</w:t>
      </w:r>
    </w:p>
  </w:footnote>
  <w:footnote w:id="2015">
    <w:p>
      <w:pPr>
        <w:pStyle w:val="Funote"/>
        <w:rPr/>
      </w:pPr>
      <w:r>
        <w:rPr>
          <w:rStyle w:val="Funotenzeichen"/>
        </w:rPr>
        <w:footnoteRef/>
      </w:r>
      <w:r>
        <w:rPr/>
        <w:tab/>
        <w:t>weil (im Namen, dass) - W. »im Namen, dass«, aber gr. Idiom für »weil«; vgl. BDAG, Heitmüller 1903, S. 48.50; ad loc. Cranfield 1959, S. 312; Grosvenor/Zerwick; Taylor 1979, S. 486. So auch viele Üss. Allerdings seltenes Idiom; daher die Varianten.</w:t>
      </w:r>
    </w:p>
  </w:footnote>
  <w:footnote w:id="2016">
    <w:p>
      <w:pPr>
        <w:pStyle w:val="Funote"/>
        <w:rPr/>
      </w:pPr>
      <w:r>
        <w:rPr>
          <w:rStyle w:val="Funotenzeichen"/>
        </w:rPr>
        <w:footnoteRef/>
      </w:r>
      <w:r>
        <w:rPr/>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2017">
    <w:p>
      <w:pPr>
        <w:pStyle w:val="Funote"/>
        <w:rPr/>
      </w:pPr>
      <w:r>
        <w:rPr>
          <w:rStyle w:val="Funotenzeichen"/>
        </w:rPr>
        <w:footnoteRef/>
      </w:r>
      <w:r>
        <w:rPr/>
        <w:tab/>
        <w:t xml:space="preserve">wird seinen Lohn nicht verlieren (wird ihn bekommen)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2018">
    <w:p>
      <w:pPr>
        <w:pStyle w:val="Funote"/>
        <w:rPr/>
      </w:pPr>
      <w:r>
        <w:rPr>
          <w:rStyle w:val="Funotenzeichen"/>
        </w:rPr>
        <w:footnoteRef/>
      </w:r>
      <w:r>
        <w:rPr/>
        <w:tab/>
        <w:t>aber (und) - »und« zur Verknüpfung von Gegensätzen.</w:t>
      </w:r>
    </w:p>
  </w:footnote>
  <w:footnote w:id="2019">
    <w:p>
      <w:pPr>
        <w:pStyle w:val="Funote"/>
        <w:rPr/>
      </w:pPr>
      <w:r>
        <w:rPr>
          <w:rStyle w:val="Funotenzeichen"/>
        </w:rPr>
        <w:footnoteRef/>
      </w:r>
      <w:r>
        <w:rPr/>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2020">
    <w:p>
      <w:pPr>
        <w:pStyle w:val="Funote"/>
        <w:rPr/>
      </w:pPr>
      <w:r>
        <w:rPr>
          <w:rStyle w:val="Funotenzeichen"/>
        </w:rPr>
        <w:footnoteRef/>
      </w:r>
      <w:r>
        <w:rPr/>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2021">
    <w:p>
      <w:pPr>
        <w:pStyle w:val="Funote"/>
        <w:rPr/>
      </w:pPr>
      <w:r>
        <w:rPr>
          <w:rStyle w:val="Funotenzeichen"/>
        </w:rPr>
        <w:footnoteRef/>
      </w:r>
      <w:r>
        <w:rPr/>
        <w:tab/>
        <w:t>ist (wäre) - modales Indikativ; vgl. Kleist 1937, S. 216. So fast alle Üss.</w:t>
      </w:r>
    </w:p>
  </w:footnote>
  <w:footnote w:id="2022">
    <w:p>
      <w:pPr>
        <w:pStyle w:val="Funote"/>
        <w:rPr/>
      </w:pPr>
      <w:r>
        <w:rPr>
          <w:rStyle w:val="Funotenzeichen"/>
        </w:rPr>
        <w:footnoteRef/>
      </w:r>
      <w:r>
        <w:rPr/>
        <w:tab/>
        <w:t>gut (besser) - sicher Positiv als Komparativ; vgl. Zerwick §145. So auch alle Üss. Kein Semitismus; vgl. z.B. Herodot IX.26.7; auch BDR §245.</w:t>
      </w:r>
    </w:p>
  </w:footnote>
  <w:footnote w:id="2023">
    <w:p>
      <w:pPr>
        <w:pStyle w:val="Funote"/>
        <w:rPr/>
      </w:pPr>
      <w:r>
        <w:rPr>
          <w:rStyle w:val="Funotenzeichen"/>
        </w:rPr>
        <w:footnoteRef/>
      </w:r>
      <w:r>
        <w:rPr/>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2024">
    <w:p>
      <w:pPr>
        <w:pStyle w:val="Funote"/>
        <w:rPr/>
      </w:pPr>
      <w:r>
        <w:rPr>
          <w:rStyle w:val="Funotenzeichen"/>
        </w:rPr>
        <w:footnoteRef/>
      </w:r>
      <w:r>
        <w:rPr/>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2025">
    <w:p>
      <w:pPr>
        <w:pStyle w:val="Funote"/>
        <w:rPr/>
      </w:pPr>
      <w:r>
        <w:rPr>
          <w:rStyle w:val="Funotenzeichen"/>
        </w:rPr>
        <w:footnoteRef/>
      </w:r>
      <w:r>
        <w:rPr/>
        <w:tab/>
        <w:t>[Denn] - Asyndese zum Ausdruck kausaler Verhältnisse, so gut Reiser 1983, S. 143.</w:t>
      </w:r>
    </w:p>
  </w:footnote>
  <w:footnote w:id="2026">
    <w:p>
      <w:pPr>
        <w:pStyle w:val="Funote"/>
        <w:rPr/>
      </w:pPr>
      <w:r>
        <w:rPr>
          <w:rStyle w:val="Funotenzeichen"/>
        </w:rPr>
        <w:footnoteRef/>
      </w:r>
      <w:r>
        <w:rPr/>
        <w:tab/>
        <w:t>Leben wird hier als Wechselbegriff für das »Reich Gottes« verwendet; so eigtl. alle. »Reich Gottes« steht ja denn auch statt »Leben« in V. 47.</w:t>
      </w:r>
    </w:p>
  </w:footnote>
  <w:footnote w:id="2027">
    <w:p>
      <w:pPr>
        <w:pStyle w:val="Funote"/>
        <w:rPr/>
      </w:pPr>
      <w:r>
        <w:rPr>
          <w:rStyle w:val="Funotenzeichen"/>
        </w:rPr>
        <w:footnoteRef/>
      </w:r>
      <w:r>
        <w:rPr/>
        <w:tab/>
        <w:t>Gehenna (Hölle) - »Gehenna « war ursprünglich eine griechische Ortsbezeichnung für das Hinnomtal (</w:t>
      </w:r>
      <w:r>
        <w:rPr>
          <w:rtl w:val="true"/>
          <w:lang w:bidi="he-IL"/>
        </w:rPr>
        <w:t>גֵּי הִנּׂם</w:t>
      </w:r>
      <w:r>
        <w:rPr/>
        <w:t xml:space="preserve"> </w:t>
      </w:r>
      <w:r>
        <w:rPr/>
        <w:t>gê hinnom) im Süden Jerusalems. Wohl, weil (s. 2Kön 16,3; 21,6) dort unter Ahas und Manasse Kinder geopfert wurden, wurde es nach und nach mythisiert, bis »Gehenna« als Wechselbegriff für die Feuerhölle verwendet werden konnte.</w:t>
      </w:r>
    </w:p>
  </w:footnote>
  <w:footnote w:id="2028">
    <w:p>
      <w:pPr>
        <w:pStyle w:val="Funote"/>
        <w:rPr/>
      </w:pPr>
      <w:r>
        <w:rPr>
          <w:rStyle w:val="Funotenzeichen"/>
        </w:rPr>
        <w:footnoteRef/>
      </w:r>
      <w:r>
        <w:rPr/>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2029">
    <w:p>
      <w:pPr>
        <w:pStyle w:val="Funote"/>
        <w:rPr/>
      </w:pPr>
      <w:r>
        <w:rPr>
          <w:rStyle w:val="Funotenzeichen"/>
        </w:rPr>
        <w:footnoteRef/>
      </w:r>
      <w:r>
        <w:rPr/>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2030">
    <w:p>
      <w:pPr>
        <w:pStyle w:val="Funote"/>
        <w:rPr/>
      </w:pPr>
      <w:r>
        <w:rPr>
          <w:rStyle w:val="Funotenzeichen"/>
        </w:rPr>
        <w:footnoteRef/>
      </w:r>
      <w:r>
        <w:rPr/>
        <w:tab/>
        <w:t>Textkritik: Vv. 44.46 sind eine Doppelung von V. 48 und fehlen in einigen wichtigen Mss.; daher werden sie heute fast einheitlich als sekundär erklärt.</w:t>
      </w:r>
    </w:p>
  </w:footnote>
  <w:footnote w:id="2031">
    <w:p>
      <w:pPr>
        <w:pStyle w:val="Funote"/>
        <w:rPr/>
      </w:pPr>
      <w:r>
        <w:rPr>
          <w:rStyle w:val="Funotenzeichen"/>
        </w:rPr>
        <w:footnoteRef/>
      </w:r>
      <w:r>
        <w:rPr/>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2032">
    <w:p>
      <w:pPr>
        <w:pStyle w:val="Funote"/>
        <w:rPr/>
      </w:pPr>
      <w:r>
        <w:rPr>
          <w:rStyle w:val="Funotenzeichen"/>
        </w:rPr>
        <w:footnoteRef/>
      </w:r>
      <w:r>
        <w:rPr/>
        <w:tab/>
        <w:t>Denn (Denn) - Vv. 49f gehören sehr sicher nicht mit dem vorangehenden Abschnitt zusammen; gemeinsam ist ihnen nur das ominöse »Feuer«, dass hier aber nicht das obige Höllenfeuer meint, sondern etwas Gutes, das zum »Gesalzen-sein« führt. Zu denn siehe FN cx.</w:t>
      </w:r>
    </w:p>
  </w:footnote>
  <w:footnote w:id="2033">
    <w:p>
      <w:pPr>
        <w:pStyle w:val="Funote"/>
        <w:rPr/>
      </w:pPr>
      <w:r>
        <w:rPr>
          <w:rStyle w:val="Funotenzeichen"/>
        </w:rPr>
        <w:footnoteRef/>
      </w:r>
      <w:r>
        <w:rPr/>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(Bergmann 1904, nach einem ähnlichen Vorschlag von Halévy 1903). Ähnlich schlägt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2034">
    <w:p>
      <w:pPr>
        <w:pStyle w:val="Funote"/>
        <w:rPr/>
      </w:pPr>
      <w:r>
        <w:rPr>
          <w:rStyle w:val="Funotenzeichen"/>
        </w:rPr>
        <w:footnoteRef/>
      </w:r>
      <w:r>
        <w:rPr/>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2035">
    <w:p>
      <w:pPr>
        <w:pStyle w:val="Funote"/>
        <w:rPr/>
      </w:pPr>
      <w:r>
        <w:rPr>
          <w:rStyle w:val="Funotenzeichen"/>
        </w:rPr>
        <w:footnoteRef/>
      </w:r>
      <w:r>
        <w:rPr/>
        <w:tab/>
        <w:t>werdet (wollt) - wahrscheinlich deliberatives Futur, um die Frage als rhetorische Frage zu markieren (vgl. Dana/Mantey §178.4; Wallace, S. 570 u.ö.). »wollt« auch in vielen Üss.</w:t>
      </w:r>
    </w:p>
  </w:footnote>
  <w:footnote w:id="2036">
    <w:p>
      <w:pPr>
        <w:pStyle w:val="Funote"/>
        <w:rPr/>
      </w:pPr>
      <w:r>
        <w:rPr>
          <w:rStyle w:val="Funotenzeichen"/>
        </w:rPr>
        <w:footnoteRef/>
      </w:r>
      <w:r>
        <w:rPr/>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 Ein Ausdruck gegenseitiger Liebe ist das gemeinsame Essen von Salz auch in Pseudo-Clemens Brief an Jakobus: »Denn ich weiß, dass ihr diese Dinge tun werdet, wenn ihr die Liebe in eurem Geist verfestigt, und als Einstieg gibt es da nur einen sinnvollen Weg: Das gemeinsame Essen von Salz.« (Ps.Clem., Ep.Jac. 9,1f)</w:t>
      </w:r>
    </w:p>
  </w:footnote>
  <w:footnote w:id="2037">
    <w:p>
      <w:pPr>
        <w:pStyle w:val="Funote"/>
        <w:rPr/>
      </w:pPr>
      <w:r>
        <w:rPr>
          <w:rStyle w:val="Funotenzeichen"/>
        </w:rPr>
        <w:footnoteRef/>
      </w:r>
      <w:r>
        <w:rPr/>
        <w:tab/>
        <w:t>und haltet [so] - [so] gut nach Cranfield 1959, S. 317, der den ersten Imperativ als Bedingung für den zweiten liest.</w:t>
      </w:r>
    </w:p>
  </w:footnote>
  <w:footnote w:id="2038">
    <w:p>
      <w:pPr>
        <w:pStyle w:val="Funote"/>
        <w:rPr/>
      </w:pPr>
      <w:r>
        <w:rPr>
          <w:rStyle w:val="Funotenzeichen"/>
        </w:rPr>
        <w:footnoteRef/>
      </w:r>
      <w:r>
        <w:rPr/>
        <w:tab/>
        <w:t>[Status: Zuverlässig]</w:t>
      </w:r>
    </w:p>
  </w:footnote>
  <w:footnote w:id="2039">
    <w:p>
      <w:pPr>
        <w:pStyle w:val="Funote"/>
        <w:rPr/>
      </w:pPr>
      <w:r>
        <w:rPr>
          <w:rStyle w:val="Funotenzeichen"/>
        </w:rPr>
        <w:footnoteRef/>
      </w:r>
      <w:r>
        <w:rPr/>
        <w:tab/>
        <w:t>brach auf und Ptz. conj., beigeordnet aufgelöst.</w:t>
      </w:r>
    </w:p>
  </w:footnote>
  <w:footnote w:id="2040">
    <w:p>
      <w:pPr>
        <w:pStyle w:val="Funote"/>
        <w:rPr/>
      </w:pPr>
      <w:r>
        <w:rPr>
          <w:rStyle w:val="Funotenzeichen"/>
        </w:rPr>
        <w:footnoteRef/>
      </w:r>
      <w:r>
        <w:rPr/>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2041">
    <w:p>
      <w:pPr>
        <w:pStyle w:val="Funote"/>
        <w:rPr/>
      </w:pPr>
      <w:r>
        <w:rPr>
          <w:rStyle w:val="Funotenzeichen"/>
        </w:rPr>
        <w:footnoteRef/>
      </w:r>
      <w:r>
        <w:rPr/>
        <w:tab/>
        <w:t>Er jedoch erwiderte {und sagte zu ihnen} Die pleonastische Formulierung kann in der Übersetzung gekürzt werden. erwiderte Modales Ptz. conj., beigeordnet aufgelöst.</w:t>
      </w:r>
    </w:p>
  </w:footnote>
  <w:footnote w:id="2042">
    <w:p>
      <w:pPr>
        <w:pStyle w:val="Funote"/>
        <w:rPr/>
      </w:pPr>
      <w:r>
        <w:rPr>
          <w:rStyle w:val="Funotenzeichen"/>
        </w:rPr>
        <w:footnoteRef/>
      </w:r>
      <w:r>
        <w:rPr/>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2043">
    <w:p>
      <w:pPr>
        <w:pStyle w:val="Funote"/>
        <w:rPr/>
      </w:pPr>
      <w:r>
        <w:rPr>
          <w:rStyle w:val="Funotenzeichen"/>
        </w:rPr>
        <w:footnoteRef/>
      </w:r>
      <w:r>
        <w:rPr/>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2044">
    <w:p>
      <w:pPr>
        <w:pStyle w:val="Funote"/>
        <w:rPr/>
      </w:pPr>
      <w:r>
        <w:rPr>
          <w:rStyle w:val="Funotenzeichen"/>
        </w:rPr>
        <w:footnoteRef/>
      </w:r>
      <w:r>
        <w:rPr/>
        <w:tab/>
        <w:t>das soll (darf) ein ([der]) Mensch nicht trennen Das Verb steht in der dritten Person des Imperativs, den man am besten mit Hilfsverb (»soll«, »muss« bzw. negativ »darf« oder »möge«) oder einem Konjunktiv umschreibt. Hier beschreibt Jesus eine ethische Maxime aufgrund eines Schöpfungsprinzips, daher ist soll am passendsten. ein ([der]) Mensch Gemeint ist entweder »(irgend)ein Mensch« oder »der Mensch« (Synonym zu »Menschheit«), wobei die meisten Übersetzungen sich für die letzte Variante entscheiden.</w:t>
      </w:r>
    </w:p>
  </w:footnote>
  <w:footnote w:id="2045">
    <w:p>
      <w:pPr>
        <w:pStyle w:val="Funote"/>
        <w:rPr/>
      </w:pPr>
      <w:r>
        <w:rPr>
          <w:rStyle w:val="Funotenzeichen"/>
        </w:rPr>
        <w:footnoteRef/>
      </w:r>
      <w:r>
        <w:rPr/>
        <w:tab/>
        <w:t>Als … da W. „Und … und“, hier als temporales Verhältnis verstanden und übersetzt.</w:t>
      </w:r>
    </w:p>
  </w:footnote>
  <w:footnote w:id="2046">
    <w:p>
      <w:pPr>
        <w:pStyle w:val="Funote"/>
        <w:rPr/>
      </w:pPr>
      <w:r>
        <w:rPr>
          <w:rStyle w:val="Funotenzeichen"/>
        </w:rPr>
        <w:footnoteRef/>
      </w:r>
      <w:r>
        <w:rPr/>
        <w:tab/>
        <w:t>bricht an ihr die Ehe D.h. »bricht so die Ehe, die mit der ersten Frau bestand« (vgl. Collins 2007, 469).</w:t>
      </w:r>
    </w:p>
  </w:footnote>
  <w:footnote w:id="2047">
    <w:p>
      <w:pPr>
        <w:pStyle w:val="Funote"/>
        <w:rPr/>
      </w:pPr>
      <w:r>
        <w:rPr>
          <w:rStyle w:val="Funotenzeichen"/>
        </w:rPr>
        <w:footnoteRef/>
      </w:r>
      <w:r>
        <w:rPr/>
        <w:tab/>
        <w:t>sie sich ... geschieden hat und Ptz. conj., beigeordnet aufgelöst.</w:t>
      </w:r>
    </w:p>
  </w:footnote>
  <w:footnote w:id="2048">
    <w:p>
      <w:pPr>
        <w:pStyle w:val="Funote"/>
        <w:rPr/>
      </w:pPr>
      <w:r>
        <w:rPr>
          <w:rStyle w:val="Funotenzeichen"/>
        </w:rPr>
        <w:footnoteRef/>
      </w:r>
      <w:r>
        <w:rPr/>
        <w:tab/>
        <w:t>versuchten, Kinder zu ihm zu bringen Das konative Imperfekt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2049">
    <w:p>
      <w:pPr>
        <w:pStyle w:val="Funote"/>
        <w:rPr/>
      </w:pPr>
      <w:r>
        <w:rPr>
          <w:rStyle w:val="Funotenzeichen"/>
        </w:rPr>
        <w:footnoteRef/>
      </w:r>
      <w:r>
        <w:rPr/>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2050">
    <w:p>
      <w:pPr>
        <w:pStyle w:val="Funote"/>
        <w:rPr/>
      </w:pPr>
      <w:r>
        <w:rPr>
          <w:rStyle w:val="Funotenzeichen"/>
        </w:rPr>
        <w:footnoteRef/>
      </w:r>
      <w:r>
        <w:rPr/>
        <w:tab/>
        <w:t>als Jesus [das] sah Temporales Ptz. conj., als Nebensatz aufgelöst.</w:t>
      </w:r>
    </w:p>
  </w:footnote>
  <w:footnote w:id="2051">
    <w:p>
      <w:pPr>
        <w:pStyle w:val="Funote"/>
        <w:rPr/>
      </w:pPr>
      <w:r>
        <w:rPr>
          <w:rStyle w:val="Funotenzeichen"/>
        </w:rPr>
        <w:footnoteRef/>
      </w:r>
      <w:r>
        <w:rPr/>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2052">
    <w:p>
      <w:pPr>
        <w:pStyle w:val="Funote"/>
        <w:rPr/>
      </w:pPr>
      <w:r>
        <w:rPr>
          <w:rStyle w:val="Funotenzeichen"/>
        </w:rPr>
        <w:footnoteRef/>
      </w:r>
      <w:r>
        <w:rPr/>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2053">
    <w:p>
      <w:pPr>
        <w:pStyle w:val="Funote"/>
        <w:rPr/>
      </w:pPr>
      <w:r>
        <w:rPr>
          <w:rStyle w:val="Funotenzeichen"/>
        </w:rPr>
        <w:footnoteRef/>
      </w:r>
      <w:r>
        <w:rPr/>
        <w:tab/>
        <w:t>er nahm sie in die Arme und Ptz. conj., beigeordnet aufgelöst.</w:t>
      </w:r>
    </w:p>
  </w:footnote>
  <w:footnote w:id="2054">
    <w:p>
      <w:pPr>
        <w:pStyle w:val="Funote"/>
        <w:rPr/>
      </w:pPr>
      <w:r>
        <w:rPr>
          <w:rStyle w:val="Funotenzeichen"/>
        </w:rPr>
        <w:footnoteRef/>
      </w:r>
      <w:r>
        <w:rPr/>
        <w:tab/>
        <w:t>indem er … auflegte Modales Ptz. conj., als Nebensatz aufgelöst.</w:t>
      </w:r>
    </w:p>
  </w:footnote>
  <w:footnote w:id="2055">
    <w:p>
      <w:pPr>
        <w:pStyle w:val="Funote"/>
        <w:rPr/>
      </w:pPr>
      <w:r>
        <w:rPr>
          <w:rStyle w:val="Funotenzeichen"/>
        </w:rPr>
        <w:footnoteRef/>
      </w:r>
      <w:r>
        <w:rPr/>
        <w:tab/>
        <w:t>kam angerannt und kniete sich hin Temp. Ptz. conj. (2x), hier als separater Hauptsatz wiedergeben.</w:t>
      </w:r>
    </w:p>
  </w:footnote>
  <w:footnote w:id="2056">
    <w:p>
      <w:pPr>
        <w:pStyle w:val="Funote"/>
        <w:rPr/>
      </w:pPr>
      <w:r>
        <w:rPr>
          <w:rStyle w:val="Funotenzeichen"/>
        </w:rPr>
        <w:footnoteRef/>
      </w:r>
      <w:r>
        <w:rPr/>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2057">
    <w:p>
      <w:pPr>
        <w:pStyle w:val="Funote"/>
        <w:rPr/>
      </w:pPr>
      <w:r>
        <w:rPr>
          <w:rStyle w:val="Funotenzeichen"/>
        </w:rPr>
        <w:footnoteRef/>
      </w:r>
      <w:r>
        <w:rPr/>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2058">
    <w:p>
      <w:pPr>
        <w:pStyle w:val="Funote"/>
        <w:rPr/>
      </w:pPr>
      <w:r>
        <w:rPr>
          <w:rStyle w:val="Funotenzeichen"/>
        </w:rPr>
        <w:footnoteRef/>
      </w:r>
      <w:r>
        <w:rPr/>
        <w:tab/>
        <w:t>sah ihn an und Beigeordnet aufgelöstes Ptz. conj..</w:t>
      </w:r>
    </w:p>
  </w:footnote>
  <w:footnote w:id="2059">
    <w:p>
      <w:pPr>
        <w:pStyle w:val="Funote"/>
        <w:rPr/>
      </w:pPr>
      <w:r>
        <w:rPr>
          <w:rStyle w:val="Funotenzeichen"/>
        </w:rPr>
        <w:footnoteRef/>
      </w:r>
      <w:r>
        <w:rPr/>
        <w:tab/>
        <w:t>gewann ihn lieb Oder: »zeigte seine Liebe (mit einer Geste)« Die vielleicht sinnvollste Übersetzung von »liebte« ist als ingressives Aorist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2060">
    <w:p>
      <w:pPr>
        <w:pStyle w:val="Funote"/>
        <w:rPr/>
      </w:pPr>
      <w:r>
        <w:rPr>
          <w:rStyle w:val="Funotenzeichen"/>
        </w:rPr>
        <w:footnoteRef/>
      </w:r>
      <w:r>
        <w:rPr/>
        <w:tab/>
        <w:t>erschüttert (getroffen; enttäuscht)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2061">
    <w:p>
      <w:pPr>
        <w:pStyle w:val="Funote"/>
        <w:rPr/>
      </w:pPr>
      <w:r>
        <w:rPr>
          <w:rStyle w:val="Funotenzeichen"/>
        </w:rPr>
        <w:footnoteRef/>
      </w:r>
      <w:r>
        <w:rPr/>
        <w:tab/>
        <w:t>war erschüttert … und Ptz. conj., beigeordnet aufgelöst.</w:t>
      </w:r>
    </w:p>
  </w:footnote>
  <w:footnote w:id="2062">
    <w:p>
      <w:pPr>
        <w:pStyle w:val="Funote"/>
        <w:rPr/>
      </w:pPr>
      <w:r>
        <w:rPr>
          <w:rStyle w:val="Funotenzeichen"/>
        </w:rPr>
        <w:footnoteRef/>
      </w:r>
      <w:r>
        <w:rPr/>
        <w:tab/>
        <w:t>er besaß Pleonastisches Ptz.</w:t>
      </w:r>
    </w:p>
  </w:footnote>
  <w:footnote w:id="2063">
    <w:p>
      <w:pPr>
        <w:pStyle w:val="Funote"/>
        <w:rPr/>
      </w:pPr>
      <w:r>
        <w:rPr>
          <w:rStyle w:val="Funotenzeichen"/>
        </w:rPr>
        <w:footnoteRef/>
      </w:r>
      <w:r>
        <w:rPr/>
        <w:tab/>
        <w:t>schaute sich um und Ptz. conj., beigeordnet aufgelöst. Eine weitere mögliche Auflösung wäre z.B. »mit/nach einem Blick in die Runde«</w:t>
      </w:r>
    </w:p>
  </w:footnote>
  <w:footnote w:id="2064">
    <w:p>
      <w:pPr>
        <w:pStyle w:val="Funote"/>
        <w:rPr/>
      </w:pPr>
      <w:r>
        <w:rPr>
          <w:rStyle w:val="Funotenzeichen"/>
        </w:rPr>
        <w:footnoteRef/>
      </w:r>
      <w:r>
        <w:rPr/>
        <w:tab/>
        <w:t>die Wohlhabenden W. etwa »diejenigen, welche {die} Güter/Reichtümer haben« (subst. Ptz.), oder wie NGÜ: »Menschen, die viel besitzen«</w:t>
      </w:r>
    </w:p>
  </w:footnote>
  <w:footnote w:id="2065">
    <w:p>
      <w:pPr>
        <w:pStyle w:val="Funote"/>
        <w:rPr/>
      </w:pPr>
      <w:r>
        <w:rPr>
          <w:rStyle w:val="Funotenzeichen"/>
        </w:rPr>
        <w:footnoteRef/>
      </w:r>
      <w:r>
        <w:rPr/>
        <w:tab/>
        <w:t>überrascht (bestürzt, entgeistert) D.h. sie hatten so eine Aussage von Jesus nicht erwartet.</w:t>
      </w:r>
    </w:p>
  </w:footnote>
  <w:footnote w:id="2066">
    <w:p>
      <w:pPr>
        <w:pStyle w:val="Funote"/>
        <w:rPr/>
      </w:pPr>
      <w:r>
        <w:rPr>
          <w:rStyle w:val="Funotenzeichen"/>
        </w:rPr>
        <w:footnoteRef/>
      </w:r>
      <w:r>
        <w:rPr/>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2067">
    <w:p>
      <w:pPr>
        <w:pStyle w:val="Funote"/>
        <w:rPr/>
      </w:pPr>
      <w:r>
        <w:rPr>
          <w:rStyle w:val="Funotenzeichen"/>
        </w:rPr>
        <w:footnoteRef/>
      </w:r>
      <w:r>
        <w:rPr/>
        <w:tab/>
        <w:t>Kinder D.h. etwa »Leute«, eine freundliche Anrede an die Jüngergruppe (vgl. France 2002, 404). Vgl. Joh 21,5, wo die Wiedergabe mit »Männer« etwas angemessener ist und den Vorzug erhielt.</w:t>
      </w:r>
    </w:p>
  </w:footnote>
  <w:footnote w:id="2068">
    <w:p>
      <w:pPr>
        <w:pStyle w:val="Funote"/>
        <w:rPr/>
      </w:pPr>
      <w:r>
        <w:rPr>
          <w:rStyle w:val="Funotenzeichen"/>
        </w:rPr>
        <w:footnoteRef/>
      </w:r>
      <w:r>
        <w:rPr/>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2069">
    <w:p>
      <w:pPr>
        <w:pStyle w:val="Funote"/>
        <w:rPr/>
      </w:pPr>
      <w:r>
        <w:rPr>
          <w:rStyle w:val="Funotenzeichen"/>
        </w:rPr>
        <w:footnoteRef/>
      </w:r>
      <w:r>
        <w:rPr/>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2070">
    <w:p>
      <w:pPr>
        <w:pStyle w:val="Funote"/>
        <w:rPr/>
      </w:pPr>
      <w:r>
        <w:rPr>
          <w:rStyle w:val="Funotenzeichen"/>
        </w:rPr>
        <w:footnoteRef/>
      </w:r>
      <w:r>
        <w:rPr/>
        <w:tab/>
        <w:t>und sagten Ptz. conj., beigeordnet aufgelöst.</w:t>
      </w:r>
    </w:p>
  </w:footnote>
  <w:footnote w:id="2071">
    <w:p>
      <w:pPr>
        <w:pStyle w:val="Funote"/>
        <w:rPr/>
      </w:pPr>
      <w:r>
        <w:rPr>
          <w:rStyle w:val="Funotenzeichen"/>
        </w:rPr>
        <w:footnoteRef/>
      </w:r>
      <w:r>
        <w:rPr/>
        <w:tab/>
        <w:t>sah an und Ptz. conj., beigeordnet aufgelöst.</w:t>
      </w:r>
    </w:p>
  </w:footnote>
  <w:footnote w:id="2072">
    <w:p>
      <w:pPr>
        <w:pStyle w:val="Funote"/>
        <w:rPr/>
      </w:pPr>
      <w:r>
        <w:rPr>
          <w:rStyle w:val="Funotenzeichen"/>
        </w:rPr>
        <w:footnoteRef/>
      </w:r>
      <w:r>
        <w:rPr/>
        <w:tab/>
        <w:t>sagte W. »fing an zu sagen«, eine bei Markus typische Wendung, wo »anfangen« sehr schwache Bedeutung hat.</w:t>
      </w:r>
    </w:p>
  </w:footnote>
  <w:footnote w:id="2073">
    <w:p>
      <w:pPr>
        <w:pStyle w:val="Funote"/>
        <w:rPr/>
      </w:pPr>
      <w:r>
        <w:rPr>
          <w:rStyle w:val="Funotenzeichen"/>
        </w:rPr>
        <w:footnoteRef/>
      </w:r>
      <w:r>
        <w:rPr/>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2074">
    <w:p>
      <w:pPr>
        <w:pStyle w:val="Funote"/>
        <w:rPr/>
      </w:pPr>
      <w:r>
        <w:rPr>
          <w:rStyle w:val="Funotenzeichen"/>
        </w:rPr>
        <w:footnoteRef/>
      </w:r>
      <w:r>
        <w:rPr/>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2075">
    <w:p>
      <w:pPr>
        <w:pStyle w:val="Funote"/>
        <w:rPr/>
      </w:pPr>
      <w:r>
        <w:rPr>
          <w:rStyle w:val="Funotenzeichen"/>
        </w:rPr>
        <w:footnoteRef/>
      </w:r>
      <w:r>
        <w:rPr/>
        <w:tab/>
        <w:t>der nicht W. »(Es gibt niemanden (V. 29)...,) wenn er nicht«</w:t>
      </w:r>
    </w:p>
  </w:footnote>
  <w:footnote w:id="2076">
    <w:p>
      <w:pPr>
        <w:pStyle w:val="Funote"/>
        <w:rPr/>
      </w:pPr>
      <w:r>
        <w:rPr>
          <w:rStyle w:val="Funotenzeichen"/>
        </w:rPr>
        <w:footnoteRef/>
      </w:r>
      <w:r>
        <w:rPr/>
        <w:tab/>
        <w:t xml:space="preserve">[wenn auch] unter Verfolgungen bezieht sich auf Begleitumstände (BA </w:t>
      </w:r>
      <w:r>
        <w:rPr>
          <w:lang w:val="el-GR"/>
        </w:rPr>
        <w:t>μετά</w:t>
      </w:r>
      <w:r>
        <w:rPr/>
        <w:t>, III.2.). [wenn auch] wurde daher sinngemäß eingefügt, weil »unter Verfolgungen« eine Einschränkung bezeichnet, die man im Deutschen auf diese Weise einleitet.</w:t>
      </w:r>
    </w:p>
  </w:footnote>
  <w:footnote w:id="2077">
    <w:p>
      <w:pPr>
        <w:pStyle w:val="Funote"/>
        <w:rPr/>
      </w:pPr>
      <w:r>
        <w:rPr>
          <w:rStyle w:val="Funotenzeichen"/>
        </w:rPr>
        <w:footnoteRef/>
      </w:r>
      <w:r>
        <w:rPr/>
        <w:tab/>
        <w:t>Sie waren auf dem Weg nach Jerusalem, und Jesus ging ihnen voran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nach Westen gen Jerusalem.</w:t>
      </w:r>
    </w:p>
  </w:footnote>
  <w:footnote w:id="2078">
    <w:p>
      <w:pPr>
        <w:pStyle w:val="Funote"/>
        <w:rPr/>
      </w:pPr>
      <w:r>
        <w:rPr>
          <w:rStyle w:val="Funotenzeichen"/>
        </w:rPr>
        <w:footnoteRef/>
      </w:r>
      <w:r>
        <w:rPr/>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zumarschierend darstellt (ebd.). Das Imperfekt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2079">
    <w:p>
      <w:pPr>
        <w:pStyle w:val="Funote"/>
        <w:rPr/>
      </w:pPr>
      <w:r>
        <w:rPr>
          <w:rStyle w:val="Funotenzeichen"/>
        </w:rPr>
        <w:footnoteRef/>
      </w:r>
      <w:r>
        <w:rPr/>
        <w:tab/>
        <w:t>die hinter ihm hergingen (die ihm Folgenden, seine Nachfolger) (Subst. Ptz.)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2080">
    <w:p>
      <w:pPr>
        <w:pStyle w:val="Funote"/>
        <w:rPr/>
      </w:pPr>
      <w:r>
        <w:rPr>
          <w:rStyle w:val="Funotenzeichen"/>
        </w:rPr>
        <w:footnoteRef/>
      </w:r>
      <w:r>
        <w:rPr/>
        <w:tab/>
        <w:t>nahm beiseite und Ptz. conj., beigeordnet aufgelöst. teilte ihnen mit W. »begann ihnen zu sagen«</w:t>
      </w:r>
    </w:p>
  </w:footnote>
  <w:footnote w:id="2081">
    <w:p>
      <w:pPr>
        <w:pStyle w:val="Funote"/>
        <w:rPr/>
      </w:pPr>
      <w:r>
        <w:rPr>
          <w:rStyle w:val="Funotenzeichen"/>
        </w:rPr>
        <w:footnoteRef/>
      </w:r>
      <w:r>
        <w:rPr/>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2082">
    <w:p>
      <w:pPr>
        <w:pStyle w:val="Funote"/>
        <w:rPr/>
      </w:pPr>
      <w:r>
        <w:rPr>
          <w:rStyle w:val="Funotenzeichen"/>
        </w:rPr>
        <w:footnoteRef/>
      </w:r>
      <w:r>
        <w:rPr/>
        <w:tab/>
        <w:t>oberste Priester Auf Griechisch »Hohe Priester«. Damit waren ehemalige Hohe Priester gemeint, die weiter im Hohen Rat vertreten waren, aber wahrscheinlich auch Mitglieder der wichtigen Priesterfamilien (France 2002, 335 Fn 51).</w:t>
      </w:r>
    </w:p>
  </w:footnote>
  <w:footnote w:id="2083">
    <w:p>
      <w:pPr>
        <w:pStyle w:val="Funote"/>
        <w:rPr/>
      </w:pPr>
      <w:r>
        <w:rPr>
          <w:rStyle w:val="Funotenzeichen"/>
        </w:rPr>
        <w:footnoteRef/>
      </w:r>
      <w:r>
        <w:rPr/>
        <w:tab/>
        <w:t>[für] uns Dat. commodi.</w:t>
      </w:r>
    </w:p>
  </w:footnote>
  <w:footnote w:id="2084">
    <w:p>
      <w:pPr>
        <w:pStyle w:val="Funote"/>
        <w:rPr/>
      </w:pPr>
      <w:r>
        <w:rPr>
          <w:rStyle w:val="Funotenzeichen"/>
        </w:rPr>
        <w:footnoteRef/>
      </w:r>
      <w:r>
        <w:rPr/>
        <w:tab/>
        <w:t>[für] euch Dat. commodi.</w:t>
      </w:r>
    </w:p>
  </w:footnote>
  <w:footnote w:id="2085">
    <w:p>
      <w:pPr>
        <w:pStyle w:val="Funote"/>
        <w:rPr/>
      </w:pPr>
      <w:r>
        <w:rPr>
          <w:rStyle w:val="Funotenzeichen"/>
        </w:rPr>
        <w:footnoteRef/>
      </w:r>
      <w:r>
        <w:rPr/>
        <w:tab/>
        <w:t>Gestatte uns W. »Gib uns«, was wohl eine respektvolle Formulierung ist.</w:t>
      </w:r>
    </w:p>
  </w:footnote>
  <w:footnote w:id="2086">
    <w:p>
      <w:pPr>
        <w:pStyle w:val="Funote"/>
        <w:rPr/>
      </w:pPr>
      <w:r>
        <w:rPr>
          <w:rStyle w:val="Funotenzeichen"/>
        </w:rPr>
        <w:footnoteRef/>
      </w:r>
      <w:r>
        <w:rPr/>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2087">
    <w:p>
      <w:pPr>
        <w:pStyle w:val="Funote"/>
        <w:rPr/>
      </w:pPr>
      <w:r>
        <w:rPr>
          <w:rStyle w:val="Funotenzeichen"/>
        </w:rPr>
        <w:footnoteRef/>
      </w:r>
      <w:r>
        <w:rPr/>
        <w:tab/>
        <w:t>Becher (Kelch) trinken, den ich trinke - Metapher, die sich auch in Mk 14,36 findet. Diese Stelle, MartPol 14,2 (»Ich danke dir, dass ich zu deinen Märtyrern gehören und am Kelch Christi teilhaben darf«), MartJes 5,13 (Jesaja bei seinem gewaltsamen Tod: »Nur für mich hat Gott diesen Kelch gemischt«) und der Ausdruck »(bitterer) Kelch des Todes« für den Tod in TestAb 16,12; TgN zu Dtn 32,1 und TgN, TgJ, TgF zu Gen 40,23 legen nahe, dass die Rede vom »Kelch«, den jemand trinken muss, metaphorisch für den (gewaltsamen?) Tod (eines Gerechten?) steht. Verwandt ist vielleicht der Ausdruck »den Tod schmecken« für »sterben« in Mk 9,1; Joh 8,52; Heb 2,9 und häufiger in der frühjüdischen Literatur.In der Tat ist Johannes der einzige der Zwölf, von dem kein Märtyrertod überliefert ist; er musste Jesu Becher nicht trinken.</w:t>
      </w:r>
    </w:p>
  </w:footnote>
  <w:footnote w:id="2088">
    <w:p>
      <w:pPr>
        <w:pStyle w:val="Funote"/>
        <w:rPr/>
      </w:pPr>
      <w:r>
        <w:rPr>
          <w:rStyle w:val="Funotenzeichen"/>
        </w:rPr>
        <w:footnoteRef/>
      </w:r>
      <w:r>
        <w:rPr/>
        <w:tab/>
        <w:t xml:space="preserve">[mit] der Taufe getauft werden Bei [mit] der Taufe handelt es sich um einen »Akkusativ des inneren Objekts«, einen Akkusativ, der hinsichtlich Stamm oder Sinn mit dem dazugehörigen Verb übereinstimmt und so eine figura etymologica bildet (Siebenthal 2011, §151a). Jesus prägt hier scheinbar eine neue Metapher, indem er gleichzeitig die Taufe von Johannes dem Täufer (mit der er getauft wurde) und den verbreiteten übertragenen Gebrauch des gr. </w:t>
      </w:r>
      <w:r>
        <w:rPr>
          <w:lang w:val="el-GR"/>
        </w:rPr>
        <w:t>βαπτίζομαι</w:t>
      </w:r>
      <w:r>
        <w:rPr/>
        <w:t xml:space="preserve"> »überwältigt sein« ins Bewusstsein ruft und so zu einem Bild für das Martyrium verbindet (France 2002, 416f.; vgl. BA 3c). (Vergleichbare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2089">
    <w:p>
      <w:pPr>
        <w:pStyle w:val="Funote"/>
        <w:rPr/>
      </w:pPr>
      <w:r>
        <w:rPr>
          <w:rStyle w:val="Funotenzeichen"/>
        </w:rPr>
        <w:footnoteRef/>
      </w:r>
      <w:r>
        <w:rPr/>
        <w:tab/>
        <w:t>gewähren W. »geben« (vgl. V. 37)</w:t>
      </w:r>
    </w:p>
  </w:footnote>
  <w:footnote w:id="2090">
    <w:p>
      <w:pPr>
        <w:pStyle w:val="Funote"/>
        <w:rPr/>
      </w:pPr>
      <w:r>
        <w:rPr>
          <w:rStyle w:val="Funotenzeichen"/>
        </w:rPr>
        <w:footnoteRef/>
      </w:r>
      <w:r>
        <w:rPr/>
        <w:tab/>
        <w:t>sondern [das Sitzen steht denjenigen zu], [für] die es vorgesehen (bestimmt, bereitet) ist D.h. »Auf diesen Plätzen werden diejenigen Sitzen, die dafür vorgesehen sind«, und zwar (wie das Passiv anzeigt) von Gott (France 2002, 417). [für] die Dat. commodi.</w:t>
      </w:r>
    </w:p>
  </w:footnote>
  <w:footnote w:id="2091">
    <w:p>
      <w:pPr>
        <w:pStyle w:val="Funote"/>
        <w:rPr/>
      </w:pPr>
      <w:r>
        <w:rPr>
          <w:rStyle w:val="Funotenzeichen"/>
        </w:rPr>
        <w:footnoteRef/>
      </w:r>
      <w:r>
        <w:rPr/>
        <w:tab/>
        <w:t>als ... hörten Ptz. conj., als temporaler Nebensatz aufgelöst.</w:t>
      </w:r>
    </w:p>
  </w:footnote>
  <w:footnote w:id="2092">
    <w:p>
      <w:pPr>
        <w:pStyle w:val="Funote"/>
        <w:rPr/>
      </w:pPr>
      <w:r>
        <w:rPr>
          <w:rStyle w:val="Funotenzeichen"/>
        </w:rPr>
        <w:footnoteRef/>
      </w:r>
      <w:r>
        <w:rPr/>
        <w:tab/>
        <w:t>waren sie wütend W. »begannen sie, wütend zu sein«</w:t>
      </w:r>
    </w:p>
  </w:footnote>
  <w:footnote w:id="2093">
    <w:p>
      <w:pPr>
        <w:pStyle w:val="Funote"/>
        <w:rPr/>
      </w:pPr>
      <w:r>
        <w:rPr>
          <w:rStyle w:val="Funotenzeichen"/>
        </w:rPr>
        <w:footnoteRef/>
      </w:r>
      <w:r>
        <w:rPr/>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2094">
    <w:p>
      <w:pPr>
        <w:pStyle w:val="Funote"/>
        <w:rPr/>
      </w:pPr>
      <w:r>
        <w:rPr>
          <w:rStyle w:val="Funotenzeichen"/>
        </w:rPr>
        <w:footnoteRef/>
      </w:r>
      <w:r>
        <w:rPr/>
        <w:tab/>
        <w:t>die Menschen W. »sie«, d.h. ihre Völker oder Untertanen.</w:t>
      </w:r>
    </w:p>
  </w:footnote>
  <w:footnote w:id="2095">
    <w:p>
      <w:pPr>
        <w:pStyle w:val="Funote"/>
        <w:rPr/>
      </w:pPr>
      <w:r>
        <w:rPr>
          <w:rStyle w:val="Funotenzeichen"/>
        </w:rPr>
        <w:footnoteRef/>
      </w:r>
      <w:r>
        <w:rPr/>
        <w:tab/>
        <w:t>als er von Jericho aufbrach, [er] und seine Jünger und eine beachtliche Menschenmenge Diese Temporalangabe (Gen. abs.)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2096">
    <w:p>
      <w:pPr>
        <w:pStyle w:val="Funote"/>
        <w:rPr/>
      </w:pPr>
      <w:r>
        <w:rPr>
          <w:rStyle w:val="Funotenzeichen"/>
        </w:rPr>
        <w:footnoteRef/>
      </w:r>
      <w:r>
        <w:rPr/>
        <w:tab/>
        <w:t>der Sohn von Timäus, Bartimäus Der Name »Bartimäus« bedeutet auf Aramäisch eben das – Sohn von Timäus/Timai (</w:t>
      </w:r>
      <w:r>
        <w:rPr>
          <w:rtl w:val="true"/>
          <w:lang w:bidi="he-IL"/>
        </w:rPr>
        <w:t>בר טמאי</w:t>
      </w:r>
      <w:r>
        <w:rPr/>
        <w:t xml:space="preserve"> </w:t>
      </w:r>
      <w:r>
        <w:rPr/>
        <w:t>bar ṭimʾay). Es könnte auch sein, dass ein anderer aramäische Name hinter der griechischen Form steht. Verknüpfungen mit aramäischen Wörtern für »blind« oder »unrein« wären möglich, sind aber sehr unsicher (Collins 2007, 508f.; vgl. Evans 2001, 131).</w:t>
      </w:r>
    </w:p>
  </w:footnote>
  <w:footnote w:id="2097">
    <w:p>
      <w:pPr>
        <w:pStyle w:val="Funote"/>
        <w:rPr/>
      </w:pPr>
      <w:r>
        <w:rPr>
          <w:rStyle w:val="Funotenzeichen"/>
        </w:rPr>
        <w:footnoteRef/>
      </w:r>
      <w:r>
        <w:rPr/>
        <w:tab/>
        <w:t xml:space="preserve">am Straßenrand W. »bei/neben der Straße/Weg«, Gr. </w:t>
      </w:r>
      <w:r>
        <w:rPr>
          <w:lang w:val="el-GR"/>
        </w:rPr>
        <w:t>παρὰ τὴν ὁδόν</w:t>
      </w:r>
      <w:r>
        <w:rPr/>
        <w:t xml:space="preserve">. Die genaue Ortsangabe, die im Griechischen die Präposition </w:t>
      </w:r>
      <w:r>
        <w:rPr>
          <w:lang w:val="el-GR"/>
        </w:rPr>
        <w:t>παρὰ</w:t>
      </w:r>
      <w:r>
        <w:rPr/>
        <w:t xml:space="preserve"> ausdrückt, lässt sich im Deutschen nur mittels einer Abwandlung des Substantivs von »Straße« zu »Straßenrand« erreichen (vgl. Mk 4,4.15). Die Position des Bettlers am Straßenrand am Ortsausgang war gut gewählt, weil so der gesamte Reiseverkehr nach Jerusalem an ihm vorbeikommen musste. Nicht nur wohlhabende Reisende, sondern auch Pilger wie Jesus und seine Jünger wären vermutlich zu einem Almosen bereit gewesen (Evans 2001, 131).</w:t>
      </w:r>
    </w:p>
  </w:footnote>
  <w:footnote w:id="2098">
    <w:p>
      <w:pPr>
        <w:pStyle w:val="Funote"/>
        <w:rPr/>
      </w:pPr>
      <w:r>
        <w:rPr>
          <w:rStyle w:val="Funotenzeichen"/>
        </w:rPr>
        <w:footnoteRef/>
      </w:r>
      <w:r>
        <w:rPr/>
        <w:tab/>
        <w:t>als er hörte Ptz. conj., als temporaler Nebensatz aufgelöst.</w:t>
      </w:r>
    </w:p>
  </w:footnote>
  <w:footnote w:id="2099">
    <w:p>
      <w:pPr>
        <w:pStyle w:val="Funote"/>
        <w:rPr/>
      </w:pPr>
      <w:r>
        <w:rPr>
          <w:rStyle w:val="Funotenzeichen"/>
        </w:rPr>
        <w:footnoteRef/>
      </w:r>
      <w:r>
        <w:rPr/>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2100">
    <w:p>
      <w:pPr>
        <w:pStyle w:val="Funote"/>
        <w:rPr/>
      </w:pPr>
      <w:r>
        <w:rPr>
          <w:rStyle w:val="Funotenzeichen"/>
        </w:rPr>
        <w:footnoteRef/>
      </w:r>
      <w:r>
        <w:rPr/>
        <w:tab/>
        <w:t>blieb stehen sowie und sagten Ptz. conj., beigeordnet aufgelöst. blieb stehen (stand auf) Das griechische Wort heißt einfach »er stand«, kann aber für »aufstehen« oder »stehen bleiben« benutzt werden. Stand Jesus auf, dann hatte er sich vielleicht vorher zum Lehren niedergelassen (Evans 2001, 133).</w:t>
      </w:r>
    </w:p>
  </w:footnote>
  <w:footnote w:id="2101">
    <w:p>
      <w:pPr>
        <w:pStyle w:val="Funote"/>
        <w:rPr/>
      </w:pPr>
      <w:r>
        <w:rPr>
          <w:rStyle w:val="Funotenzeichen"/>
        </w:rPr>
        <w:footnoteRef/>
      </w:r>
      <w:r>
        <w:rPr/>
        <w:tab/>
        <w:t>warf er … ab, sprang auf und Ptz. conj. (2x), beigeordnet aufgelöst.</w:t>
      </w:r>
    </w:p>
  </w:footnote>
  <w:footnote w:id="2102">
    <w:p>
      <w:pPr>
        <w:pStyle w:val="Funote"/>
        <w:rPr/>
      </w:pPr>
      <w:r>
        <w:rPr>
          <w:rStyle w:val="Funotenzeichen"/>
        </w:rPr>
        <w:footnoteRef/>
      </w:r>
      <w:r>
        <w:rPr/>
        <w:tab/>
        <w:t>fragte ihn W. »antwortete ihm und sagte« Jesus »antwortet« (d.h. reagiert) hier auf die Situation, vielleicht auf die Zurufe des Bettlers (DBL Greek 646), allerdings mit einer eigenen Frage (vgl. V. 24).</w:t>
      </w:r>
    </w:p>
  </w:footnote>
  <w:footnote w:id="2103">
    <w:p>
      <w:pPr>
        <w:pStyle w:val="Funote"/>
        <w:rPr/>
      </w:pPr>
      <w:r>
        <w:rPr>
          <w:rStyle w:val="Funotenzeichen"/>
        </w:rPr>
        <w:footnoteRef/>
      </w:r>
      <w:r>
        <w:rPr/>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2104">
    <w:p>
      <w:pPr>
        <w:pStyle w:val="Funote"/>
        <w:rPr/>
      </w:pPr>
      <w:r>
        <w:rPr>
          <w:rStyle w:val="Funotenzeichen"/>
        </w:rPr>
        <w:footnoteRef/>
      </w:r>
      <w:r>
        <w:rPr/>
        <w:tab/>
        <w:t>Geh D.h. »Geh nur!« (GNB, NGÜ). Vgl. 7,29. Gemeint ist einfach, dass er geheilt ist und gehen kann, wenn er möchte. Markus stellt Bartimäus also nicht als ungehorsam dar, wenn er sich Jesus im nächsten Vers anschließt (France 2002, 425).</w:t>
      </w:r>
    </w:p>
  </w:footnote>
  <w:footnote w:id="2105">
    <w:p>
      <w:pPr>
        <w:pStyle w:val="Funote"/>
        <w:rPr/>
      </w:pPr>
      <w:r>
        <w:rPr>
          <w:rStyle w:val="Funotenzeichen"/>
        </w:rPr>
        <w:footnoteRef/>
      </w:r>
      <w:r>
        <w:rPr/>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2106">
    <w:p>
      <w:pPr>
        <w:pStyle w:val="Funote"/>
        <w:rPr/>
      </w:pPr>
      <w:r>
        <w:rPr>
          <w:rStyle w:val="Funotenzeichen"/>
        </w:rPr>
        <w:footnoteRef/>
      </w:r>
      <w:r>
        <w:rPr/>
        <w:tab/>
        <w:t>[Status: Zuverlässig]</w:t>
      </w:r>
    </w:p>
  </w:footnote>
  <w:footnote w:id="2107">
    <w:p>
      <w:pPr>
        <w:pStyle w:val="Funote"/>
        <w:rPr/>
      </w:pPr>
      <w:r>
        <w:rPr>
          <w:rStyle w:val="Funotenzeichen"/>
        </w:rPr>
        <w:footnoteRef/>
      </w:r>
      <w:r>
        <w:rPr/>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2108">
    <w:p>
      <w:pPr>
        <w:pStyle w:val="Funote"/>
        <w:rPr/>
      </w:pPr>
      <w:r>
        <w:rPr>
          <w:rStyle w:val="Funotenzeichen"/>
        </w:rPr>
        <w:footnoteRef/>
      </w:r>
      <w:r>
        <w:rPr/>
        <w:tab/>
        <w:t>Er sagte Modales Ptz. conj., als eigenständiger Hauptsatz aufgelöst.</w:t>
      </w:r>
    </w:p>
  </w:footnote>
  <w:footnote w:id="2109">
    <w:p>
      <w:pPr>
        <w:pStyle w:val="Funote"/>
        <w:rPr/>
      </w:pPr>
      <w:r>
        <w:rPr>
          <w:rStyle w:val="Funotenzeichen"/>
        </w:rPr>
        <w:footnoteRef/>
      </w:r>
      <w:r>
        <w:rPr/>
        <w:tab/>
        <w:t>wenn ihr hineingeht Temporales Ptz. conj., als Nebensatz aufgelöst.</w:t>
      </w:r>
    </w:p>
  </w:footnote>
  <w:footnote w:id="2110">
    <w:p>
      <w:pPr>
        <w:pStyle w:val="Funote"/>
        <w:rPr/>
      </w:pPr>
      <w:r>
        <w:rPr>
          <w:rStyle w:val="Funotenzeichen"/>
        </w:rPr>
        <w:footnoteRef/>
      </w:r>
      <w:r>
        <w:rPr/>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2111">
    <w:p>
      <w:pPr>
        <w:pStyle w:val="Funote"/>
        <w:rPr/>
      </w:pPr>
      <w:r>
        <w:rPr>
          <w:rStyle w:val="Funotenzeichen"/>
        </w:rPr>
        <w:footnoteRef/>
      </w:r>
      <w:r>
        <w:rPr/>
        <w:tab/>
        <w:t>noch nie ein Mensch W. »niemand der Menschen«</w:t>
      </w:r>
    </w:p>
  </w:footnote>
  <w:footnote w:id="2112">
    <w:p>
      <w:pPr>
        <w:pStyle w:val="Funote"/>
        <w:rPr/>
      </w:pPr>
      <w:r>
        <w:rPr>
          <w:rStyle w:val="Funotenzeichen"/>
        </w:rPr>
        <w:footnoteRef/>
      </w:r>
      <w:r>
        <w:rPr/>
        <w:tab/>
        <w:t>Für detaillierte Textkritik vgl. den Exkurs im Kommentar.</w:t>
      </w:r>
    </w:p>
  </w:footnote>
  <w:footnote w:id="2113">
    <w:p>
      <w:pPr>
        <w:pStyle w:val="Funote"/>
        <w:rPr/>
      </w:pPr>
      <w:r>
        <w:rPr>
          <w:rStyle w:val="Funotenzeichen"/>
        </w:rPr>
        <w:footnoteRef/>
      </w:r>
      <w:r>
        <w:rPr/>
        <w:tab/>
        <w:t>macht ihr … dass ihr losbindet Prädikatives Partizip, als Nebensatz aufgelöst. EÜ: »Wie kommt ihr dazu, den Esel loszubinden?«</w:t>
      </w:r>
    </w:p>
  </w:footnote>
  <w:footnote w:id="2114">
    <w:p>
      <w:pPr>
        <w:pStyle w:val="Funote"/>
        <w:rPr/>
      </w:pPr>
      <w:r>
        <w:rPr>
          <w:rStyle w:val="Funotenzeichen"/>
        </w:rPr>
        <w:footnoteRef/>
      </w:r>
      <w:r>
        <w:rPr/>
        <w:tab/>
        <w:t>die sie … abgeschnitten (abgerissen) hatten Temp. Ptz. conj., als Relativsatz aufgelöst.</w:t>
      </w:r>
    </w:p>
  </w:footnote>
  <w:footnote w:id="2115">
    <w:p>
      <w:pPr>
        <w:pStyle w:val="Funote"/>
        <w:rPr/>
      </w:pPr>
      <w:r>
        <w:rPr>
          <w:rStyle w:val="Funotenzeichen"/>
        </w:rPr>
        <w:footnoteRef/>
      </w:r>
      <w:r>
        <w:rPr/>
        <w:tab/>
        <w:t>riefen immer wieder Das Impferfekt drückt das, dass die Menschen diese Worte in Sprechchören riefen (oder sangen).</w:t>
      </w:r>
    </w:p>
  </w:footnote>
  <w:footnote w:id="2116">
    <w:p>
      <w:pPr>
        <w:pStyle w:val="Funote"/>
        <w:rPr/>
      </w:pPr>
      <w:r>
        <w:rPr>
          <w:rStyle w:val="Funotenzeichen"/>
        </w:rPr>
        <w:footnoteRef/>
      </w:r>
      <w:r>
        <w:rPr/>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2117">
    <w:p>
      <w:pPr>
        <w:pStyle w:val="Funote"/>
        <w:rPr/>
      </w:pPr>
      <w:r>
        <w:rPr>
          <w:rStyle w:val="Funotenzeichen"/>
        </w:rPr>
        <w:footnoteRef/>
      </w:r>
      <w:r>
        <w:rPr/>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2118">
    <w:p>
      <w:pPr>
        <w:pStyle w:val="Funote"/>
        <w:rPr/>
      </w:pPr>
      <w:r>
        <w:rPr>
          <w:rStyle w:val="Funotenzeichen"/>
        </w:rPr>
        <w:footnoteRef/>
      </w:r>
      <w:r>
        <w:rPr/>
        <w:tab/>
        <w:t>wurde er hungrig Als ingressives Aorist übersetzt.</w:t>
      </w:r>
    </w:p>
  </w:footnote>
  <w:footnote w:id="2119">
    <w:p>
      <w:pPr>
        <w:pStyle w:val="Funote"/>
        <w:rPr/>
      </w:pPr>
      <w:r>
        <w:rPr>
          <w:rStyle w:val="Funotenzeichen"/>
        </w:rPr>
        <w:footnoteRef/>
      </w:r>
      <w:r>
        <w:rPr/>
        <w:tab/>
        <w:t>als er … sah Ptz. conj., als temporaler Nebensatz aufgelöst.</w:t>
      </w:r>
    </w:p>
  </w:footnote>
  <w:footnote w:id="2120">
    <w:p>
      <w:pPr>
        <w:pStyle w:val="Funote"/>
        <w:rPr/>
      </w:pPr>
      <w:r>
        <w:rPr>
          <w:rStyle w:val="Funotenzeichen"/>
        </w:rPr>
        <w:footnoteRef/>
      </w:r>
      <w:r>
        <w:rPr/>
        <w:tab/>
        <w:t>Da (Und) sagte er zu [dem Baum] W. „antwortete und sagte er zu ihm“. Jesus „antwortet“ (d.h. reagiert) hier auf die Situation (DBL Greek 646; vgl. V. 51).</w:t>
      </w:r>
    </w:p>
  </w:footnote>
  <w:footnote w:id="2121">
    <w:p>
      <w:pPr>
        <w:pStyle w:val="Funote"/>
        <w:rPr/>
      </w:pPr>
      <w:r>
        <w:rPr>
          <w:rStyle w:val="Funotenzeichen"/>
        </w:rPr>
        <w:footnoteRef/>
      </w:r>
      <w:r>
        <w:rPr/>
        <w:tab/>
        <w:t>Nie mehr, bis in Ewigkeit soll jemand W. »nie mehr, bis in Ewigkeit, soll niemand«. Die doppelte Verneinung verstärkt den Schwur.</w:t>
      </w:r>
    </w:p>
  </w:footnote>
  <w:footnote w:id="2122">
    <w:p>
      <w:pPr>
        <w:pStyle w:val="Funote"/>
        <w:rPr/>
      </w:pPr>
      <w:r>
        <w:rPr>
          <w:rStyle w:val="Funotenzeichen"/>
        </w:rPr>
        <w:footnoteRef/>
      </w:r>
      <w:r>
        <w:rPr/>
        <w:tab/>
        <w:t>Als (Und) ... {und} W. „und … und“, hier als temporale Verknüpfung wiedergegeben.</w:t>
      </w:r>
    </w:p>
  </w:footnote>
  <w:footnote w:id="2123">
    <w:p>
      <w:pPr>
        <w:pStyle w:val="Funote"/>
        <w:rPr/>
      </w:pPr>
      <w:r>
        <w:rPr>
          <w:rStyle w:val="Funotenzeichen"/>
        </w:rPr>
        <w:footnoteRef/>
      </w:r>
      <w:r>
        <w:rPr/>
        <w:tab/>
        <w:t>ging er … und Ptz. conj., beigeordnet aufgelöst.</w:t>
      </w:r>
    </w:p>
  </w:footnote>
  <w:footnote w:id="2124">
    <w:p>
      <w:pPr>
        <w:pStyle w:val="Funote"/>
        <w:rPr/>
      </w:pPr>
      <w:r>
        <w:rPr>
          <w:rStyle w:val="Funotenzeichen"/>
        </w:rPr>
        <w:footnoteRef/>
      </w:r>
      <w:r>
        <w:rPr/>
        <w:tab/>
        <w:t>Taubenverkäufer W. „die Tauben verkauften“ (Subst. Ptz.). Jesus ist gegen Kommerz im Tempelhof, der der Anbetung Gottes vorbehalten sein sollte (vgl. V. 17) (Evans 2001, 169-171).</w:t>
      </w:r>
    </w:p>
  </w:footnote>
  <w:footnote w:id="2125">
    <w:p>
      <w:pPr>
        <w:pStyle w:val="Funote"/>
        <w:rPr/>
      </w:pPr>
      <w:r>
        <w:rPr>
          <w:rStyle w:val="Funotenzeichen"/>
        </w:rPr>
        <w:footnoteRef/>
      </w:r>
      <w:r>
        <w:rPr/>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2126">
    <w:p>
      <w:pPr>
        <w:pStyle w:val="Funote"/>
        <w:rPr/>
      </w:pPr>
      <w:r>
        <w:rPr>
          <w:rStyle w:val="Funotenzeichen"/>
        </w:rPr>
        <w:footnoteRef/>
      </w:r>
      <w:r>
        <w:rPr/>
        <w:tab/>
        <w:t>Dabei lehrte er sie Imperfekt, das etwas Fortdauerndes beschreibt und hier vielleicht anzeigt, dass Jesu Vorwurf die kondensierte Form einer längeren Rede ist. Oder inchoativ „er fing an, sie zu lehren“ (so Evans 2001, 173). W. „Und er lehrte und sagte zu ihnen“</w:t>
      </w:r>
    </w:p>
  </w:footnote>
  <w:footnote w:id="2127">
    <w:p>
      <w:pPr>
        <w:pStyle w:val="Funote"/>
        <w:rPr/>
      </w:pPr>
      <w:r>
        <w:rPr>
          <w:rStyle w:val="Funotenzeichen"/>
        </w:rPr>
        <w:footnoteRef/>
      </w:r>
      <w:r>
        <w:rPr/>
        <w:tab/>
        <w:t>Haus des Gebets [für] alle Völker (Dat. commodi). Der griechische Text folgt in diesem Zitat wörtlich der LXX und dem hebräischen.</w:t>
      </w:r>
    </w:p>
  </w:footnote>
  <w:footnote w:id="2128">
    <w:p>
      <w:pPr>
        <w:pStyle w:val="Funote"/>
        <w:rPr/>
      </w:pPr>
      <w:r>
        <w:rPr>
          <w:rStyle w:val="Funotenzeichen"/>
        </w:rPr>
        <w:footnoteRef/>
      </w:r>
      <w:r>
        <w:rPr/>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2129">
    <w:p>
      <w:pPr>
        <w:pStyle w:val="Funote"/>
        <w:rPr/>
      </w:pPr>
      <w:r>
        <w:rPr>
          <w:rStyle w:val="Funotenzeichen"/>
        </w:rPr>
        <w:footnoteRef/>
      </w:r>
      <w:r>
        <w:rPr/>
        <w:tab/>
        <w:t>oberste Priester Auf Griechisch „Hohe Priester“. Damit waren ehemalige Hohe Priester gemeint, die weiter im Hohen Rat vertreten waren, aber wahrscheinlich auch Mitglieder der wichtigen Priesterfamilien (France 2002, 335 Fn 51).</w:t>
      </w:r>
    </w:p>
  </w:footnote>
  <w:footnote w:id="2130">
    <w:p>
      <w:pPr>
        <w:pStyle w:val="Funote"/>
        <w:rPr/>
      </w:pPr>
      <w:r>
        <w:rPr>
          <w:rStyle w:val="Funotenzeichen"/>
        </w:rPr>
        <w:footnoteRef/>
      </w:r>
      <w:r>
        <w:rPr/>
        <w:tab/>
        <w:t>suchten ... fürchteten … war fasziniert Die letzten beiden Imperfekte erklären die Situation. Der erste könnte auch linear „suchten weiter/ständig [nach einer Möglichkeit]“ oder inchoativ „begannen (erneut) zu suchen“ wiedergegeben werden. Zu suchten oder inchoativ „begannen zu suchen“ vgl. die parallelen Formulierungen in Mk 12,12; 14,1 und 11.</w:t>
      </w:r>
    </w:p>
  </w:footnote>
  <w:footnote w:id="2131">
    <w:p>
      <w:pPr>
        <w:pStyle w:val="Funote"/>
        <w:rPr/>
      </w:pPr>
      <w:r>
        <w:rPr>
          <w:rStyle w:val="Funotenzeichen"/>
        </w:rPr>
        <w:footnoteRef/>
      </w:r>
      <w:r>
        <w:rPr/>
        <w:tab/>
        <w:t xml:space="preserve">das ganze Volk D.h. nicht das Volk der Juden, sondern das Straßenvolk (gr. </w:t>
      </w:r>
      <w:r>
        <w:rPr>
          <w:lang w:val="el-GR"/>
        </w:rPr>
        <w:t>ὄχλος</w:t>
      </w:r>
      <w:r>
        <w:rPr/>
        <w:t xml:space="preserve"> „Menschenmenge“), die Leute, die Jesus zuhörten.</w:t>
      </w:r>
    </w:p>
  </w:footnote>
  <w:footnote w:id="2132">
    <w:p>
      <w:pPr>
        <w:pStyle w:val="Funote"/>
        <w:rPr/>
      </w:pPr>
      <w:r>
        <w:rPr>
          <w:rStyle w:val="Funotenzeichen"/>
        </w:rPr>
        <w:footnoteRef/>
      </w:r>
      <w:r>
        <w:rPr/>
        <w:tab/>
        <w:t>verließen Das Imperfekt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2133">
    <w:p>
      <w:pPr>
        <w:pStyle w:val="Funote"/>
        <w:rPr/>
      </w:pPr>
      <w:r>
        <w:rPr>
          <w:rStyle w:val="Funotenzeichen"/>
        </w:rPr>
        <w:footnoteRef/>
      </w:r>
      <w:r>
        <w:rPr/>
        <w:tab/>
        <w:t>als sie … vorbeikamen Ptz. conj., temporal aufgelöst.</w:t>
      </w:r>
    </w:p>
  </w:footnote>
  <w:footnote w:id="2134">
    <w:p>
      <w:pPr>
        <w:pStyle w:val="Funote"/>
        <w:rPr/>
      </w:pPr>
      <w:r>
        <w:rPr>
          <w:rStyle w:val="Funotenzeichen"/>
        </w:rPr>
        <w:footnoteRef/>
      </w:r>
      <w:r>
        <w:rPr/>
        <w:tab/>
        <w:t>Glauben (Vertrauen) [an] Gott Objektiver Genitiv (Evans 2001, 186).</w:t>
      </w:r>
    </w:p>
  </w:footnote>
  <w:footnote w:id="2135">
    <w:p>
      <w:pPr>
        <w:pStyle w:val="Funote"/>
        <w:rPr/>
      </w:pPr>
      <w:r>
        <w:rPr>
          <w:rStyle w:val="Funotenzeichen"/>
        </w:rPr>
        <w:footnoteRef/>
      </w:r>
      <w:r>
        <w:rPr/>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2136">
    <w:p>
      <w:pPr>
        <w:pStyle w:val="Funote"/>
        <w:rPr/>
      </w:pPr>
      <w:r>
        <w:rPr>
          <w:rStyle w:val="Funotenzeichen"/>
        </w:rPr>
        <w:footnoteRef/>
      </w:r>
      <w:r>
        <w:rPr/>
        <w:tab/>
        <w:t>für den wird es eintreffen W. »dem wird es zuteil werden« (vgl. NSS)</w:t>
      </w:r>
    </w:p>
  </w:footnote>
  <w:footnote w:id="2137">
    <w:p>
      <w:pPr>
        <w:pStyle w:val="Funote"/>
        <w:rPr/>
      </w:pPr>
      <w:r>
        <w:rPr>
          <w:rStyle w:val="Funotenzeichen"/>
        </w:rPr>
        <w:footnoteRef/>
      </w:r>
      <w:r>
        <w:rPr/>
        <w:tab/>
        <w:t>Glaubt [bei] allen [Dingen], für die... W. »Alle [Dinge], für die ihr betet und bittet: glaubt, dass ihr...«</w:t>
      </w:r>
    </w:p>
  </w:footnote>
  <w:footnote w:id="2138">
    <w:p>
      <w:pPr>
        <w:pStyle w:val="Funote"/>
        <w:rPr/>
      </w:pPr>
      <w:r>
        <w:rPr>
          <w:rStyle w:val="Funotenzeichen"/>
        </w:rPr>
        <w:footnoteRef/>
      </w:r>
      <w:r>
        <w:rPr/>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2139">
    <w:p>
      <w:pPr>
        <w:pStyle w:val="Funote"/>
        <w:rPr/>
      </w:pPr>
      <w:r>
        <w:rPr>
          <w:rStyle w:val="Funotenzeichen"/>
        </w:rPr>
        <w:footnoteRef/>
      </w:r>
      <w:r>
        <w:rPr/>
        <w:tab/>
        <w:t>dann werden sie {für euch} eintreffen W. »dann wird es euch zuteil werden« (vgl. NSS)</w:t>
      </w:r>
    </w:p>
  </w:footnote>
  <w:footnote w:id="2140">
    <w:p>
      <w:pPr>
        <w:pStyle w:val="Funote"/>
        <w:rPr/>
      </w:pPr>
      <w:r>
        <w:rPr>
          <w:rStyle w:val="Funotenzeichen"/>
        </w:rPr>
        <w:footnoteRef/>
      </w:r>
      <w:r>
        <w:rPr/>
        <w:tab/>
        <w:t>wenn ihr dasteht und betet bzw. zum Beten steht Das Stehen war eine normale Gebetshaltung (Evans 2001, 192). Der Vers umschreibt also: »Immer wenn ihr beten wollt« (EÜ, NGÜ, MEN) »euch zum Gebet vorbereitet« oder einfach »wenn ihr betet« (GNB). und betet Ptz. conj., beigeordnet aufgelöst. Alternativ zum Beten Ptz. conj., als finale Präpositionalphrase aufgelöst.</w:t>
      </w:r>
    </w:p>
  </w:footnote>
  <w:footnote w:id="2141">
    <w:p>
      <w:pPr>
        <w:pStyle w:val="Funote"/>
        <w:rPr/>
      </w:pPr>
      <w:r>
        <w:rPr>
          <w:rStyle w:val="Funotenzeichen"/>
        </w:rPr>
        <w:footnoteRef/>
      </w:r>
      <w:r>
        <w:rPr/>
        <w:tab/>
        <w:t>Textkritik: In einigen der besten Zeugen fehlt V. 26.</w:t>
      </w:r>
    </w:p>
  </w:footnote>
  <w:footnote w:id="2142">
    <w:p>
      <w:pPr>
        <w:pStyle w:val="Funote"/>
        <w:rPr/>
      </w:pPr>
      <w:r>
        <w:rPr>
          <w:rStyle w:val="Funotenzeichen"/>
        </w:rPr>
        <w:footnoteRef/>
      </w:r>
      <w:r>
        <w:rPr/>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2143">
    <w:p>
      <w:pPr>
        <w:pStyle w:val="Funote"/>
        <w:rPr/>
      </w:pPr>
      <w:r>
        <w:rPr>
          <w:rStyle w:val="Funotenzeichen"/>
        </w:rPr>
        <w:footnoteRef/>
      </w:r>
      <w:r>
        <w:rPr/>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2144">
    <w:p>
      <w:pPr>
        <w:pStyle w:val="Funote"/>
        <w:rPr/>
      </w:pPr>
      <w:r>
        <w:rPr>
          <w:rStyle w:val="Funotenzeichen"/>
        </w:rPr>
        <w:footnoteRef/>
      </w:r>
      <w:r>
        <w:rPr/>
        <w:tab/>
        <w:t>{und} Antwortet mir Oder »Wenn ihr mir antwortet...« Der Imperativ steht hier wie in einem semitischen Bedingungssatz für die Bedingung (Evans 2001, 204). GNB: »Die beantwortet mir, dann...«</w:t>
      </w:r>
    </w:p>
  </w:footnote>
  <w:footnote w:id="2145">
    <w:p>
      <w:pPr>
        <w:pStyle w:val="Funote"/>
        <w:rPr/>
      </w:pPr>
      <w:r>
        <w:rPr>
          <w:rStyle w:val="Funotenzeichen"/>
        </w:rPr>
        <w:footnoteRef/>
      </w:r>
      <w:r>
        <w:rPr/>
        <w:tab/>
        <w:t>{und sagten} Das pleonatische Partizip leitet die zitierte Rede ein, ist im Deutschen aber unnötig.</w:t>
      </w:r>
    </w:p>
  </w:footnote>
  <w:footnote w:id="2146">
    <w:p>
      <w:pPr>
        <w:pStyle w:val="Funote"/>
        <w:rPr/>
      </w:pPr>
      <w:r>
        <w:rPr>
          <w:rStyle w:val="Funotenzeichen"/>
        </w:rPr>
        <w:footnoteRef/>
      </w:r>
      <w:r>
        <w:rPr/>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Konjunktiv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2147">
    <w:p>
      <w:pPr>
        <w:pStyle w:val="Funote"/>
        <w:rPr/>
      </w:pPr>
      <w:r>
        <w:rPr>
          <w:rStyle w:val="Funotenzeichen"/>
        </w:rPr>
        <w:footnoteRef/>
      </w:r>
      <w:r>
        <w:rPr/>
        <w:tab/>
        <w:t>[Status: Zuverlässig]</w:t>
      </w:r>
    </w:p>
  </w:footnote>
  <w:footnote w:id="2148">
    <w:p>
      <w:pPr>
        <w:pStyle w:val="Funote"/>
        <w:rPr/>
      </w:pPr>
      <w:r>
        <w:rPr>
          <w:rStyle w:val="Funotenzeichen"/>
        </w:rPr>
        <w:footnoteRef/>
      </w:r>
      <w:r>
        <w:rPr/>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2149">
    <w:p>
      <w:pPr>
        <w:pStyle w:val="Funote"/>
        <w:rPr/>
      </w:pPr>
      <w:r>
        <w:rPr>
          <w:rStyle w:val="Funotenzeichen"/>
        </w:rPr>
        <w:footnoteRef/>
      </w:r>
      <w:r>
        <w:rPr/>
        <w:tab/>
        <w:t>mit ihnen D.h. die Vertreter der jüdischen Führung aus dem vorigen Kapitel, die wegen der Tempelreinigung Streit mit Jesus gesucht hatten (vgl. V. 12) (vgl. France 2002, 458; Collins 2007, 544).</w:t>
      </w:r>
    </w:p>
  </w:footnote>
  <w:footnote w:id="2150">
    <w:p>
      <w:pPr>
        <w:pStyle w:val="Funote"/>
        <w:rPr/>
      </w:pPr>
      <w:r>
        <w:rPr>
          <w:rStyle w:val="Funotenzeichen"/>
        </w:rPr>
        <w:footnoteRef/>
      </w:r>
      <w:r>
        <w:rPr/>
        <w:tab/>
        <w:t>Mauer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(Dalman 1935, 316, 309, 334f.).</w:t>
      </w:r>
    </w:p>
  </w:footnote>
  <w:footnote w:id="2151">
    <w:p>
      <w:pPr>
        <w:pStyle w:val="Funote"/>
        <w:rPr/>
      </w:pPr>
      <w:r>
        <w:rPr>
          <w:rStyle w:val="Funotenzeichen"/>
        </w:rPr>
        <w:footnoteRef/>
      </w:r>
      <w:r>
        <w:rPr/>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2152">
    <w:p>
      <w:pPr>
        <w:pStyle w:val="Funote"/>
        <w:rPr/>
      </w:pPr>
      <w:r>
        <w:rPr>
          <w:rStyle w:val="Funotenzeichen"/>
        </w:rPr>
        <w:footnoteRef/>
      </w:r>
      <w:r>
        <w:rPr/>
        <w:tab/>
        <w:t>Wachtturm und Schutzmauer waren nötig, um die reifenden Trauben vor Eindringlingen zu schützen. Der Turm konnte eine erhöhte Aussichtsplattform, ein einfaches Häuschen oder, recht häufig, ein gemauerter Steinturm sein, der dazu diente, den gesamten Weinberg zu überblicken (Dalman 1935,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2153">
    <w:p>
      <w:pPr>
        <w:pStyle w:val="Funote"/>
        <w:rPr/>
      </w:pPr>
      <w:r>
        <w:rPr>
          <w:rStyle w:val="Funotenzeichen"/>
        </w:rPr>
        <w:footnoteRef/>
      </w:r>
      <w:r>
        <w:rPr/>
        <w:tab/>
        <w:t>zur [vereinbarten] Zeit Temporaler Dativ. Gemeint ist die in der Pachtvereinbarung abgesprochene Zeit (Evans 2001, 233). Bei einem neuen Weinberg wären bis zur ersten Ernte wenigstens 4 Jahre vergangen (France 2002, 459).</w:t>
      </w:r>
    </w:p>
  </w:footnote>
  <w:footnote w:id="2154">
    <w:p>
      <w:pPr>
        <w:pStyle w:val="Funote"/>
        <w:rPr/>
      </w:pPr>
      <w:r>
        <w:rPr>
          <w:rStyle w:val="Funotenzeichen"/>
        </w:rPr>
        <w:footnoteRef/>
      </w:r>
      <w:r>
        <w:rPr/>
        <w:tab/>
        <w:t>[seinen Anteil] an den Erträgen (Früchten) Der partitive Genitiv macht im Deutschen die Ergänzung von [seinen Anteil] nötig. Der Ertrag bezeichnet wohl eher einen Geldwert aus dem Erlös der Ernte als einen tatsächlichen Anteil der Ernte (Evans 2001, 233).</w:t>
      </w:r>
    </w:p>
  </w:footnote>
  <w:footnote w:id="2155">
    <w:p>
      <w:pPr>
        <w:pStyle w:val="Funote"/>
        <w:rPr/>
      </w:pPr>
      <w:r>
        <w:rPr>
          <w:rStyle w:val="Funotenzeichen"/>
        </w:rPr>
        <w:footnoteRef/>
      </w:r>
      <w:r>
        <w:rPr/>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2156">
    <w:p>
      <w:pPr>
        <w:pStyle w:val="Funote"/>
        <w:rPr/>
      </w:pPr>
      <w:r>
        <w:rPr>
          <w:rStyle w:val="Funotenzeichen"/>
        </w:rPr>
        <w:footnoteRef/>
      </w:r>
      <w:r>
        <w:rPr/>
        <w:tab/>
        <w:t>entehrten ihn (behandelten ihn verächtlich) - Vermutlich in Form von Beschimpfungen; viele Üss. daher sinnvoll: »beschimpften ihn« (z.B. BB, EÜ, GN, HER05, HfA).</w:t>
      </w:r>
    </w:p>
  </w:footnote>
  <w:footnote w:id="2157">
    <w:p>
      <w:pPr>
        <w:pStyle w:val="Funote"/>
        <w:rPr/>
      </w:pPr>
      <w:r>
        <w:rPr>
          <w:rStyle w:val="Funotenzeichen"/>
        </w:rPr>
        <w:footnoteRef/>
      </w:r>
      <w:r>
        <w:rPr/>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2158">
    <w:p>
      <w:pPr>
        <w:pStyle w:val="Funote"/>
        <w:rPr/>
      </w:pPr>
      <w:r>
        <w:rPr>
          <w:rStyle w:val="Funotenzeichen"/>
        </w:rPr>
        <w:footnoteRef/>
      </w:r>
      <w:r>
        <w:rPr/>
        <w:tab/>
        <w:t>verprügelten sie ... brachten sie um Modales Ptz. conj. (2x), hier als Indikative aufgelöst.</w:t>
      </w:r>
    </w:p>
  </w:footnote>
  <w:footnote w:id="2159">
    <w:p>
      <w:pPr>
        <w:pStyle w:val="Funote"/>
        <w:rPr/>
      </w:pPr>
      <w:r>
        <w:rPr>
          <w:rStyle w:val="Funotenzeichen"/>
        </w:rPr>
        <w:footnoteRef/>
      </w:r>
      <w:r>
        <w:rPr/>
        <w:tab/>
        <w:t>noch einen: [seinen] geliebten Sohn bzw. noch [seinen] einzigen geliebten Sohn Der geliebte Sohn ist Jesus, der in Mk schon zweimal als »geliebter Sohn« bezeichnet worden ist (1,11; 9,7)(France 2002, 458). Das Wort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2160">
    <w:p>
      <w:pPr>
        <w:pStyle w:val="Funote"/>
        <w:rPr/>
      </w:pPr>
      <w:r>
        <w:rPr>
          <w:rStyle w:val="Funotenzeichen"/>
        </w:rPr>
        <w:footnoteRef/>
      </w:r>
      <w:r>
        <w:rPr/>
        <w:tab/>
        <w:t>weil er glaubte (dachte, sich sagte) Kausales (oder modales) Ptz. conj., als Nebensatz aufgelöst.</w:t>
      </w:r>
    </w:p>
  </w:footnote>
  <w:footnote w:id="2161">
    <w:p>
      <w:pPr>
        <w:pStyle w:val="Funote"/>
        <w:rPr/>
      </w:pPr>
      <w:r>
        <w:rPr>
          <w:rStyle w:val="Funotenzeichen"/>
        </w:rPr>
        <w:footnoteRef/>
      </w:r>
      <w:r>
        <w:rPr/>
        <w:tab/>
        <w:t>uns gehören W. »unser sein«.</w:t>
      </w:r>
    </w:p>
  </w:footnote>
  <w:footnote w:id="2162">
    <w:p>
      <w:pPr>
        <w:pStyle w:val="Funote"/>
        <w:rPr/>
      </w:pPr>
      <w:r>
        <w:rPr>
          <w:rStyle w:val="Funotenzeichen"/>
        </w:rPr>
        <w:footnoteRef/>
      </w:r>
      <w:r>
        <w:rPr/>
        <w:tab/>
        <w:t>sie packten ihn und Modales Ptz. conj., beigeordnet aufgelöst.</w:t>
      </w:r>
    </w:p>
  </w:footnote>
  <w:footnote w:id="2163">
    <w:p>
      <w:pPr>
        <w:pStyle w:val="Funote"/>
        <w:rPr/>
      </w:pPr>
      <w:r>
        <w:rPr>
          <w:rStyle w:val="Funotenzeichen"/>
        </w:rPr>
        <w:footnoteRef/>
      </w:r>
      <w:r>
        <w:rPr/>
        <w:tab/>
        <w:t>diese Schriftstelle W. »diese Schrift«, d.h. »den folgenden Abschnitt der Schrift«. Viele Übersetzungen geben das Wort nach LUT mit »Schriftwort« wieder, GNB: »die Stelle in den Heiligen Schriften, wo es heißt«</w:t>
      </w:r>
    </w:p>
  </w:footnote>
  <w:footnote w:id="2164">
    <w:p>
      <w:pPr>
        <w:pStyle w:val="Funote"/>
        <w:rPr/>
      </w:pPr>
      <w:r>
        <w:rPr>
          <w:rStyle w:val="Funotenzeichen"/>
        </w:rPr>
        <w:footnoteRef/>
      </w:r>
      <w:r>
        <w:rPr/>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2165">
    <w:p>
      <w:pPr>
        <w:pStyle w:val="Funote"/>
        <w:rPr/>
      </w:pPr>
      <w:r>
        <w:rPr>
          <w:rStyle w:val="Funotenzeichen"/>
        </w:rPr>
        <w:footnoteRef/>
      </w:r>
      <w:r>
        <w:rPr/>
        <w:tab/>
        <w:t>[Der] Stein, … , der ist zum Eckstein geworden Die Konstruktion legt Gewicht auf den angesprochenen Gegensatz. Man könnte auch formulieren: »Gerade [der] Stein … ist geworden«. W. »[der] Stein … dieser ist geworden.«</w:t>
      </w:r>
    </w:p>
  </w:footnote>
  <w:footnote w:id="2166">
    <w:p>
      <w:pPr>
        <w:pStyle w:val="Funote"/>
        <w:rPr/>
      </w:pPr>
      <w:r>
        <w:rPr>
          <w:rStyle w:val="Funotenzeichen"/>
        </w:rPr>
        <w:footnoteRef/>
      </w:r>
      <w:r>
        <w:rPr/>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2167">
    <w:p>
      <w:pPr>
        <w:pStyle w:val="Funote"/>
        <w:rPr/>
      </w:pPr>
      <w:r>
        <w:rPr>
          <w:rStyle w:val="Funotenzeichen"/>
        </w:rPr>
        <w:footnoteRef/>
      </w:r>
      <w:r>
        <w:rPr/>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2168">
    <w:p>
      <w:pPr>
        <w:pStyle w:val="Funote"/>
        <w:rPr/>
      </w:pPr>
      <w:r>
        <w:rPr>
          <w:rStyle w:val="Funotenzeichen"/>
        </w:rPr>
        <w:footnoteRef/>
      </w:r>
      <w:r>
        <w:rPr/>
        <w:tab/>
        <w:t xml:space="preserve">Da wollten sie ihn gerne bzw. suchten sie [nach einer Möglichkeit], auch als inchoatives Imperfekt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2169">
    <w:p>
      <w:pPr>
        <w:pStyle w:val="Funote"/>
        <w:rPr/>
      </w:pPr>
      <w:r>
        <w:rPr>
          <w:rStyle w:val="Funotenzeichen"/>
        </w:rPr>
        <w:footnoteRef/>
      </w:r>
      <w:r>
        <w:rPr/>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2170">
    <w:p>
      <w:pPr>
        <w:pStyle w:val="Funote"/>
        <w:rPr/>
      </w:pPr>
      <w:r>
        <w:rPr>
          <w:rStyle w:val="Funotenzeichen"/>
        </w:rPr>
        <w:footnoteRef/>
      </w:r>
      <w:r>
        <w:rPr/>
        <w:tab/>
        <w:t>gegen sie gesprochen hatte Etwas freier formuliert, würde man in heutigem Deutsch sagen: „dass sie mit dem Gleichnis gemeint waren“ (vgl. NGÜ, EÜ). MEN: „gegen sie gerichtet hatte“, GNB: „dass das Gleichnis auf sie gemünzt war “.</w:t>
      </w:r>
    </w:p>
  </w:footnote>
  <w:footnote w:id="2171">
    <w:p>
      <w:pPr>
        <w:pStyle w:val="Funote"/>
        <w:rPr/>
      </w:pPr>
      <w:r>
        <w:rPr>
          <w:rStyle w:val="Funotenzeichen"/>
        </w:rPr>
        <w:footnoteRef/>
      </w:r>
      <w:r>
        <w:rPr/>
        <w:tab/>
        <w:t xml:space="preserve">Die Anhänger des Herodes Antipas waren zwar politisch an sich nicht mit den Pharisäern gleicher Meinung, taten sich hier aber gegen den äußeren Feind zusammen. (Hans F. Bayer, Das Evangelium des Markus, S. 421) [in] einer Äußerung oder [mit] einer Frage W. etwa „[durch/anhand] eine Aussage/Wort“, wobei Markus nicht auflöst, ob </w:t>
      </w:r>
      <w:r>
        <w:rPr>
          <w:lang w:val="el-GR"/>
        </w:rPr>
        <w:t>λόγος</w:t>
      </w:r>
      <w:r>
        <w:rPr/>
        <w:t xml:space="preserve"> „Wort/Aussage“ sich auf die Fangfrage oder auf die erhoffte unbedachte Äußerung bezieht. Die Präposition (hier in eckigen Klammern) ist im Deutschen zu ergänzen, im Griechischen übernimmt der instrumentale Dativ deren Funktion (vgl. NSS).</w:t>
      </w:r>
    </w:p>
  </w:footnote>
  <w:footnote w:id="2172">
    <w:p>
      <w:pPr>
        <w:pStyle w:val="Funote"/>
        <w:rPr/>
      </w:pPr>
      <w:r>
        <w:rPr>
          <w:rStyle w:val="Funotenzeichen"/>
        </w:rPr>
        <w:footnoteRef/>
      </w:r>
      <w:r>
        <w:rPr/>
        <w:tab/>
        <w:t>als sie ankamen Temporal-modales Ptz. conj., mit temporalem Nebensatz übersetzt.</w:t>
      </w:r>
    </w:p>
  </w:footnote>
  <w:footnote w:id="2173">
    <w:p>
      <w:pPr>
        <w:pStyle w:val="Funote"/>
        <w:rPr/>
      </w:pPr>
      <w:r>
        <w:rPr>
          <w:rStyle w:val="Funotenzeichen"/>
        </w:rPr>
        <w:footnoteRef/>
      </w:r>
      <w:r>
        <w:rPr/>
        <w:tab/>
        <w:t>auf niemanden besondere Rücksicht nimmst Gemeint ist, dass sich Jesus weder von den Meinungen anderer beeinflussen lässt noch auf menschliche Zustimmung aus ist. Übersetzungen wie »Du kümmerst dich um niemanden« (ELB) oder, ähnlich OfBi, »Du nimmst auf niemanden Rücksicht« (EÜ, MEN) sind insofern irreführend. Die doppelte Verneinung (W. »nimmst nicht auf niemanden...«) gibt der Verneinung besondere Ausdruckskraft (NSS), lässt sich aber nicht direkt übersetzen.</w:t>
      </w:r>
    </w:p>
  </w:footnote>
  <w:footnote w:id="2174">
    <w:p>
      <w:pPr>
        <w:pStyle w:val="Funote"/>
        <w:rPr/>
      </w:pPr>
      <w:r>
        <w:rPr>
          <w:rStyle w:val="Funotenzeichen"/>
        </w:rPr>
        <w:footnoteRef/>
      </w:r>
      <w:r>
        <w:rPr/>
        <w:tab/>
        <w:t>das Äußere W. »das Gesicht« (Hebraismus). Bezeichnet hier als Metonymie (Konkretes für Abstraktes) die Person, insbesondere Ansehen und Stellung, so ähnlich wie in der deutschen Wendung »das Gesicht wahren«. Die Tugend der Unparteilichkeit war schon im Gesetz angemahnt (Lev 19,15). Ähnliche Wendungen in Gal 2,6; Jud 16 (vgl. France 2002, 467f.).</w:t>
      </w:r>
    </w:p>
  </w:footnote>
  <w:footnote w:id="2175">
    <w:p>
      <w:pPr>
        <w:pStyle w:val="Funote"/>
        <w:rPr/>
      </w:pPr>
      <w:r>
        <w:rPr>
          <w:rStyle w:val="Funotenzeichen"/>
        </w:rPr>
        <w:footnoteRef/>
      </w:r>
      <w:r>
        <w:rPr/>
        <w:tab/>
        <w:t>wirklich W. »in Wahrheit«. Die wörtliche Übersetzung hätte auf Deutsch jedoch nicht die gleiche Bedeutung. Es ist als Beteuerung zu verstehen wie »wahrlich, amen«, das Jesus häufig benutzt (TLNT I, 2; LN 70.4). Am besten daher wirklich (EÜ, NEÜ). NLB: »was du sagst, ist wahr«, LUT: »recht«, NGÜ: »lässt du dich allein von der Wahrheit leiten«.</w:t>
      </w:r>
    </w:p>
  </w:footnote>
  <w:footnote w:id="2176">
    <w:p>
      <w:pPr>
        <w:pStyle w:val="Funote"/>
        <w:rPr/>
      </w:pPr>
      <w:r>
        <w:rPr>
          <w:rStyle w:val="Funotenzeichen"/>
        </w:rPr>
        <w:footnoteRef/>
      </w:r>
      <w:r>
        <w:rPr/>
        <w:tab/>
        <w:t>Weg Gottes bezeichnet Gottes Willen für das menschliche Leben (vgl. France 2002, 468; NSS). Die gleiche Wendung findet sich in Apg 18,26 sowie Bar 3,13. Vgl. Apg 16,17; 18,25, aber auch Joh 14,6.</w:t>
      </w:r>
    </w:p>
  </w:footnote>
  <w:footnote w:id="2177">
    <w:p>
      <w:pPr>
        <w:pStyle w:val="Funote"/>
        <w:rPr/>
      </w:pPr>
      <w:r>
        <w:rPr>
          <w:rStyle w:val="Funotenzeichen"/>
        </w:rPr>
        <w:footnoteRef/>
      </w:r>
      <w:r>
        <w:rPr/>
        <w:tab/>
        <w:t>Darf man Oder »Ist es richtig« (NGÜ, NLB, NEÜ). Dem Kontext gemäß könnte man auch übersetzen: »Ist es nach Gottes Gesetz erlaubt« (GNB, viele engl. Übers.; Bratcher 1993, 372) oder »ist es Gottes Wille« (NSS, HfA). Diese Wendung hat im Markusevangelium jedes Mal wenigstens implizit mit dem Gesetz oder jüdischen Vorschriften zu tun (Mk 2,24.26; 3,4; 6,18; 10,2).</w:t>
      </w:r>
    </w:p>
  </w:footnote>
  <w:footnote w:id="2178">
    <w:p>
      <w:pPr>
        <w:pStyle w:val="Funote"/>
        <w:rPr/>
      </w:pPr>
      <w:r>
        <w:rPr>
          <w:rStyle w:val="Funotenzeichen"/>
        </w:rPr>
        <w:footnoteRef/>
      </w:r>
      <w:r>
        <w:rPr/>
        <w:tab/>
        <w:t>Steuer Eine Pauschalabgabe, die jede Person im römischen Herrschaftsgebiet als Kopf- und Eigentumssteuer entrichten musste. Als Galiläer war Jesus nicht betroffen. Anders als Judäa stand Galiläa nicht unter direkter römischer Verwaltung (France 2002, 465).</w:t>
      </w:r>
    </w:p>
  </w:footnote>
  <w:footnote w:id="2179">
    <w:p>
      <w:pPr>
        <w:pStyle w:val="Funote"/>
        <w:rPr/>
      </w:pPr>
      <w:r>
        <w:rPr>
          <w:rStyle w:val="Funotenzeichen"/>
        </w:rPr>
        <w:footnoteRef/>
      </w:r>
      <w:r>
        <w:rPr/>
        <w:tab/>
        <w:t>er erkannte … und Temporal-modales Ptz. conj., mit „und“-Kombination aufgelöst. Auch die kausale Sinnrichtung wäre denkbar.</w:t>
      </w:r>
    </w:p>
  </w:footnote>
  <w:footnote w:id="2180">
    <w:p>
      <w:pPr>
        <w:pStyle w:val="Funote"/>
        <w:rPr/>
      </w:pPr>
      <w:r>
        <w:rPr>
          <w:rStyle w:val="Funotenzeichen"/>
        </w:rPr>
        <w:footnoteRef/>
      </w:r>
      <w:r>
        <w:rPr/>
        <w:tab/>
        <w:t>Warum stellt ihr mir eine Falle? Die Pharisäer haben sich schon zweimal vorher an Fangfragen versucht (Mk 8,11; 10,2; vgl. Joh 8,6). Jetzt spricht Jesus den Vorwurf zum ersten Mal aus. Vorher benutzte nur Markus den Begriff.</w:t>
      </w:r>
    </w:p>
  </w:footnote>
  <w:footnote w:id="2181">
    <w:p>
      <w:pPr>
        <w:pStyle w:val="Funote"/>
        <w:rPr/>
      </w:pPr>
      <w:r>
        <w:rPr>
          <w:rStyle w:val="Funotenzeichen"/>
        </w:rPr>
        <w:footnoteRef/>
      </w:r>
      <w:r>
        <w:rPr/>
        <w:tab/>
        <w:t>Bringt mir einen Denar Eine römische Silbermünze. Nach Mt 20,2 konnte ein Denar Lohn für die Arbeit eines Tages sein. Auf den Denaren, die hier im Mittelpunkt stehen und in denen die Kopfsteuer zu entrichten war, wurde der Kaiser als »Sohn des göttlichen Augustus« und »Hoher Priester« bezeichnet. Für die Juden wäre das eine Provokation gewesen. Das war zu dieser Zeit Tiberius (France 2002, 466.68). Bringt ist wörtlich übersetzt. Das Verb deutet vielleicht darauf hin, dass keiner der Anwesenden eine so wertvolle Münze einfach aus der Tasche ziehen konnte. Ansonsten hätte man das Verb »geben« erwarten können.</w:t>
      </w:r>
    </w:p>
  </w:footnote>
  <w:footnote w:id="2182">
    <w:p>
      <w:pPr>
        <w:pStyle w:val="Funote"/>
        <w:rPr/>
      </w:pPr>
      <w:r>
        <w:rPr>
          <w:rStyle w:val="Funotenzeichen"/>
        </w:rPr>
        <w:footnoteRef/>
      </w:r>
      <w:r>
        <w:rPr/>
        <w:tab/>
        <w:t>Was [dem] Kaiser (Cäsar) gehört... Oder »Des Kaisers [Eigentum] gebt [dem] Kaiser«. W. etwa »was des Kaisers [ist], gebt...«. Ebenso bei was Gott gehört...</w:t>
      </w:r>
    </w:p>
  </w:footnote>
  <w:footnote w:id="2183">
    <w:p>
      <w:pPr>
        <w:pStyle w:val="Funote"/>
        <w:rPr/>
      </w:pPr>
      <w:r>
        <w:rPr>
          <w:rStyle w:val="Funotenzeichen"/>
        </w:rPr>
        <w:footnoteRef/>
      </w:r>
      <w:r>
        <w:rPr/>
        <w:tab/>
        <w:t>waren sie sehr erstaunt Die Gute Nachricht trifft den Sinn am besten: „Solch eine Antwort hatten sie nicht von ihm erwartet.“</w:t>
      </w:r>
    </w:p>
  </w:footnote>
  <w:footnote w:id="2184">
    <w:p>
      <w:pPr>
        <w:pStyle w:val="Funote"/>
        <w:rPr/>
      </w:pPr>
      <w:r>
        <w:rPr>
          <w:rStyle w:val="Funotenzeichen"/>
        </w:rPr>
        <w:footnoteRef/>
      </w:r>
      <w:r>
        <w:rPr/>
        <w:tab/>
        <w:t>geschrieben gemeint ist in der Torah als Gesetz aufgeschrieben</w:t>
      </w:r>
    </w:p>
  </w:footnote>
  <w:footnote w:id="2185">
    <w:p>
      <w:pPr>
        <w:pStyle w:val="Funote"/>
        <w:rPr/>
      </w:pPr>
      <w:r>
        <w:rPr>
          <w:rStyle w:val="Funotenzeichen"/>
        </w:rPr>
        <w:footnoteRef/>
      </w:r>
      <w:r>
        <w:rPr/>
        <w:tab/>
        <w:t>und eine Frau zurücklässt ist eine Ergänzung des Markus zu diesem Zitat aus dem Dtn.</w:t>
      </w:r>
    </w:p>
  </w:footnote>
  <w:footnote w:id="2186">
    <w:p>
      <w:pPr>
        <w:pStyle w:val="Funote"/>
        <w:rPr/>
      </w:pPr>
      <w:r>
        <w:rPr>
          <w:rStyle w:val="Funotenzeichen"/>
        </w:rPr>
        <w:footnoteRef/>
      </w:r>
      <w:r>
        <w:rPr/>
        <w:tab/>
        <w:t>Der zweite Teil des Zitats stammt aus Gen</w:t>
      </w:r>
    </w:p>
  </w:footnote>
  <w:footnote w:id="2187">
    <w:p>
      <w:pPr>
        <w:pStyle w:val="Funote"/>
        <w:rPr/>
      </w:pPr>
      <w:r>
        <w:rPr>
          <w:rStyle w:val="Funotenzeichen"/>
        </w:rPr>
        <w:footnoteRef/>
      </w:r>
      <w:r>
        <w:rPr/>
        <w:tab/>
        <w:t>Textkritik:»Wenn sie auferstehen« fehlt in vielen Handschriften - Der schwierigren (doppelten) Lesart wird der Vorzug gegeben, weil es wahrscheinicher scheint, dass eine solche von den Schreibern gestrichen wurde, als dass sie ergänzt wurde (siehe TCNT, S.93)</w:t>
      </w:r>
    </w:p>
  </w:footnote>
  <w:footnote w:id="2188">
    <w:p>
      <w:pPr>
        <w:pStyle w:val="Funote"/>
        <w:rPr/>
      </w:pPr>
      <w:r>
        <w:rPr>
          <w:rStyle w:val="Funotenzeichen"/>
        </w:rPr>
        <w:footnoteRef/>
      </w:r>
      <w:r>
        <w:rPr/>
        <w:tab/>
        <w:t>Abrahams, Isaaks und Jakobs - Die Erzväter galten als bei Gott lebend (Dschulnigg 2007, 320) und dienen Jesus so gleichzeitig als Beleg aus der Schrift für die Auferstehung.</w:t>
      </w:r>
    </w:p>
  </w:footnote>
  <w:footnote w:id="2189">
    <w:p>
      <w:pPr>
        <w:pStyle w:val="Funote"/>
        <w:rPr/>
      </w:pPr>
      <w:r>
        <w:rPr>
          <w:rStyle w:val="Funotenzeichen"/>
        </w:rPr>
        <w:footnoteRef/>
      </w:r>
      <w:r>
        <w:rPr/>
        <w:tab/>
        <w:t xml:space="preserve">gr. </w:t>
      </w:r>
      <w:r>
        <w:rPr>
          <w:lang w:val="el-GR"/>
        </w:rPr>
        <w:t>συνέσεως</w:t>
      </w:r>
    </w:p>
  </w:footnote>
  <w:footnote w:id="2190">
    <w:p>
      <w:pPr>
        <w:pStyle w:val="Funote"/>
        <w:rPr/>
      </w:pPr>
      <w:r>
        <w:rPr>
          <w:rStyle w:val="Funotenzeichen"/>
        </w:rPr>
        <w:footnoteRef/>
      </w:r>
      <w:r>
        <w:rPr/>
        <w:tab/>
        <w:t>Ps 110,1</w:t>
      </w:r>
    </w:p>
  </w:footnote>
  <w:footnote w:id="2191">
    <w:p>
      <w:pPr>
        <w:pStyle w:val="Funote"/>
        <w:rPr/>
      </w:pPr>
      <w:r>
        <w:rPr>
          <w:rStyle w:val="Funotenzeichen"/>
        </w:rPr>
        <w:footnoteRef/>
      </w:r>
      <w:r>
        <w:rPr/>
        <w:tab/>
        <w:t>Amen, ich sage euch -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Sehr sinnvoll übersetzt daher Zink: »Was ich sage, ist wahr: ...«</w:t>
      </w:r>
    </w:p>
  </w:footnote>
  <w:footnote w:id="2192">
    <w:p>
      <w:pPr>
        <w:pStyle w:val="Funote"/>
        <w:rPr/>
      </w:pPr>
      <w:r>
        <w:rPr>
          <w:rStyle w:val="Funotenzeichen"/>
        </w:rPr>
        <w:footnoteRef/>
      </w:r>
      <w:r>
        <w:rPr/>
        <w:tab/>
        <w:t>ihr ganzes Leben (ihren ganzen Lebensunterhalt) - bios, das gr. Wort für „Leben“, hat oft die Bedeutung „Lebensunterhalt“; eine Üs. mit „Leben“ wäre daher nicht einmal überwörtlich, sondern falsch. Dennoch muss „Leben“ hier mindestens mitgehört werden: Die Witwe gibt ihren ganzen Lebensunterhalt und damit auch ihr ganzes Leben für Gott hin.</w:t>
      </w:r>
    </w:p>
  </w:footnote>
  <w:footnote w:id="2193">
    <w:p>
      <w:pPr>
        <w:pStyle w:val="Funote"/>
        <w:rPr/>
      </w:pPr>
      <w:r>
        <w:rPr>
          <w:rStyle w:val="Funotenzeichen"/>
        </w:rPr>
        <w:footnoteRef/>
      </w:r>
      <w:r>
        <w:rPr/>
        <w:tab/>
        <w:t>[Status: Zuverlässig]</w:t>
      </w:r>
    </w:p>
  </w:footnote>
  <w:footnote w:id="2194">
    <w:p>
      <w:pPr>
        <w:pStyle w:val="Funote"/>
        <w:rPr/>
      </w:pPr>
      <w:r>
        <w:rPr>
          <w:rStyle w:val="Funotenzeichen"/>
        </w:rPr>
        <w:footnoteRef/>
      </w:r>
      <w:r>
        <w:rPr/>
        <w:tab/>
        <w:t xml:space="preserve">und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2195">
    <w:p>
      <w:pPr>
        <w:pStyle w:val="Funote"/>
        <w:rPr/>
      </w:pPr>
      <w:r>
        <w:rPr>
          <w:rStyle w:val="Funotenzeichen"/>
        </w:rPr>
        <w:footnoteRef/>
      </w:r>
      <w:r>
        <w:rPr/>
        <w:tab/>
        <w:t xml:space="preserve">als er hinausging - Da das Präsens </w:t>
      </w:r>
      <w:r>
        <w:rPr>
          <w:lang w:val="el-GR"/>
        </w:rPr>
        <w:t>λέγει</w:t>
      </w:r>
      <w:r>
        <w:rPr/>
        <w:t xml:space="preserve"> er sagt(e), zu dem der temporale Genitivus absolutus </w:t>
      </w:r>
      <w:r>
        <w:rPr>
          <w:lang w:val="el-GR"/>
        </w:rPr>
        <w:t>ἐκπορευομένου</w:t>
      </w:r>
      <w:r>
        <w:rPr/>
        <w:t xml:space="preserve"> als er hinausgeht/hinausging in gleichzeitiger Relation steht, historisches Präsens ist (s. nächste Fußnote), ist die präsentische Wiedergabe überwörtlich und sollte vermieden werden.</w:t>
      </w:r>
    </w:p>
  </w:footnote>
  <w:footnote w:id="2196">
    <w:p>
      <w:pPr>
        <w:pStyle w:val="Funote"/>
        <w:rPr/>
      </w:pPr>
      <w:r>
        <w:rPr>
          <w:rStyle w:val="Funotenzeichen"/>
        </w:rPr>
        <w:footnoteRef/>
      </w:r>
      <w:r>
        <w:rPr/>
        <w:tab/>
        <w:t>sagte - Historisches Präsens, vgl. Kmiecik 1997, S. 36; Mateos 1987, S. 81</w:t>
      </w:r>
    </w:p>
  </w:footnote>
  <w:footnote w:id="2197">
    <w:p>
      <w:pPr>
        <w:pStyle w:val="Funote"/>
        <w:rPr/>
      </w:pPr>
      <w:r>
        <w:rPr>
          <w:rStyle w:val="Funotenzeichen"/>
        </w:rPr>
        <w:footnoteRef/>
      </w:r>
      <w:r>
        <w:rPr/>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2198">
    <w:p>
      <w:pPr>
        <w:pStyle w:val="Funote"/>
        <w:rPr/>
      </w:pPr>
      <w:r>
        <w:rPr>
          <w:rStyle w:val="Funotenzeichen"/>
        </w:rPr>
        <w:footnoteRef/>
      </w:r>
      <w:r>
        <w:rPr/>
        <w:tab/>
        <w:t xml:space="preserve">Sieh nur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2199">
    <w:p>
      <w:pPr>
        <w:pStyle w:val="Funote"/>
        <w:rPr/>
      </w:pPr>
      <w:r>
        <w:rPr>
          <w:rStyle w:val="Funotenzeichen"/>
        </w:rPr>
        <w:footnoteRef/>
      </w:r>
      <w:r>
        <w:rPr/>
        <w:tab/>
        <w:t>Der Tempel war Teil einer größeren Tempelanlage (für ein Modell vgl. z.B. Reidinger 2004, S. 13; daher Plural.</w:t>
      </w:r>
    </w:p>
  </w:footnote>
  <w:footnote w:id="2200">
    <w:p>
      <w:pPr>
        <w:pStyle w:val="Funote"/>
        <w:rPr/>
      </w:pPr>
      <w:r>
        <w:rPr>
          <w:rStyle w:val="Funotenzeichen"/>
        </w:rPr>
        <w:footnoteRef/>
      </w:r>
      <w:r>
        <w:rPr>
          <w:lang w:val="el-GR"/>
        </w:rPr>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2201">
    <w:p>
      <w:pPr>
        <w:pStyle w:val="Funote"/>
        <w:rPr/>
      </w:pPr>
      <w:r>
        <w:rPr>
          <w:rStyle w:val="Funotenzeichen"/>
        </w:rPr>
        <w:footnoteRef/>
      </w:r>
      <w:r>
        <w:rPr>
          <w:lang w:val="el-GR"/>
        </w:rPr>
        <w:tab/>
        <w:t>οὐ μὴ</w:t>
      </w:r>
      <w:r>
        <w:rPr/>
        <w:t xml:space="preserve"> (sicher) nicht ist eine besonders starke Verneinung, sie dient hier aber nur der Intensivierung, um Jesu Äußerung sprachlich zu markieren als (sichere) Prophezeiung. Das Deutsche verwendet hierfür andere Konstruktionen.</w:t>
      </w:r>
    </w:p>
  </w:footnote>
  <w:footnote w:id="2202">
    <w:p>
      <w:pPr>
        <w:pStyle w:val="Funote"/>
        <w:rPr/>
      </w:pPr>
      <w:r>
        <w:rPr>
          <w:rStyle w:val="Funotenzeichen"/>
        </w:rPr>
        <w:footnoteRef/>
      </w:r>
      <w:r>
        <w:rPr/>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2203">
    <w:p>
      <w:pPr>
        <w:pStyle w:val="Funote"/>
        <w:rPr/>
      </w:pPr>
      <w:r>
        <w:rPr>
          <w:rStyle w:val="Funotenzeichen"/>
        </w:rPr>
        <w:footnoteRef/>
      </w:r>
      <w:r>
        <w:rPr/>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2204">
    <w:p>
      <w:pPr>
        <w:pStyle w:val="Funote"/>
        <w:rPr/>
      </w:pPr>
      <w:r>
        <w:rPr>
          <w:rStyle w:val="Funotenzeichen"/>
        </w:rPr>
        <w:footnoteRef/>
      </w:r>
      <w:r>
        <w:rPr/>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2205">
    <w:p>
      <w:pPr>
        <w:pStyle w:val="Funote"/>
        <w:rPr/>
      </w:pPr>
      <w:r>
        <w:rPr>
          <w:rStyle w:val="Funotenzeichen"/>
        </w:rPr>
        <w:footnoteRef/>
      </w:r>
      <w:r>
        <w:rPr/>
        <w:tab/>
        <w:t xml:space="preserve">Die Redeeinleitung </w:t>
      </w:r>
      <w:r>
        <w:rPr>
          <w:lang w:val="el-GR"/>
        </w:rPr>
        <w:t>Εἰπὸν ἡμῖν</w:t>
      </w:r>
      <w:r>
        <w:rPr/>
        <w:t xml:space="preserve"> sage uns dient im NT häufiger nur als Bitte um eine Antwort (z.B. Mt 22,17; Lk 20,2; 22,67 u.ö.); im Deutschen entspricht dem funktional eher eine uneingeleitete Frage.</w:t>
      </w:r>
    </w:p>
  </w:footnote>
  <w:footnote w:id="2206">
    <w:p>
      <w:pPr>
        <w:pStyle w:val="Funote"/>
        <w:rPr/>
      </w:pPr>
      <w:r>
        <w:rPr>
          <w:rStyle w:val="Funotenzeichen"/>
        </w:rPr>
        <w:footnoteRef/>
      </w:r>
      <w:r>
        <w:rPr/>
        <w:tab/>
        <w:t xml:space="preserve">Die Referenz der Demonstrativpronomen </w:t>
      </w:r>
      <w:r>
        <w:rPr>
          <w:lang w:val="el-GR"/>
        </w:rPr>
        <w:t>ταῦτα</w:t>
      </w:r>
      <w:r>
        <w:rPr/>
        <w:t xml:space="preserve"> dies und </w:t>
      </w:r>
      <w:r>
        <w:rPr>
          <w:lang w:val="el-GR"/>
        </w:rPr>
        <w:t>ταῦτα πάντα</w:t>
      </w:r>
      <w:r>
        <w:rPr/>
        <w:t xml:space="preserve"> all dies sind in der Exegese umstritten; vgl. dazu den Kommentar</w:t>
      </w:r>
    </w:p>
  </w:footnote>
  <w:footnote w:id="2207">
    <w:p>
      <w:pPr>
        <w:pStyle w:val="Funote"/>
        <w:rPr/>
      </w:pPr>
      <w:r>
        <w:rPr>
          <w:rStyle w:val="Funotenzeichen"/>
        </w:rPr>
        <w:footnoteRef/>
      </w:r>
      <w:r>
        <w:rPr>
          <w:lang w:val="el-GR"/>
        </w:rPr>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2208">
    <w:p>
      <w:pPr>
        <w:pStyle w:val="Funote"/>
        <w:rPr/>
      </w:pPr>
      <w:r>
        <w:rPr>
          <w:rStyle w:val="Funotenzeichen"/>
        </w:rPr>
        <w:footnoteRef/>
      </w:r>
      <w:r>
        <w:rPr>
          <w:lang w:val="el-GR"/>
        </w:rPr>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2209">
    <w:p>
      <w:pPr>
        <w:pStyle w:val="Funote"/>
        <w:rPr/>
      </w:pPr>
      <w:r>
        <w:rPr>
          <w:rStyle w:val="Funotenzeichen"/>
        </w:rPr>
        <w:footnoteRef/>
      </w:r>
      <w:r>
        <w:rPr/>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2210">
    <w:p>
      <w:pPr>
        <w:pStyle w:val="Funote"/>
        <w:rPr/>
      </w:pPr>
      <w:r>
        <w:rPr>
          <w:rStyle w:val="Funotenzeichen"/>
        </w:rPr>
        <w:footnoteRef/>
      </w:r>
      <w:r>
        <w:rPr/>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2211">
    <w:p>
      <w:pPr>
        <w:pStyle w:val="Funote"/>
        <w:rPr/>
      </w:pPr>
      <w:r>
        <w:rPr>
          <w:rStyle w:val="Funotenzeichen"/>
        </w:rPr>
        <w:footnoteRef/>
      </w:r>
      <w:r>
        <w:rPr/>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2212">
    <w:p>
      <w:pPr>
        <w:pStyle w:val="Funote"/>
        <w:rPr/>
      </w:pPr>
      <w:r>
        <w:rPr>
          <w:rStyle w:val="Funotenzeichen"/>
        </w:rPr>
        <w:footnoteRef/>
      </w:r>
      <w:r>
        <w:rPr/>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2213">
    <w:p>
      <w:pPr>
        <w:pStyle w:val="Funote"/>
        <w:rPr/>
      </w:pPr>
      <w:r>
        <w:rPr>
          <w:rStyle w:val="Funotenzeichen"/>
        </w:rPr>
        <w:footnoteRef/>
      </w:r>
      <w:r>
        <w:rPr/>
        <w:tab/>
        <w:t xml:space="preserve">Meist: denn erheben wird sich...; besser aber: es wird sich nämlich erheben... - das </w:t>
      </w:r>
      <w:r>
        <w:rPr>
          <w:lang w:val="el-GR"/>
        </w:rPr>
        <w:t>γὰρ</w:t>
      </w:r>
      <w:r>
        <w:rPr/>
        <w:t xml:space="preserve"> denn ist besser als explikatives </w:t>
      </w:r>
      <w:r>
        <w:rPr>
          <w:lang w:val="el-GR"/>
        </w:rPr>
        <w:t>γὰρ</w:t>
      </w:r>
      <w:r>
        <w:rPr/>
        <w:t xml:space="preserve"> nämlich zu interpretieren; vgl. Kommentar.</w:t>
      </w:r>
    </w:p>
  </w:footnote>
  <w:footnote w:id="2214">
    <w:p>
      <w:pPr>
        <w:pStyle w:val="Funote"/>
        <w:rPr/>
      </w:pPr>
      <w:r>
        <w:rPr>
          <w:rStyle w:val="Funotenzeichen"/>
        </w:rPr>
        <w:footnoteRef/>
      </w:r>
      <w:r>
        <w:rPr/>
        <w:tab/>
        <w:t>Anfang der Wehen - apokalyptische Formel, die v.a. in der rabbinischen Literatur gebräuchlich ist. Die (Geburts-)wehen stehen für die Zeit der Not, die vor dem Einbruch der schönen Endzeit ertragen werden müssen (so fast alle Kommentare)</w:t>
      </w:r>
    </w:p>
  </w:footnote>
  <w:footnote w:id="2215">
    <w:p>
      <w:pPr>
        <w:pStyle w:val="Funote"/>
        <w:rPr/>
      </w:pPr>
      <w:r>
        <w:rPr>
          <w:rStyle w:val="Funotenzeichen"/>
        </w:rPr>
        <w:footnoteRef/>
      </w:r>
      <w:r>
        <w:rPr/>
        <w:tab/>
        <w:t>impersonaler Plural; vgl. ad loc. Turner 1924a, S. 382. Pryke 1978, S. 107 hält es hier für ein Passivsubstitut, aber das ist angesichts der direkt folgenden Passivformen nicht sehr wahrscheinlich.</w:t>
      </w:r>
    </w:p>
  </w:footnote>
  <w:footnote w:id="2216">
    <w:p>
      <w:pPr>
        <w:pStyle w:val="Funote"/>
        <w:rPr/>
      </w:pPr>
      <w:r>
        <w:rPr>
          <w:rStyle w:val="Funotenzeichen"/>
        </w:rPr>
        <w:footnoteRef/>
      </w:r>
      <w:r>
        <w:rPr>
          <w:lang w:val="el-GR"/>
        </w:rPr>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2217">
    <w:p>
      <w:pPr>
        <w:pStyle w:val="Funote"/>
        <w:rPr/>
      </w:pPr>
      <w:r>
        <w:rPr>
          <w:rStyle w:val="Funotenzeichen"/>
        </w:rPr>
        <w:footnoteRef/>
      </w:r>
      <w:r>
        <w:rPr/>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2218">
    <w:p>
      <w:pPr>
        <w:pStyle w:val="Funote"/>
        <w:rPr/>
      </w:pPr>
      <w:r>
        <w:rPr>
          <w:rStyle w:val="Funotenzeichen"/>
        </w:rPr>
        <w:footnoteRef/>
      </w:r>
      <w:r>
        <w:rPr>
          <w:lang w:val="el-GR"/>
        </w:rPr>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2219">
    <w:p>
      <w:pPr>
        <w:pStyle w:val="Funote"/>
        <w:rPr/>
      </w:pPr>
      <w:r>
        <w:rPr>
          <w:rStyle w:val="Funotenzeichen"/>
        </w:rPr>
        <w:footnoteRef/>
      </w:r>
      <w:r>
        <w:rPr/>
        <w:tab/>
        <w:t xml:space="preserve">Die Bedeutung dieses Nachsatzes ist etwas unklar. (1) ist nicht klar, ob </w:t>
      </w:r>
      <w:r>
        <w:rPr>
          <w:lang w:val="el-GR"/>
        </w:rPr>
        <w:t>αὐτοῖς</w:t>
      </w:r>
      <w:r>
        <w:rPr/>
        <w:t xml:space="preserve"> ihnen sich auf die Statthalter und Könige bezieht oder auf die Auslieferer, Prügler, Statthalter und Könige, (2) lässt sich aus V. 9 allein nicht erkennen, worauf das ihnen zum Zeugnis sich eigentlich beziehen soll. Die Mehrheitsmeinung bei der Interpretation von V. 10 ist aber, dass er parenthetisch das ihnen zum Zeugnis auslegt und Zeugnis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2220">
    <w:p>
      <w:pPr>
        <w:pStyle w:val="Funote"/>
        <w:rPr/>
      </w:pPr>
      <w:r>
        <w:rPr>
          <w:rStyle w:val="Funotenzeichen"/>
        </w:rPr>
        <w:footnoteRef/>
      </w:r>
      <w:r>
        <w:rPr/>
        <w:tab/>
        <w:t xml:space="preserve">Kausales </w:t>
      </w:r>
      <w:r>
        <w:rPr>
          <w:lang w:val="el-GR"/>
        </w:rPr>
        <w:t>καὶ</w:t>
      </w:r>
      <w:r>
        <w:rPr/>
        <w:t>; vgl. Reiser 1983, S. 127; Wilckens.</w:t>
      </w:r>
    </w:p>
  </w:footnote>
  <w:footnote w:id="2221">
    <w:p>
      <w:pPr>
        <w:pStyle w:val="Funote"/>
        <w:rPr/>
      </w:pPr>
      <w:r>
        <w:rPr>
          <w:rStyle w:val="Funotenzeichen"/>
        </w:rPr>
        <w:footnoteRef/>
      </w:r>
      <w:r>
        <w:rPr/>
        <w:tab/>
        <w:t>recht sicher i.S.v. »vor dem Ende«</w:t>
      </w:r>
    </w:p>
  </w:footnote>
  <w:footnote w:id="2222">
    <w:p>
      <w:pPr>
        <w:pStyle w:val="Funote"/>
        <w:rPr/>
      </w:pPr>
      <w:r>
        <w:rPr>
          <w:rStyle w:val="Funotenzeichen"/>
        </w:rPr>
        <w:footnoteRef/>
      </w:r>
      <w:r>
        <w:rPr>
          <w:lang w:val="el-GR"/>
        </w:rPr>
        <w:tab/>
        <w:t>εἰς</w:t>
      </w:r>
      <w:r>
        <w:rPr/>
        <w:t xml:space="preserve"> wird hier verwendet wie </w:t>
      </w:r>
      <w:r>
        <w:rPr>
          <w:lang w:val="el-GR"/>
        </w:rPr>
        <w:t>ἔν</w:t>
      </w:r>
      <w:r>
        <w:rPr/>
        <w:t>; vgl Cranfield 1959, S. 199; Turner 1924b, S. 20</w:t>
      </w:r>
    </w:p>
  </w:footnote>
  <w:footnote w:id="2223">
    <w:p>
      <w:pPr>
        <w:pStyle w:val="Funote"/>
        <w:rPr/>
      </w:pPr>
      <w:r>
        <w:rPr>
          <w:rStyle w:val="Funotenzeichen"/>
        </w:rPr>
        <w:footnoteRef/>
      </w:r>
      <w:r>
        <w:rPr/>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2224">
    <w:p>
      <w:pPr>
        <w:pStyle w:val="Funote"/>
        <w:rPr/>
      </w:pPr>
      <w:r>
        <w:rPr>
          <w:rStyle w:val="Funotenzeichen"/>
        </w:rPr>
        <w:footnoteRef/>
      </w:r>
      <w:r>
        <w:rPr/>
        <w:tab/>
        <w:t>theologischer Passiv, eigentlich also besser »das, was Gott euch in jener Stunde eingeben wird«. Vgl. Grosvenor/Zerwick 1993, S. 151</w:t>
      </w:r>
    </w:p>
  </w:footnote>
  <w:footnote w:id="2225">
    <w:p>
      <w:pPr>
        <w:pStyle w:val="Funote"/>
        <w:rPr/>
      </w:pPr>
      <w:r>
        <w:rPr>
          <w:rStyle w:val="Funotenzeichen"/>
        </w:rPr>
        <w:footnoteRef/>
      </w:r>
      <w:r>
        <w:rPr/>
        <w:tab/>
        <w:t>wie im Hebräischen dient auch in der Koine Name als Wechselbegriff für den Namensträger, also wegen meinem Namen = wegen mir.</w:t>
      </w:r>
    </w:p>
  </w:footnote>
  <w:footnote w:id="2226">
    <w:p>
      <w:pPr>
        <w:pStyle w:val="Funote"/>
        <w:rPr/>
      </w:pPr>
      <w:r>
        <w:rPr>
          <w:rStyle w:val="Funotenzeichen"/>
        </w:rPr>
        <w:footnoteRef/>
      </w:r>
      <w:r>
        <w:rPr/>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2227">
    <w:p>
      <w:pPr>
        <w:pStyle w:val="Funote"/>
        <w:rPr/>
      </w:pPr>
      <w:r>
        <w:rPr>
          <w:rStyle w:val="Funotenzeichen"/>
        </w:rPr>
        <w:footnoteRef/>
      </w:r>
      <w:r>
        <w:rPr>
          <w:lang w:val="el-GR"/>
        </w:rPr>
        <w:tab/>
        <w:t>ὑπομένω</w:t>
      </w:r>
      <w:r>
        <w:rPr/>
        <w:t xml:space="preserve"> steht nicht nur für ausharren i.S.v. warten, sondern - bes. hier - für das Ertragen und Erdulden von Leiden; vgl. EWNT III, S. 968</w:t>
      </w:r>
    </w:p>
  </w:footnote>
  <w:footnote w:id="2228">
    <w:p>
      <w:pPr>
        <w:pStyle w:val="Funote"/>
        <w:rPr/>
      </w:pPr>
      <w:r>
        <w:rPr>
          <w:rStyle w:val="Funotenzeichen"/>
        </w:rPr>
        <w:footnoteRef/>
      </w:r>
      <w:r>
        <w:rPr/>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2229">
    <w:p>
      <w:pPr>
        <w:pStyle w:val="Funote"/>
        <w:rPr/>
      </w:pPr>
      <w:r>
        <w:rPr>
          <w:rStyle w:val="Funotenzeichen"/>
        </w:rPr>
        <w:footnoteRef/>
      </w:r>
      <w:r>
        <w:rPr/>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2230">
    <w:p>
      <w:pPr>
        <w:pStyle w:val="Funote"/>
        <w:rPr/>
      </w:pPr>
      <w:r>
        <w:rPr>
          <w:rStyle w:val="Funotenzeichen"/>
        </w:rPr>
        <w:footnoteRef/>
      </w:r>
      <w:r>
        <w:rPr/>
        <w:tab/>
        <w:t>Das Motiv der Flucht ins Gebirge ist ein häufigeres Motiv; vgl. z.B. 1Makk 2,28 (s. z.B. Gnilka 1978, S. 195f); umgekehrt kennt man auch das Motiv der Flucht aus dem Umland in die Hauptstadt, vgl. z.B. Jer 4,1ff. (s. z.B. Pesch 1977, S. 292).</w:t>
      </w:r>
    </w:p>
  </w:footnote>
  <w:footnote w:id="2231">
    <w:p>
      <w:pPr>
        <w:pStyle w:val="Funote"/>
        <w:rPr/>
      </w:pPr>
      <w:r>
        <w:rPr>
          <w:rStyle w:val="Funotenzeichen"/>
        </w:rPr>
        <w:footnoteRef/>
      </w:r>
      <w:r>
        <w:rPr/>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2232">
    <w:p>
      <w:pPr>
        <w:pStyle w:val="Funote"/>
        <w:rPr/>
      </w:pPr>
      <w:r>
        <w:rPr>
          <w:rStyle w:val="Funotenzeichen"/>
        </w:rPr>
        <w:footnoteRef/>
      </w:r>
      <w:r>
        <w:rPr/>
        <w:tab/>
        <w:t xml:space="preserve">nicht hinabsteigen, um hineinzugehen vs. weder herabsteigen noch hineingehen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hinuntersteigen, um ins Haus gehen, um sich etwas zu holen«</w:t>
      </w:r>
    </w:p>
  </w:footnote>
  <w:footnote w:id="2233">
    <w:p>
      <w:pPr>
        <w:pStyle w:val="Funote"/>
        <w:rPr/>
      </w:pPr>
      <w:r>
        <w:rPr>
          <w:rStyle w:val="Funotenzeichen"/>
        </w:rPr>
        <w:footnoteRef/>
      </w:r>
      <w:r>
        <w:rPr/>
        <w:tab/>
        <w:t>W. soll sich nicht zurückwenden nach zurück; gemeint ist sicher »nach Hause zurückkehren«.</w:t>
      </w:r>
    </w:p>
  </w:footnote>
  <w:footnote w:id="2234">
    <w:p>
      <w:pPr>
        <w:pStyle w:val="Funote"/>
        <w:rPr/>
      </w:pPr>
      <w:r>
        <w:rPr>
          <w:rStyle w:val="Funotenzeichen"/>
        </w:rPr>
        <w:footnoteRef/>
      </w:r>
      <w:r>
        <w:rPr/>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2235">
    <w:p>
      <w:pPr>
        <w:pStyle w:val="Funote"/>
        <w:rPr/>
      </w:pPr>
      <w:r>
        <w:rPr>
          <w:rStyle w:val="Funotenzeichen"/>
        </w:rPr>
        <w:footnoteRef/>
      </w:r>
      <w:r>
        <w:rPr/>
        <w:tab/>
        <w:t>in jenen Tagen: Stereotype alttestamentliche Phrase, die häufig in eschatologischen Kontexten verwendet wird; s. z.B. Jer 3,16.18; 31,29; 33,15f.; Joel 3,1; Sach 8,23 u.ö.</w:t>
      </w:r>
    </w:p>
  </w:footnote>
  <w:footnote w:id="2236">
    <w:p>
      <w:pPr>
        <w:pStyle w:val="Funote"/>
        <w:rPr/>
      </w:pPr>
      <w:r>
        <w:rPr>
          <w:rStyle w:val="Funotenzeichen"/>
        </w:rPr>
        <w:footnoteRef/>
      </w:r>
      <w:r>
        <w:rPr/>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Darum betet, dass es nicht winters geschieht!</w:t>
      </w:r>
    </w:p>
  </w:footnote>
  <w:footnote w:id="2237">
    <w:p>
      <w:pPr>
        <w:pStyle w:val="Funote"/>
        <w:rPr/>
      </w:pPr>
      <w:r>
        <w:rPr>
          <w:rStyle w:val="Funotenzeichen"/>
        </w:rPr>
        <w:footnoteRef/>
      </w:r>
      <w:r>
        <w:rPr/>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während dem sizilischen Krieg; Mk 13,19 seit Beginn von Gottes Schöpfung; Mk 13,20 um seiner/der von ihm Auserwählten willen.</w:t>
      </w:r>
    </w:p>
  </w:footnote>
  <w:footnote w:id="2238">
    <w:p>
      <w:pPr>
        <w:pStyle w:val="Funote"/>
        <w:rPr/>
      </w:pPr>
      <w:r>
        <w:rPr>
          <w:rStyle w:val="Funotenzeichen"/>
        </w:rPr>
        <w:footnoteRef/>
      </w:r>
      <w:r>
        <w:rPr>
          <w:lang w:val="el-GR"/>
        </w:rPr>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2239">
    <w:p>
      <w:pPr>
        <w:pStyle w:val="Funote"/>
        <w:rPr/>
      </w:pPr>
      <w:r>
        <w:rPr>
          <w:rStyle w:val="Funotenzeichen"/>
        </w:rPr>
        <w:footnoteRef/>
      </w:r>
      <w:r>
        <w:rPr/>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2240">
    <w:p>
      <w:pPr>
        <w:pStyle w:val="Funote"/>
        <w:rPr/>
      </w:pPr>
      <w:r>
        <w:rPr>
          <w:rStyle w:val="Funotenzeichen"/>
        </w:rPr>
        <w:footnoteRef/>
      </w:r>
      <w:r>
        <w:rPr/>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2241">
    <w:p>
      <w:pPr>
        <w:pStyle w:val="Funote"/>
        <w:rPr/>
      </w:pPr>
      <w:r>
        <w:rPr>
          <w:rStyle w:val="Funotenzeichen"/>
        </w:rPr>
        <w:footnoteRef/>
      </w:r>
      <w:r>
        <w:rPr/>
        <w:tab/>
        <w:t xml:space="preserve">Bailey 2009, S. 360 hat die beiden Ausrufe sehr gut analysiert: Fokalisiert ist in beiden jeweils der Lokativ (Hier + dort);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Hier! und dort! auf die verschiedenen Pseudo-christusse verweisen soll; also sinngemäß eher »Dieser hier ist der Christus!« und »jener dort ist der Christus!«. Ich denke aber, dass das auch bei wörtlicher Übersetzung klar herauskommt.</w:t>
      </w:r>
    </w:p>
  </w:footnote>
  <w:footnote w:id="2242">
    <w:p>
      <w:pPr>
        <w:pStyle w:val="Funote"/>
        <w:rPr/>
      </w:pPr>
      <w:r>
        <w:rPr>
          <w:rStyle w:val="Funotenzeichen"/>
        </w:rPr>
        <w:footnoteRef/>
      </w:r>
      <w:r>
        <w:rPr/>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2243">
    <w:p>
      <w:pPr>
        <w:pStyle w:val="Funote"/>
        <w:rPr/>
      </w:pPr>
      <w:r>
        <w:rPr>
          <w:rStyle w:val="Funotenzeichen"/>
        </w:rPr>
        <w:footnoteRef/>
      </w:r>
      <w:r>
        <w:rPr/>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2244">
    <w:p>
      <w:pPr>
        <w:pStyle w:val="Funote"/>
        <w:rPr/>
      </w:pPr>
      <w:r>
        <w:rPr>
          <w:rStyle w:val="Funotenzeichen"/>
        </w:rPr>
        <w:footnoteRef/>
      </w:r>
      <w:r>
        <w:rPr/>
        <w:tab/>
        <w:t xml:space="preserve">Das Verb </w:t>
      </w:r>
      <w:r>
        <w:rPr>
          <w:lang w:val="el-GR"/>
        </w:rPr>
        <w:t>ἀποπλανάω</w:t>
      </w:r>
      <w:r>
        <w:rPr/>
        <w:t xml:space="preserve"> hat hier »die Bedeutung eschatologischer Verführung« (EWNT III, S. 236)</w:t>
      </w:r>
    </w:p>
  </w:footnote>
  <w:footnote w:id="2245">
    <w:p>
      <w:pPr>
        <w:pStyle w:val="Funote"/>
        <w:rPr/>
      </w:pPr>
      <w:r>
        <w:rPr>
          <w:rStyle w:val="Funotenzeichen"/>
        </w:rPr>
        <w:footnoteRef/>
      </w:r>
      <w:r>
        <w:rPr/>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wenn möglich in V. 22 könnte theoretisch auch bedeuten wo/bei wem immer das möglich ist (=ihnen das gelingt);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und so all jene Erwählten verführen, bei denen es ihnen gelingt. Ihr dagegen: Achtet auf euch selbst...« - So aber m.W. niemand und es ist diese Verwendung von </w:t>
      </w:r>
      <w:r>
        <w:rPr>
          <w:lang w:val="el-GR"/>
        </w:rPr>
        <w:t>εἰ</w:t>
      </w:r>
      <w:r>
        <w:rPr/>
        <w:t xml:space="preserve"> auch eher selten, daher können wir getrost bei der angegebenen Standard-übersetzung bleiben.</w:t>
      </w:r>
    </w:p>
  </w:footnote>
  <w:footnote w:id="2246">
    <w:p>
      <w:pPr>
        <w:pStyle w:val="Funote"/>
        <w:rPr/>
      </w:pPr>
      <w:r>
        <w:rPr>
          <w:rStyle w:val="Funotenzeichen"/>
        </w:rPr>
        <w:footnoteRef/>
      </w:r>
      <w:r>
        <w:rPr/>
        <w:tab/>
        <w:t xml:space="preserve">Die Bedeutung von </w:t>
      </w:r>
      <w:r>
        <w:rPr>
          <w:lang w:val="el-GR"/>
        </w:rPr>
        <w:t>πάντα</w:t>
      </w:r>
      <w:r>
        <w:rPr/>
        <w:t xml:space="preserve"> ist in der Exegese umstritten; vgl. dazu den Kommentar.</w:t>
      </w:r>
    </w:p>
  </w:footnote>
  <w:footnote w:id="2247">
    <w:p>
      <w:pPr>
        <w:pStyle w:val="Funote"/>
        <w:rPr/>
      </w:pPr>
      <w:r>
        <w:rPr>
          <w:rStyle w:val="Funotenzeichen"/>
        </w:rPr>
        <w:footnoteRef/>
      </w:r>
      <w:r>
        <w:rPr/>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CH 8,1); heute stellen sie in der Engellehre sozusagen »ganz offiziell« einen der Neun Englischen Chöre: die virtutes, die dafür verantwortlich sind, in Gottes Auftrag Wunder zu wirken. Vermutlich stammt das Bild noch aus der Apokalypse-Schilderung in Jes 34,4.</w:t>
      </w:r>
    </w:p>
  </w:footnote>
  <w:footnote w:id="2248">
    <w:p>
      <w:pPr>
        <w:pStyle w:val="Funote"/>
        <w:rPr/>
      </w:pPr>
      <w:r>
        <w:rPr>
          <w:rStyle w:val="Funotenzeichen"/>
        </w:rPr>
        <w:footnoteRef/>
      </w:r>
      <w:r>
        <w:rPr/>
        <w:tab/>
        <w:t xml:space="preserve">W. werden sie sehen, aber impersonaler Plural (vgl. z.B. Martin 2009, S. 477), daher besser wird man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2249">
    <w:p>
      <w:pPr>
        <w:pStyle w:val="Funote"/>
        <w:rPr/>
      </w:pPr>
      <w:r>
        <w:rPr>
          <w:rStyle w:val="Funotenzeichen"/>
        </w:rPr>
        <w:footnoteRef/>
      </w:r>
      <w:r>
        <w:rPr/>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2250">
    <w:p>
      <w:pPr>
        <w:pStyle w:val="Funote"/>
        <w:rPr/>
      </w:pPr>
      <w:r>
        <w:rPr>
          <w:rStyle w:val="Funotenzeichen"/>
        </w:rPr>
        <w:footnoteRef/>
      </w:r>
      <w:r>
        <w:rPr/>
        <w:tab/>
        <w:t xml:space="preserve">Im Singular (anders als im Plural, V. 25) ist die </w:t>
      </w:r>
      <w:r>
        <w:rPr>
          <w:lang w:val="el-GR"/>
        </w:rPr>
        <w:t>δύναμις</w:t>
      </w:r>
      <w:r>
        <w:rPr/>
        <w:t xml:space="preserve"> ein Attribut Gottes/Christi und bezeichnet deren (All)Macht.</w:t>
      </w:r>
    </w:p>
  </w:footnote>
  <w:footnote w:id="2251">
    <w:p>
      <w:pPr>
        <w:pStyle w:val="Funote"/>
        <w:rPr/>
      </w:pPr>
      <w:r>
        <w:rPr>
          <w:rStyle w:val="Funotenzeichen"/>
        </w:rPr>
        <w:footnoteRef/>
      </w:r>
      <w:r>
        <w:rPr>
          <w:lang w:val="el-GR"/>
        </w:rPr>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2252">
    <w:p>
      <w:pPr>
        <w:pStyle w:val="Funote"/>
        <w:rPr/>
      </w:pPr>
      <w:r>
        <w:rPr>
          <w:rStyle w:val="Funotenzeichen"/>
        </w:rPr>
        <w:footnoteRef/>
      </w:r>
      <w:r>
        <w:rPr/>
        <w:tab/>
        <w:t>Himmelsrichtungen - W. »Winde«; zur Bedeutung »Himmelsrichtungen« vgl. EWNT I, S. 231. Im Hintergrund steht die im Alten Orient häufigere Verortung der (Personifikationen der) vier Winde an die vier Enden der Erde (s. in der Bibel noch Offb 7,1; auch Ez 37,9; für ein Bsp. in der ägyptischen Ikonographie s. z.B. hier oder hier, S. 328; jeweils dargestellt durch vier geflügelte Tiere). Damit und dadurch stehen die Winde gleichzeitig für die Himmelsrichtungen.</w:t>
      </w:r>
    </w:p>
  </w:footnote>
  <w:footnote w:id="2253">
    <w:p>
      <w:pPr>
        <w:pStyle w:val="Funote"/>
        <w:rPr/>
      </w:pPr>
      <w:r>
        <w:rPr>
          <w:rStyle w:val="Funotenzeichen"/>
        </w:rPr>
        <w:footnoteRef/>
      </w:r>
      <w:r>
        <w:rPr/>
        <w:tab/>
        <w:t>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auf die Stadt auf dem Berg statt Ich gehe zur Stadt auf dem Berg und im Falle von Mk 13,27 Er wird die Auserwählten aus den vier Himmelsrichtungen am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2254">
    <w:p>
      <w:pPr>
        <w:pStyle w:val="Funote"/>
        <w:rPr/>
      </w:pPr>
      <w:r>
        <w:rPr>
          <w:rStyle w:val="Funotenzeichen"/>
        </w:rPr>
        <w:footnoteRef/>
      </w:r>
      <w:r>
        <w:rPr/>
        <w:tab/>
        <w:t xml:space="preserve">zu </w:t>
      </w:r>
      <w:r>
        <w:rPr>
          <w:lang w:val="el-GR"/>
        </w:rPr>
        <w:t>Ἀπὸ</w:t>
      </w:r>
      <w:r>
        <w:rPr/>
        <w:t xml:space="preserve"> i.S.v. über vgl. LSJ (Bed. A7)</w:t>
      </w:r>
    </w:p>
  </w:footnote>
  <w:footnote w:id="2255">
    <w:p>
      <w:pPr>
        <w:pStyle w:val="Funote"/>
        <w:rPr/>
      </w:pPr>
      <w:r>
        <w:rPr>
          <w:rStyle w:val="Funotenzeichen"/>
        </w:rPr>
        <w:footnoteRef/>
      </w:r>
      <w:r>
        <w:rPr/>
        <w:tab/>
        <w:t xml:space="preserve">zu </w:t>
      </w:r>
      <w:r>
        <w:rPr>
          <w:lang w:val="el-GR"/>
        </w:rPr>
        <w:t>ὅταν ἤδη</w:t>
      </w:r>
      <w:r>
        <w:rPr/>
        <w:t xml:space="preserve"> i.S.v. sobald vgl. ad loc. Grosvenor/Zerwick.</w:t>
      </w:r>
    </w:p>
  </w:footnote>
  <w:footnote w:id="2256">
    <w:p>
      <w:pPr>
        <w:pStyle w:val="Funote"/>
        <w:rPr/>
      </w:pPr>
      <w:r>
        <w:rPr>
          <w:rStyle w:val="Funotenzeichen"/>
        </w:rPr>
        <w:footnoteRef/>
      </w:r>
      <w:r>
        <w:rPr/>
        <w:tab/>
        <w:t>W. sein Zweig; kollektiver Singular</w:t>
      </w:r>
    </w:p>
  </w:footnote>
  <w:footnote w:id="2257">
    <w:p>
      <w:pPr>
        <w:pStyle w:val="Funote"/>
        <w:rPr/>
      </w:pPr>
      <w:r>
        <w:rPr>
          <w:rStyle w:val="Funotenzeichen"/>
        </w:rPr>
        <w:footnoteRef/>
      </w:r>
      <w:r>
        <w:rPr/>
        <w:tab/>
        <w:t>sicher i.S.v. Wenn der Saft in die Zweige steigt (so z.B. GN, NGÜ). Sehr schön BB: Wenn seine Zweige frisch austreiben und Blätter bekommen.</w:t>
      </w:r>
    </w:p>
  </w:footnote>
  <w:footnote w:id="2258">
    <w:p>
      <w:pPr>
        <w:pStyle w:val="Funote"/>
        <w:rPr/>
      </w:pPr>
      <w:r>
        <w:rPr>
          <w:rStyle w:val="Funotenzeichen"/>
        </w:rPr>
        <w:footnoteRef/>
      </w:r>
      <w:r>
        <w:rPr/>
        <w:tab/>
        <w:t>Zum Gleichnis vgl. den Kommentar</w:t>
      </w:r>
    </w:p>
  </w:footnote>
  <w:footnote w:id="2259">
    <w:p>
      <w:pPr>
        <w:pStyle w:val="Funote"/>
        <w:rPr/>
      </w:pPr>
      <w:r>
        <w:rPr>
          <w:rStyle w:val="Funotenzeichen"/>
        </w:rPr>
        <w:footnoteRef/>
      </w:r>
      <w:r>
        <w:rPr>
          <w:lang w:val="el-GR"/>
        </w:rPr>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2260">
    <w:p>
      <w:pPr>
        <w:pStyle w:val="Funote"/>
        <w:rPr/>
      </w:pPr>
      <w:r>
        <w:rPr>
          <w:rStyle w:val="Funotenzeichen"/>
        </w:rPr>
        <w:footnoteRef/>
      </w:r>
      <w:r>
        <w:rPr/>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2261">
    <w:p>
      <w:pPr>
        <w:pStyle w:val="Funote"/>
        <w:rPr/>
      </w:pPr>
      <w:r>
        <w:rPr>
          <w:rStyle w:val="Funotenzeichen"/>
        </w:rPr>
        <w:footnoteRef/>
      </w:r>
      <w:r>
        <w:rPr/>
        <w:tab/>
        <w:t xml:space="preserve">Die Bedeutung von </w:t>
      </w:r>
      <w:r>
        <w:rPr>
          <w:lang w:val="el-GR"/>
        </w:rPr>
        <w:t>ταῦτα πάντα</w:t>
      </w:r>
      <w:r>
        <w:rPr/>
        <w:t xml:space="preserve"> dies alles ist in der Exegese umstritten; vgl. dazu den Kommentar</w:t>
      </w:r>
    </w:p>
  </w:footnote>
  <w:footnote w:id="2262">
    <w:p>
      <w:pPr>
        <w:pStyle w:val="Funote"/>
        <w:rPr/>
      </w:pPr>
      <w:r>
        <w:rPr>
          <w:rStyle w:val="Funotenzeichen"/>
        </w:rPr>
        <w:footnoteRef/>
      </w:r>
      <w:r>
        <w:rPr/>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2263">
    <w:p>
      <w:pPr>
        <w:pStyle w:val="Funote"/>
        <w:rPr/>
      </w:pPr>
      <w:r>
        <w:rPr>
          <w:rStyle w:val="Funotenzeichen"/>
        </w:rPr>
        <w:footnoteRef/>
      </w:r>
      <w:r>
        <w:rPr/>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2264">
    <w:p>
      <w:pPr>
        <w:pStyle w:val="Funote"/>
        <w:rPr/>
      </w:pPr>
      <w:r>
        <w:rPr>
          <w:rStyle w:val="Funotenzeichen"/>
        </w:rPr>
        <w:footnoteRef/>
      </w:r>
      <w:r>
        <w:rPr/>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2265">
    <w:p>
      <w:pPr>
        <w:pStyle w:val="Funote"/>
        <w:rPr/>
      </w:pPr>
      <w:r>
        <w:rPr>
          <w:rStyle w:val="Funotenzeichen"/>
        </w:rPr>
        <w:footnoteRef/>
      </w:r>
      <w:r>
        <w:rPr/>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2266">
    <w:p>
      <w:pPr>
        <w:pStyle w:val="Funote"/>
        <w:rPr/>
      </w:pPr>
      <w:r>
        <w:rPr>
          <w:rStyle w:val="Funotenzeichen"/>
        </w:rPr>
        <w:footnoteRef/>
      </w:r>
      <w:r>
        <w:rPr/>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2267">
    <w:p>
      <w:pPr>
        <w:pStyle w:val="Funote"/>
        <w:rPr/>
      </w:pPr>
      <w:r>
        <w:rPr>
          <w:rStyle w:val="Funotenzeichen"/>
        </w:rPr>
        <w:footnoteRef/>
      </w:r>
      <w:r>
        <w:rPr/>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2268">
    <w:p>
      <w:pPr>
        <w:pStyle w:val="Funote"/>
        <w:rPr/>
      </w:pPr>
      <w:r>
        <w:rPr>
          <w:rStyle w:val="Funotenzeichen"/>
        </w:rPr>
        <w:footnoteRef/>
      </w:r>
      <w:r>
        <w:rPr/>
        <w:tab/>
        <w:t xml:space="preserve">partikularisierendes </w:t>
      </w:r>
      <w:r>
        <w:rPr>
          <w:lang w:val="el-GR"/>
        </w:rPr>
        <w:t>καὶ</w:t>
      </w:r>
      <w:r>
        <w:rPr/>
        <w:t>: Der Torhüter ist bereits in seinen Knechten inkludiert; nun wird noch einmal gesondert auf den Torhüter Bezug genommen</w:t>
      </w:r>
    </w:p>
  </w:footnote>
  <w:footnote w:id="2269">
    <w:p>
      <w:pPr>
        <w:pStyle w:val="Funote"/>
        <w:rPr/>
      </w:pPr>
      <w:r>
        <w:rPr>
          <w:rStyle w:val="Funotenzeichen"/>
        </w:rPr>
        <w:footnoteRef/>
      </w:r>
      <w:r>
        <w:rPr/>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2270">
    <w:p>
      <w:pPr>
        <w:pStyle w:val="Funote"/>
        <w:rPr/>
      </w:pPr>
      <w:r>
        <w:rPr>
          <w:rStyle w:val="Funotenzeichen"/>
        </w:rPr>
        <w:footnoteRef/>
      </w:r>
      <w:r>
        <w:rPr/>
        <w:tab/>
        <w:t>Der Satz ist spannend, denn er steht sowohl auf der Bildseite als auch auf der Sachseite des Gleichnisses (-&gt;°Gleichnis°) und bezieht sich sowohl auf die Rückkehr des Hausherrn als auch als die eschatologisch zu verstehende (vgl. Fußnote bg) Wiederkunft des Herrn, also des Menschensohnes.</w:t>
      </w:r>
    </w:p>
  </w:footnote>
  <w:footnote w:id="2271">
    <w:p>
      <w:pPr>
        <w:pStyle w:val="Funote"/>
        <w:rPr/>
      </w:pPr>
      <w:r>
        <w:rPr>
          <w:rStyle w:val="Funotenzeichen"/>
        </w:rPr>
        <w:footnoteRef/>
      </w:r>
      <w:r>
        <w:rPr/>
        <w:tab/>
        <w:t>Abend, Mitternacht, Hahnenschrei und Morgengrauen sind die vier Nachtwachenzeiten der Römer (vgl. Thüsing 2011, S. 115); die Zeitangaben passen also ausgesprochen gut zur Aufgabe des Wache-haltens eines Torwächters.</w:t>
      </w:r>
    </w:p>
  </w:footnote>
  <w:footnote w:id="2272">
    <w:p>
      <w:pPr>
        <w:pStyle w:val="Funote"/>
        <w:rPr/>
      </w:pPr>
      <w:r>
        <w:rPr>
          <w:rStyle w:val="Funotenzeichen"/>
        </w:rPr>
        <w:footnoteRef/>
      </w:r>
      <w:r>
        <w:rPr/>
        <w:tab/>
        <w:t>sehr gut GN: »Was ich euch gesagt habe, gilt für alle«.</w:t>
      </w:r>
    </w:p>
  </w:footnote>
  <w:footnote w:id="2273">
    <w:p>
      <w:pPr>
        <w:pStyle w:val="Funote"/>
        <w:rPr/>
      </w:pPr>
      <w:r>
        <w:rPr>
          <w:rStyle w:val="Funotenzeichen"/>
        </w:rPr>
        <w:footnoteRef/>
      </w:r>
      <w:r>
        <w:rPr/>
        <w:tab/>
        <w:t>[Status: Zuverlässig]</w:t>
      </w:r>
    </w:p>
  </w:footnote>
  <w:footnote w:id="2274">
    <w:p>
      <w:pPr>
        <w:pStyle w:val="Funote"/>
        <w:rPr/>
      </w:pPr>
      <w:r>
        <w:rPr>
          <w:rStyle w:val="Funotenzeichen"/>
        </w:rPr>
        <w:footnoteRef/>
      </w:r>
      <w:r>
        <w:rPr/>
        <w:tab/>
        <w:t>Zu den Zeitangaben s. den Exkurs zur Zeitrechnung. Das „Pascha“ war die jährliche jüdische Feier des Auszugs aus Ägypten (vgl. näher Passa (AT) (WiBiLex), zur heutigen Gestalt des Paschafestes gut Böckler 2006: Das Geburtstagsfest des Volkes), das „Fest der ungesäuerten Brote“ ursprünglich ein Frühlingsfest, das direkt an das Paschafest anschloss, eine Woche dauerte und für das charakteristisch war, dass man während dieser Zeit nur Brot ohne Sauerteig (eine Art Hefe) essen durfte (vgl. näher Mazzen / Mazzotfest (WiBiLex).</w:t>
      </w:r>
    </w:p>
  </w:footnote>
  <w:footnote w:id="2275">
    <w:p>
      <w:pPr>
        <w:pStyle w:val="Funote"/>
        <w:rPr/>
      </w:pPr>
      <w:r>
        <w:rPr>
          <w:rStyle w:val="Funotenzeichen"/>
        </w:rPr>
        <w:footnoteRef/>
      </w:r>
      <w:r>
        <w:rPr/>
        <w:tab/>
        <w:t>die Hohepriester und die Schriftgelehrten - „Die Hohepriester“ sind die Priester unter den Mitgliedern des Sanhedrins (=die höchste jüdische Gerichtsinstanz). Die Bezeichnung „die Hohepriester“ fungiert daher im NT oft als Wechselbegriff für den Jerusalemer Sanhedrin selbst; v.a., wenn sie – wie hier – zusammen mit den „Schriftgelehrten“ oder auch den „Ältesten“ oder den „Pharisäern“ genannt werden.</w:t>
      </w:r>
    </w:p>
  </w:footnote>
  <w:footnote w:id="2276">
    <w:p>
      <w:pPr>
        <w:pStyle w:val="Funote"/>
        <w:rPr/>
      </w:pPr>
      <w:r>
        <w:rPr>
          <w:rStyle w:val="Funotenzeichen"/>
        </w:rPr>
        <w:footnoteRef/>
      </w:r>
      <w:r>
        <w:rPr/>
        <w:tab/>
        <w:t>oder: vor den Festgängern – so Jeremias 1960, S. 65-67; dagegen aber z.B. gut Marcus 2009, S. 933.</w:t>
      </w:r>
    </w:p>
  </w:footnote>
  <w:footnote w:id="2277">
    <w:p>
      <w:pPr>
        <w:pStyle w:val="Funote"/>
        <w:rPr/>
      </w:pPr>
      <w:r>
        <w:rPr>
          <w:rStyle w:val="Funotenzeichen"/>
        </w:rPr>
        <w:footnoteRef/>
      </w:r>
      <w:r>
        <w:rPr/>
        <w:tab/>
        <w:t>Da das Pascha-Lamm zu Jesu Zeit nur im Tempel geschlachtet werden und das Pascha-Fest nur in Jerusalem gefeiert werden durfte, war Jerusalem um diese Zeit von gläubigen Juden überfüllt. Es sind einige Tumulte überliefert, die während der Festzeit wegen dieser Pilgermassen ausgebrochen sind; die Sorge der Hohepriester ist also erklärlich.</w:t>
      </w:r>
    </w:p>
  </w:footnote>
  <w:footnote w:id="2278">
    <w:p>
      <w:pPr>
        <w:pStyle w:val="Funote"/>
        <w:rPr/>
      </w:pPr>
      <w:r>
        <w:rPr>
          <w:rStyle w:val="Funotenzeichen"/>
        </w:rPr>
        <w:footnoteRef/>
      </w:r>
      <w:r>
        <w:rPr/>
        <w:tab/>
        <w:t>Simons des Leprakranken - Die Identität dieses Simon ist ungeklärt. Das biblische „Lepra“ meint nicht die selbe Krankheit wie unser heutiges Wort „Lepra“. Ob eine bestimmte andere Krankheit damit gemeint war oder ob der Begriff eine Sammelbezeichnung für verschiedene Hautkrankheiten war, ist ebenfalls noch unklar. Entscheidend ist aber ohnehin nicht, welche Krankheit genau gemeint ist, sondern die Tatsache, dass derartige Hautkrankheiten den Kranken „unrein“ machten und der Aufenthalt Jesu in seinem Haus klar den Normen seiner Zeit widerspricht (vgl. z.B. van Iersel 1998, S. 416; Marcus 2009, S. 933). Jesu Feiern im Haus von Leprösen liegt also auf einer Linie mit seinem Feiern mit Zöllnern und Sündern.</w:t>
      </w:r>
    </w:p>
  </w:footnote>
  <w:footnote w:id="2279">
    <w:p>
      <w:pPr>
        <w:pStyle w:val="Funote"/>
        <w:rPr/>
      </w:pPr>
      <w:r>
        <w:rPr>
          <w:rStyle w:val="Funotenzeichen"/>
        </w:rPr>
        <w:footnoteRef/>
      </w:r>
      <w:r>
        <w:rPr/>
        <w:tab/>
        <w:t>[bei Tisch] lag – in besonders wohlhabenden Haushalten pflegte man zur Zeit Jesu zu speisen, indem man sich um einen niedrigen Tisch herum auf Liegen niederlegte, mit einem Arm abstützte und mit dem anderen aß.</w:t>
      </w:r>
    </w:p>
  </w:footnote>
  <w:footnote w:id="2280">
    <w:p>
      <w:pPr>
        <w:pStyle w:val="Funote"/>
        <w:rPr/>
      </w:pPr>
      <w:r>
        <w:rPr>
          <w:rStyle w:val="Funotenzeichen"/>
        </w:rPr>
        <w:footnoteRef/>
      </w:r>
      <w:r>
        <w:rPr/>
        <w:tab/>
        <w:t>Keiner der drei Synoptiker identifiziert diese Frau. Johannes dagegen berichtet, es sei Maria, die Schwester Marthas, gewesen, verortet aber auch die ganze Szene in das Haus der beiden Schwestern. Ephräm der Syrer war es, der die namenlose Frau im 4. Jh. mit Maria Magdalena und gleichzeitig mit Maria, der Schwester Marthas, gleichgesetzt hat. Papst Gregor I baut das 591 noch weiter aus und identifiziert auch ihre Sünde: Sie ist eine Prostituierte. Für keines von beidem gibt es einen Anhaltspunkt in den biblischen Texten; dennoch ist es diese Vorstellung – die von der Prostituierten Maria Magdalena, die Jesus reuig mit Öl einreibt – die den meisten Christen beim Lesen der Szene so präsent ist, dass die katholische Kirche es 1969 anlässlich einer Kalenderreform für nötig hielt, sie offiziell für falsch zu erklären.</w:t>
      </w:r>
    </w:p>
  </w:footnote>
  <w:footnote w:id="2281">
    <w:p>
      <w:pPr>
        <w:pStyle w:val="Funote"/>
        <w:rPr/>
      </w:pPr>
      <w:r>
        <w:rPr>
          <w:rStyle w:val="Funotenzeichen"/>
        </w:rPr>
        <w:footnoteRef/>
      </w:r>
      <w:r>
        <w:rPr/>
        <w:tab/>
        <w:t>Alabastergefäß voll kostbarem, reinem Nardenparfums - W.: „Ein Alabastergefäß des Parfums der Narde der pistikäs des Werts“; die Reihung von vier Genitiven soll auch stilistisch die exorbitante Kostbarkeit des Parfums zum Ausdruck bringen (France 2002, S. 551).Die Bedeutung von pistikäs ist umstritten. Am verbreitetsten sind die Deutungen, (1) dass „Narde der pistikäs“ der Ausdruck für die Behennuß/Pistazie sei (so schon Lightfoot 1859, S. 446; z.B. auch Black 1967, S. 224; Cranfield 1959, S. 45; Gnilka 1979, S. 221) -&gt; „Pistazienparfum“, und (2), dass das Wort pistikäs von pistis („Treue“) abzuleiten sei (so schon Theophylakt, vgl. Lücking 1993, S. 50; z.B. auch Evans 2001, S. 360; Gundry 2000, S. 812; Spicq 1978b, S. 696) -&gt; „Parfum aus echter Narde / echtes/reines Nardenparfum“. Daneben lassen sich noch viele weitere Deutungen finden; weil eine Lösung der Frage nicht in Aussicht liegt, wählen wir Deutung (2), da sie häufiger in Üss. gewählt wird.</w:t>
      </w:r>
    </w:p>
  </w:footnote>
  <w:footnote w:id="2282">
    <w:p>
      <w:pPr>
        <w:pStyle w:val="Funote"/>
        <w:rPr/>
      </w:pPr>
      <w:r>
        <w:rPr>
          <w:rStyle w:val="Funotenzeichen"/>
        </w:rPr>
        <w:footnoteRef/>
      </w:r>
      <w:r>
        <w:rPr/>
        <w:tab/>
        <w:t>zerbrochen hatte - Häufig liest man in der Exegese, Alabastergefäße wären so hergestellt worden, dass man sie aufbrechen musste, um an den Inhalt zu kommen. Das ist nicht sehr wahrscheinlich; erstens musste der Inhalt ja auch irgendwie in die Gefäße gelangen (so auch France 2002, S. 552); zweitens war Alabaster nicht billig, so dass eine solche Verfertigungsweise recht merkwürdig gewesen wäre, drittens weisen die archäologischen Funde von Alabastergefäßen nicht in die Richtung, dass sie so verfertigt worden wären (so auch Marcus 2009, S. 934; einige Beispiele lassen sich hier betrachten). Vermutlich soll also auch das Zerbrechen nur noch zusätzlich die Verschwendung der Frau unterstreichen: Nicht nur braucht sie die ganze Menge ihres sehr teuren Parfums auf, sondern auch das ebenfalls teure Gefäß macht sie damit unbrauchbar (vgl. Klostermann 1950, S. 142f: „Wenn das Zerbrechen des Flaschenhalses bei der Vewendung nicht einfach das Übliche ist (Billerbeck II 48 f.), so will die Frau in überschwenglicher Verehrung von dem Salböl nichts zurückbehalten, vielleicht auch eine weiter Verwendung des Fläschchens nach diesem Gebrauch unmöglich machen.“).</w:t>
      </w:r>
    </w:p>
  </w:footnote>
  <w:footnote w:id="2283">
    <w:p>
      <w:pPr>
        <w:pStyle w:val="Funote"/>
        <w:rPr/>
      </w:pPr>
      <w:r>
        <w:rPr>
          <w:rStyle w:val="Funotenzeichen"/>
        </w:rPr>
        <w:footnoteRef/>
      </w:r>
      <w:r>
        <w:rPr/>
        <w:tab/>
        <w:t>300 Denare - Mehr als das Jahreseinkommen eines durchschnittlichen Arbeiters. M. Pea 8,8 nennt 200 Denare als jährliches Existenzminimum (vgl. Dschulnigg 2007, S. 357; s. die Üs. bei Open Mishnah); umgerechnet auf heutige Verhältnisse hätte das Parfum also (laut dt. Steuersystem) einen Wert von fast 13.000 €.</w:t>
      </w:r>
    </w:p>
  </w:footnote>
  <w:footnote w:id="2284">
    <w:p>
      <w:pPr>
        <w:pStyle w:val="Funote"/>
        <w:rPr/>
      </w:pPr>
      <w:r>
        <w:rPr>
          <w:rStyle w:val="Funotenzeichen"/>
        </w:rPr>
        <w:footnoteRef/>
      </w:r>
      <w:r>
        <w:rPr/>
        <w:tab/>
        <w:t>Man hätte dieses Parfum verkaufen können - W. „Dieses Salböl konnte verkauft werden.“</w:t>
      </w:r>
    </w:p>
  </w:footnote>
  <w:footnote w:id="2285">
    <w:p>
      <w:pPr>
        <w:pStyle w:val="Funote"/>
        <w:rPr/>
      </w:pPr>
      <w:r>
        <w:rPr>
          <w:rStyle w:val="Funotenzeichen"/>
        </w:rPr>
        <w:footnoteRef/>
      </w:r>
      <w:r>
        <w:rPr/>
        <w:tab/>
        <w:t>Was macht ihr ihr Beschwerden? – Gr. Idiom, die Bed. ist etwa »Was lasst ihr sie nicht in Frieden?« (s. noch Lk 11,7; 18,5; Gal 6,17).</w:t>
      </w:r>
    </w:p>
  </w:footnote>
  <w:footnote w:id="2286">
    <w:p>
      <w:pPr>
        <w:pStyle w:val="Funote"/>
        <w:rPr/>
      </w:pPr>
      <w:r>
        <w:rPr>
          <w:rStyle w:val="Funotenzeichen"/>
        </w:rPr>
        <w:footnoteRef/>
      </w:r>
      <w:r>
        <w:rPr/>
        <w:tab/>
        <w:t>gutes Werk - kalon ergon, wie im Dt. ein Terminus technicus für Wohltätigkeit. Im Judentum wurden auch gute Taten an Toten zu solchen »guten Werken« gerechnet; schon hier wird also auf V. 8 vorausverwiesen (vgl. z.B. Dschulnigg 2007, S. 357).</w:t>
      </w:r>
    </w:p>
  </w:footnote>
  <w:footnote w:id="2287">
    <w:p>
      <w:pPr>
        <w:pStyle w:val="Funote"/>
        <w:rPr/>
      </w:pPr>
      <w:r>
        <w:rPr>
          <w:rStyle w:val="Funotenzeichen"/>
        </w:rPr>
        <w:footnoteRef/>
      </w:r>
      <w:r>
        <w:rPr/>
        <w:tab/>
        <w:t>und - W. »denn«; der Satz ist die Rechtfertigung dafür, warum es in Ordnung ist, etwas Gutes an Jesus zu tun, wenn dies gleichzeitig verhindert, etwas Gutes für die Armen zu tun.</w:t>
      </w:r>
    </w:p>
  </w:footnote>
  <w:footnote w:id="2288">
    <w:p>
      <w:pPr>
        <w:pStyle w:val="Funote"/>
        <w:rPr/>
      </w:pPr>
      <w:r>
        <w:rPr>
          <w:rStyle w:val="Funotenzeichen"/>
        </w:rPr>
        <w:footnoteRef/>
      </w:r>
      <w:r>
        <w:rPr/>
        <w:tab/>
        <w:t>Textkritik: (immer) - so viele Handschriften. Ob dies dritte immer aus stilistischen Gründen zum Urtext hinzugefügt wurde (=&gt; Symmetrie) oder aus dem Urtext gestrichen wurde (=&gt; redundante Wortwdh.), lässt sich nicht entscheiden. Die überwältigende Mehrheit übersetzt es nicht. Sinnvoll wäre es im Kontext allemal: Das Entscheidende an dieser Aussage Jesu ist, dass der aktuelle Zeitpunkt eine absolute Ausnahmesituation ist (s. Anmerkungen).</w:t>
      </w:r>
    </w:p>
  </w:footnote>
  <w:footnote w:id="2289">
    <w:p>
      <w:pPr>
        <w:pStyle w:val="Funote"/>
        <w:rPr/>
      </w:pPr>
      <w:r>
        <w:rPr>
          <w:rStyle w:val="Funotenzeichen"/>
        </w:rPr>
        <w:footnoteRef/>
      </w:r>
      <w:r>
        <w:rPr/>
        <w:tab/>
        <w:t>konnte (hatte) - W. »Was sie hatte«, hier (wie auch sonst manchmal) i.S.v. »vermögen, können«. Mit dieser Wortwahl soll vermutlich angespielt werden auf Jesu Aussage über das letzte Scherflein der Witwe in Mk 12,44: Mk 13 – die Markus-apokalypse – wird gerahmt von zwei Erzählungen von Frauen, die paradigmatisch für den richtigen Gebrauch von Geld (am Ende der Zeit) sind (vgl. z.B. van Iersel 1998, S. 417; Marcus 2009, S. 941).</w:t>
      </w:r>
    </w:p>
  </w:footnote>
  <w:footnote w:id="2290">
    <w:p>
      <w:pPr>
        <w:pStyle w:val="Funote"/>
        <w:rPr/>
      </w:pPr>
      <w:r>
        <w:rPr>
          <w:rStyle w:val="Funotenzeichen"/>
        </w:rPr>
        <w:footnoteRef/>
      </w:r>
      <w:r>
        <w:rPr/>
        <w:tab/>
        <w:t>einzubalsamieren - Hier wird das Verb myrizo statt chrio (»salben«) verwendet. Viele denken, die Parfumierung der Frau habe auf einer zweiten Bedeutungsebene den Sinn, dass Jesus hier zum Messias gesalbt werden sollte (wie z.B. David in 1 Sam 16,13; so z.B. Guijarro/Rodriguez 2011; Park 2012). Doch dafür wäre sehr wahrscheinlich eben chrio statt katacheo (»herabgießen«) und murizo (»einbalsamieren«) verwendet worden (Marcus 2009, S. 396; vgl. ähnlich Lücking 1993, S. 110) und außerdem wohl elaion (»Öl«) statt muron (»Parfum«). Aus diesem Grund muss man die Salbung zunächst wohl doch »nur« als »schlichte Wohltat beim Mahl« verstehen (vgl. Ps 23,5; Jos.Ant 19,239: »[...Er] erschien [...] dort mit gesalbtem Haar, als käme er von einem Trinkgelage [...].«) – und was sie auf der tieferen Ebene bedeutet, sagt Jesus in diesem Vers ja selbst.</w:t>
      </w:r>
    </w:p>
  </w:footnote>
  <w:footnote w:id="2291">
    <w:p>
      <w:pPr>
        <w:pStyle w:val="Funote"/>
        <w:rPr/>
      </w:pPr>
      <w:r>
        <w:rPr>
          <w:rStyle w:val="Funotenzeichen"/>
        </w:rPr>
        <w:footnoteRef/>
      </w:r>
      <w:r>
        <w:rPr/>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In V. 25 außerdem verstärkt durch die Konstruktion ou me + Aorist; die stärkstmögliche Verneinung zukünftiger Geschehnisse im Griechischen. Am sinnvollsten übersetzt daher Zink: »Was ich sage, ist wahr: ...«</w:t>
      </w:r>
    </w:p>
  </w:footnote>
  <w:footnote w:id="2292">
    <w:p>
      <w:pPr>
        <w:pStyle w:val="Funote"/>
        <w:rPr/>
      </w:pPr>
      <w:r>
        <w:rPr>
          <w:rStyle w:val="Funotenzeichen"/>
        </w:rPr>
        <w:footnoteRef/>
      </w:r>
      <w:r>
        <w:rPr/>
        <w:tab/>
        <w:t>dieses Evangelium – »Evangelium« ist hier noch keine Gattungsbezeichnung für eine Textsorte, sondern ein stehender Begriff für die frohe (!) Botschaft über Leiden und Tod Jesu, die die Kirche in der ganzen Welt verkündigen muss (zur Stelle vgl. gut Schillebeeckx 1975, S. 97). »Dieses Evangelium« bezieht sich also zurück auf das, was durch das »Sie hat es vorweggenommen, mich für mein Begräbnis einzubalsamieren« angesprochen ist, nämlich den Tod Jesu – und dieser ist eine »frohe Botschaft«.Richtig daher die Paraphrase von Zink: »Wo immer Menschen einander sagen werden, daß ich starb, um der Welt das Leben zu schenken, da wird man erwähnen, was sie eben getan hat.«</w:t>
      </w:r>
    </w:p>
  </w:footnote>
  <w:footnote w:id="2293">
    <w:p>
      <w:pPr>
        <w:pStyle w:val="Funote"/>
        <w:rPr/>
      </w:pPr>
      <w:r>
        <w:rPr>
          <w:rStyle w:val="Funotenzeichen"/>
        </w:rPr>
        <w:footnoteRef/>
      </w:r>
      <w:r>
        <w:rPr/>
        <w:tab/>
        <w:t>zur rechten Zeit - sehr oft: „bei günstiger Gelegenheit“. Im Gr. steht hier aber eukairos, die „gute rechte-Zeit“, und da sowohl in Vv. 1f. als auch Vv. 3-9 die Zeit das Thema ist, liegt eine andere Übersetzung als „zur rechten Zeit“ sehr fern. Richtig daher MSG: „He started looking for just the right moment to hand im over“.</w:t>
      </w:r>
    </w:p>
  </w:footnote>
  <w:footnote w:id="2294">
    <w:p>
      <w:pPr>
        <w:pStyle w:val="Funote"/>
        <w:rPr/>
      </w:pPr>
      <w:r>
        <w:rPr>
          <w:rStyle w:val="Funotenzeichen"/>
        </w:rPr>
        <w:footnoteRef/>
      </w:r>
      <w:r>
        <w:rPr/>
        <w:tab/>
        <w:t>Zur Zeitangabe s. den Exkurs zur Zeitrechnung.</w:t>
      </w:r>
    </w:p>
  </w:footnote>
  <w:footnote w:id="2295">
    <w:p>
      <w:pPr>
        <w:pStyle w:val="Funote"/>
        <w:rPr/>
      </w:pPr>
      <w:r>
        <w:rPr>
          <w:rStyle w:val="Funotenzeichen"/>
        </w:rPr>
        <w:footnoteRef/>
      </w:r>
      <w:r>
        <w:rPr/>
        <w:tab/>
        <w:t>als sie das Pascha[lamm] opferten (an dem man das Pascha[lamm] zu opfern pflegte) (V. 12) + Geht in die Stadt - Weil das Verb ethuon sich sowohl personal („als sie (sc. die Jünger) opferten“) als auch impersonal („an welchem man zu opfern pflegte“) deuten lässt, lassen sich zwei mögliche Situationen der Perikope rekonstruieren: (1) Jesus und seine Jünger sind gerade im Tempelbezirk, wo nach Vorschrift Jesus als der Vorsteher des Paschamahls das Lamm schlachtet, das dann am Abend verspeist werden wird. In dieser Situation fragen die Jünger Jesus, wo sie das Mahl vorbereiten sollen, und er gibt ihnen daher die Anweisung, [aus dem Tempelbezirk hinaus] in die Stadt zu gehen. (2) Jesus und seine Jünger befinden sich zum Zeitpunkt, zu dem „man“ üblicherweise das Paschalamm schlachtet, noch in Bethanien oder auf dem Weg von Bethanien nach Jerusalem, als die Jünger Jesus ihre Frage stellen, und also weist er sie an, [von Bethanien/vom Weg aus] in die Stadt zu gehen.Nach V. 15 ist der Speisesaal bereits vorbereitet, weshalb der größte Teil der noch zu leistenden Vorbereitungen im Braten des Lammes besteht. Weil nach Sitte Jesus es war, der dieses Lamm zu schlachten hatte, würde Rekonstruktion (2) bedeuten, dass Jesus die Jünger ohne ein Lamm zum Kochen schickt. Das macht nicht viel Sinn; wahrscheinlicher ist daher Rekonstruktion (1). So z.B. auch Casey 2004, S. 203f.; Evans 2001, S. 373. Für Rekonstuktion (2) dagegen z.B. France 2002, S. 564; Gundry 2000, S. 820; Marcus 2009, S. 944.</w:t>
      </w:r>
    </w:p>
  </w:footnote>
  <w:footnote w:id="2296">
    <w:p>
      <w:pPr>
        <w:pStyle w:val="Funote"/>
        <w:rPr/>
      </w:pPr>
      <w:r>
        <w:rPr>
          <w:rStyle w:val="Funotenzeichen"/>
        </w:rPr>
        <w:footnoteRef/>
      </w:r>
      <w:r>
        <w:rPr/>
        <w:tab/>
        <w:t>Historisches Präsens.</w:t>
      </w:r>
    </w:p>
  </w:footnote>
  <w:footnote w:id="2297">
    <w:p>
      <w:pPr>
        <w:pStyle w:val="Funote"/>
        <w:rPr/>
      </w:pPr>
      <w:r>
        <w:rPr>
          <w:rStyle w:val="Funotenzeichen"/>
        </w:rPr>
        <w:footnoteRef/>
      </w:r>
      <w:r>
        <w:rPr/>
        <w:tab/>
        <w:t>zwei seiner Jünger - Offenbar keine Mitglieder des Zwölferkreises, s. V. 17. Für das Abendmahl muss dann die Anwesenheit von noch mehr Gästen als nur Jesus und dem Zwölferkreis vorausgesetzt werden (so auch Casey 2004, S. 227f.; Evans 2001, S. 374), und aus diesem Grund muss in V. 15 die Größe des Oberzimmers betont werden. Auch in Vv. 51f. ist wohl von einem Jünger die Rede, der nicht zum Zwölferkreis gehört, dennoch aber mindestens auf dem Ölberg anwesend ist und daher wohl auch im Abendmahlssaal anwesend war. Casey und Evans setzen außerdem die Anwesenheit von Frauen als Selbstverständlichkeit voraus – der Text selbst jedenfalls schweigt sich darüber aus. Vgl. auch Heininger 2005, S. 12 zu Mk 15,40f: Wo sonst blieben die „vielen Frauen“, die Jesus nach Jerusalem gefolgt waren?</w:t>
      </w:r>
    </w:p>
  </w:footnote>
  <w:footnote w:id="2298">
    <w:p>
      <w:pPr>
        <w:pStyle w:val="Funote"/>
        <w:rPr/>
      </w:pPr>
      <w:r>
        <w:rPr>
          <w:rStyle w:val="Funotenzeichen"/>
        </w:rPr>
        <w:footnoteRef/>
      </w:r>
      <w:r>
        <w:rPr/>
        <w:tab/>
        <w:t>auf euch zutreten - nicht: »Ihr werdet treffen« (so viele Üss.), LSJ S. 178: »move from a place to meet a person« - die Initiative liegt beim Wasserträger. S. die Anmerkungen.</w:t>
      </w:r>
    </w:p>
  </w:footnote>
  <w:footnote w:id="2299">
    <w:p>
      <w:pPr>
        <w:pStyle w:val="Funote"/>
        <w:rPr/>
      </w:pPr>
      <w:r>
        <w:rPr>
          <w:rStyle w:val="Funotenzeichen"/>
        </w:rPr>
        <w:footnoteRef/>
      </w:r>
      <w:r>
        <w:rPr/>
        <w:tab/>
        <w:t>Da man zu Jesu Zeit das Paschamahl in Jerusalem zu sich nehmen sollte (s. FN d), war es üblich, die Gastfreundlichkeit von Einheimischen in Anspruch zu nehmen und das Paschamahl in deren Haus zu sich zu nehmen.</w:t>
      </w:r>
    </w:p>
  </w:footnote>
  <w:footnote w:id="2300">
    <w:p>
      <w:pPr>
        <w:pStyle w:val="Funote"/>
        <w:rPr/>
      </w:pPr>
      <w:r>
        <w:rPr>
          <w:rStyle w:val="Funotenzeichen"/>
        </w:rPr>
        <w:footnoteRef/>
      </w:r>
      <w:r>
        <w:rPr/>
        <w:tab/>
        <w:t>vorbereitet ... dort bereitet vor - nämlich Möblierung etc. ist vorbereitet, das Essen aber noch nicht (vgl. z.B. Evans 2001, S. 375).</w:t>
      </w:r>
    </w:p>
  </w:footnote>
  <w:footnote w:id="2301">
    <w:p>
      <w:pPr>
        <w:pStyle w:val="Funote"/>
        <w:rPr/>
      </w:pPr>
      <w:r>
        <w:rPr>
          <w:rStyle w:val="Funotenzeichen"/>
        </w:rPr>
        <w:footnoteRef/>
      </w:r>
      <w:r>
        <w:rPr/>
        <w:tab/>
        <w:t>Und während (als) sie zum Essen lagen (V. 18) + Und als er bei (nach) ihrem Essen (V. 22) – Zu Jesu Zeit liefen ein griechisches Gastmahl, ein jüdisches Festmahl und später auch ein Passamahl alle nach dem selben Muster ab: Nach einer im Sitzen eingenommenen Vorspeise ging man in den Speisesaal, um dort im Liegen den Hauptgang einzunehmen, an den sich danach noch ein längerer Umtrunk anschloss. Das Gebet über dem Brot und das Brotbrechen leitete den Hauptgang ein, das Gebet über dem Kelch war die Brücke zwischen Hauptgang und Umtrunk. Diese Abfolge müssen wir uns auch für das Letzte Abendmahl denken (Lk 22,20; 1 Kor 11,25: „Der Becher nach dem Essen“).Bei Mk und Mt aber wirkt es wegen der Zeitangaben in Vv. 18.22.23 so, als würde sowohl die Brot- als auch die Becherhandlung nach Beginn des Essens stattfinden. Mögliche Erklärungen sind: 1. Die Gemeinde des Markus hat die Feier des Abendmahls vielleicht in einer anderen als der üblichen Abfolge gefeiert und die Brothandlung zur Kelchhandlung ans Ende der Feier verschoben. Markus hätte das dann auch in den Bericht vom Abendmahl „hineingeschrieben“: Während des Hauptgangs macht Jesus seine Judas-Prophezeiung und erst nach dem Hauptgang folgen Brot- und Becherhandlung. Dann wäre V. 22 zu deuten als: „Als er am Ende ihres Essens ...“ 2. Die beiden Präsenspartizipien in V. 18 könnte man unter Umständen auch als „volitive Partizipien“ auffassen (vgl. z.B. Mt 27,40: „Der du den Tempel einreißen und aufrichten willst...“; Heb 11,6: „Dem, der Gott nahen will...“ ): „Und als sie lagen und essen wollten“, d.h., direkt vor dem Hauptgang und dem Umzug ins Speisezimmer. 3. Vielleicht erzählt Markus die Begebenheiten aus dem letzten Abendmahl (Ankündigung des Verrats und Einsetzungsworte) auch einfach unabhängig voneinander, ohne die Erzählung streng chronologisch zu verstehen.</w:t>
      </w:r>
    </w:p>
  </w:footnote>
  <w:footnote w:id="2302">
    <w:p>
      <w:pPr>
        <w:pStyle w:val="Funote"/>
        <w:rPr/>
      </w:pPr>
      <w:r>
        <w:rPr>
          <w:rStyle w:val="Funotenzeichen"/>
        </w:rPr>
        <w:footnoteRef/>
      </w:r>
      <w:r>
        <w:rPr/>
        <w:tab/>
        <w:t>lagen - S. FN f: Jesus feiert sein Letztes Abendmahl nach dem Muster eines Abendmahls wohlhabender Menschen. Das Liegen ist nicht auf das Datum zurückzuführen, s. die Anmerkungen.</w:t>
      </w:r>
    </w:p>
  </w:footnote>
  <w:footnote w:id="2303">
    <w:p>
      <w:pPr>
        <w:pStyle w:val="Funote"/>
        <w:rPr/>
      </w:pPr>
      <w:r>
        <w:rPr>
          <w:rStyle w:val="Funotenzeichen"/>
        </w:rPr>
        <w:footnoteRef/>
      </w:r>
      <w:r>
        <w:rPr/>
        <w:tab/>
        <w:t>der mit mir isst - Vermutlich ein Zitat von Ps 41,9, wo ein unschuldig Leidender sich darüber beklagt, dass seine Feinde ihn töten wollten und auch sein Freund, dem er vertraute und der mit ihm Brot aß, ihn verderben wolle. Das Präsens ist daher besser gnomisch zu verstehen: Nicht »einer, der aktuell mit uns am Tisch sitzt«, sondern »einer meiner üblichen Tischgenossen«.Miteinander zu essen, Tisch und Schüssel zu teilen (s. V. 20), ist ein Symbol für Freundschaft und Verbundenheit; dass es »einer von euch« ist, »einer der Zwölf«, »einer, der mit mir isst« und »einer, der mit mir in die selbe Schüssel tunkt«, macht den Verrat noch verwerflicher, als er ohnehin schon ist.Zur Verwendung des Artikels vgl. Zerwick §192.</w:t>
      </w:r>
    </w:p>
  </w:footnote>
  <w:footnote w:id="2304">
    <w:p>
      <w:pPr>
        <w:pStyle w:val="Funote"/>
        <w:rPr/>
      </w:pPr>
      <w:r>
        <w:rPr>
          <w:rStyle w:val="Funotenzeichen"/>
        </w:rPr>
        <w:footnoteRef/>
      </w:r>
      <w:r>
        <w:rPr/>
        <w:tab/>
        <w:t>ausliefern - Leitwort im Mk-Evangelium; stets im Sinne von »feindlichen Institutionen ausliefern« verwendet (s. Mk 9,31; 10,33; 13,9.11f; 14,11.21.42.44; 15,1.10.15). Vermutlich auf die Verfolgungssituation der ursprünglichen Leser des Markus zurückzuführen, in der Jesusanhänger dazu gezwungen wurden, andere Christen an die Behörden auszuliefern – die Botschaft ist dann die: Auch Jesus und seine Jünger haben schon dieses Schicksal mit euch geteilt.</w:t>
      </w:r>
    </w:p>
  </w:footnote>
  <w:footnote w:id="2305">
    <w:p>
      <w:pPr>
        <w:pStyle w:val="Funote"/>
        <w:rPr/>
      </w:pPr>
      <w:r>
        <w:rPr>
          <w:rStyle w:val="Funotenzeichen"/>
        </w:rPr>
        <w:footnoteRef/>
      </w:r>
      <w:r>
        <w:rPr/>
        <w:tab/>
        <w:t>Textkritik: die (eine) - Einige Handschriften haben hier ein zusätzliches »eine«. Ob die Handschriften damit den Ausdruck verschärfen (»in die selbe Schüssel«) und an die vorigen »eins, eine« (»einer von euch...«, »einer nach dem anderen...«, »einer der Zwölf...«) anpassen oder aus stilistischen Gründen wegen derselben »eins, eine« dieses vierte »eine« streichen wollten, lässt sich nicht entscheiden (so auch Wilckens 2014). Tendenziell für den längeren Text sprechen sich z.B. Cranfield 1959, S. 424; Gundry 2000, S. 837 und Marcus 2009, S. 950 aus; so auch H-R; EÜ. Die meisten Üs. aber übersetzen den kürzeren Text, so daher auch wir.</w:t>
      </w:r>
    </w:p>
  </w:footnote>
  <w:footnote w:id="2306">
    <w:p>
      <w:pPr>
        <w:pStyle w:val="Funote"/>
        <w:rPr/>
      </w:pPr>
      <w:r>
        <w:rPr>
          <w:rStyle w:val="Funotenzeichen"/>
        </w:rPr>
        <w:footnoteRef/>
      </w:r>
      <w:r>
        <w:rPr/>
        <w:tab/>
        <w:t>in die Schüssel tunkt - der Satz meint das selbe wie das vorige »der mit mir isst«: »Einer meiner (üblichen) Tischgenossen«. Zum Eintunken von Speißen in eine Schüssel s. z.B. Rut 2,14; nicht gemeint ist hier Charoset (das Fruchtmus, das zu den vorgeschriebenen Speißen eines Passaseders gehört); auch dieses wurde vermutlich erst einige Jahrzehnte nach Jesu Tod eingeführt (s. Anmerkungen und vgl. Kulp 2005, S. 113).</w:t>
      </w:r>
    </w:p>
  </w:footnote>
  <w:footnote w:id="2307">
    <w:p>
      <w:pPr>
        <w:pStyle w:val="Funote"/>
        <w:rPr/>
      </w:pPr>
      <w:r>
        <w:rPr>
          <w:rStyle w:val="Funotenzeichen"/>
        </w:rPr>
        <w:footnoteRef/>
      </w:r>
      <w:r>
        <w:rPr/>
        <w:tab/>
        <w:t>Menschensohn - Ein weiteres Leitwort bei Markus.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2308">
    <w:p>
      <w:pPr>
        <w:pStyle w:val="Funote"/>
        <w:rPr/>
      </w:pPr>
      <w:r>
        <w:rPr>
          <w:rStyle w:val="Funotenzeichen"/>
        </w:rPr>
        <w:footnoteRef/>
      </w:r>
      <w:r>
        <w:rPr/>
        <w:tab/>
        <w:t>geht - In jüd. Schriften verbreiteter Euphemismus für »Sterben« (vgl. gut z.B. Marcus 2009, S. 951). Bes. häufig bei Joh zu finden, s. z.B. Joh 7,33; 8,21f; 13,3.</w:t>
      </w:r>
    </w:p>
  </w:footnote>
  <w:footnote w:id="2309">
    <w:p>
      <w:pPr>
        <w:pStyle w:val="Funote"/>
        <w:rPr/>
      </w:pPr>
      <w:r>
        <w:rPr>
          <w:rStyle w:val="Funotenzeichen"/>
        </w:rPr>
        <w:footnoteRef/>
      </w:r>
      <w:r>
        <w:rPr/>
        <w:tab/>
        <w:t>wie geschrieben steht - Übliche Formel, um auszudrücken, dass etwas den Prophezeiungen des AT und damit dem Willen Gottes, der sich aus diesen Prophezeiungen herauslesen lässt, entspricht (vgl. z.B. Donner 1994); bei Mk s.. z.B. noch Mk 1,2; 9,12f; 11,17; 14,27. Auf welche Stelle unser Vers sich bezieht, ist aber (wie öfters) ungewiss.</w:t>
      </w:r>
    </w:p>
  </w:footnote>
  <w:footnote w:id="2310">
    <w:p>
      <w:pPr>
        <w:pStyle w:val="Funote"/>
        <w:rPr/>
      </w:pPr>
      <w:r>
        <w:rPr>
          <w:rStyle w:val="Funotenzeichen"/>
        </w:rPr>
        <w:footnoteRef/>
      </w:r>
      <w:r>
        <w:rPr/>
        <w:tab/>
        <w:t>[Gott] gedankt - Nicht: „[das Brot] gesegnet“. Nach späteren rabbinischen Texten betete man vor dem Hauptgang über dem Brot und nach dem Hauptgang über dem Wein eine sogenannte Berakah; über dem Brot z.B.: „[Gepriesen bist du, Herr unser Gott, König des Alls], der du das Brot der Erde hervorbringst“ (m.Ber. 6,1). Ein ähnliches Gebet müssen wir uns auch bei Jesus denken; die Didache z.B. empfiehlt daher als Eucharistiegebet eine „christianisierte“ Form einer solchen Berakah: „Wir danken dir, unser Vater, für das Leben und die Erkenntnis, die du uns kundgetan hast durch Jesus, deinen Knecht. Dir sei die Herrlichkeit in Ewigkeit!“ (Did 9,3). Dass Lk 22,19 und 1 Kor 11,24 statt hier „danken“ statt „segnen“ stehen haben, ist nicht bedeutsam; eine Berakah ist ein Dankgebet und „Gepriesen bist du, der du / denn du...“ meint nur „Danke dafür, dass...“.</w:t>
      </w:r>
    </w:p>
  </w:footnote>
  <w:footnote w:id="2311">
    <w:p>
      <w:pPr>
        <w:pStyle w:val="Funote"/>
        <w:rPr/>
      </w:pPr>
      <w:r>
        <w:rPr>
          <w:rStyle w:val="Funotenzeichen"/>
        </w:rPr>
        <w:footnoteRef/>
      </w:r>
      <w:r>
        <w:rPr/>
        <w:tab/>
        <w:t>nachdem er [Gott] gepriesen hatte, brach er [es] - Die üblichen jüdischen Gesten zur Eröffnung einer Hauptmahlzeit (vgl. z.B. gut Hofius 1988, S. 379). Markus scheint diese Handlung ans Ende der Hauptmahlzeit verschoben zu haben (s. dazu FN ab).</w:t>
      </w:r>
    </w:p>
  </w:footnote>
  <w:footnote w:id="2312">
    <w:p>
      <w:pPr>
        <w:pStyle w:val="Funote"/>
        <w:rPr/>
      </w:pPr>
      <w:r>
        <w:rPr>
          <w:rStyle w:val="Funotenzeichen"/>
        </w:rPr>
        <w:footnoteRef/>
      </w:r>
      <w:r>
        <w:rPr/>
        <w:tab/>
        <w:t>tFN: dies - Immer wieder wiederholt worden ist in letzter Zeit die Analyse von Luz, das Neutrum »dies« könne sich nicht auf das Maskulinum »Brot« beziehen und müsse daher die Handlung des Brotbrechens und -verteilens meinen (so z.B. Heininger 2005, S. 44; Niemand 2002, S. 97; Luz 2002, S. 4f; Schröter 2006, S. 128; Trummer 2001, S. 136f). Das ist falsch. Im Griechischen richten sich Demonstrativpronomen sogar häufiger im Genus nach der Subjektsergänzung (hier also das Neutrum »Leib«) als nicht (vgl. HvS §263e; z.St. auch Söding 2002, S. 55; Weidemann 2013, S. 84f). Dass mit »dies« also nicht das Brot, sondern die Handlung bezeichnet wird, ist grammatisch möglich, aber keinesfalls notwendig und auch nicht sehr wahrscheinlich.</w:t>
      </w:r>
    </w:p>
  </w:footnote>
  <w:footnote w:id="2313">
    <w:p>
      <w:pPr>
        <w:pStyle w:val="Funote"/>
        <w:rPr/>
      </w:pPr>
      <w:r>
        <w:rPr>
          <w:rStyle w:val="Funotenzeichen"/>
        </w:rPr>
        <w:footnoteRef/>
      </w:r>
      <w:r>
        <w:rPr/>
        <w:tab/>
        <w:t>Hierzu s. die Anmerkungen.</w:t>
      </w:r>
    </w:p>
  </w:footnote>
  <w:footnote w:id="2314">
    <w:p>
      <w:pPr>
        <w:pStyle w:val="Funote"/>
        <w:rPr/>
      </w:pPr>
      <w:r>
        <w:rPr>
          <w:rStyle w:val="Funotenzeichen"/>
        </w:rPr>
        <w:footnoteRef/>
      </w:r>
      <w:r>
        <w:rPr/>
        <w:tab/>
        <w:t>Becher (Kelch) - Eher „Becher“ als „Kelch“. Das Wort ist bis vor Kurzem intensiver im anglophonen Sprachraum diskutiert worden, da dort in der kath. Kirche bis zur Revision des Römischen Messbuchs die Übersetzung „cup“ („Becher“) in Gebrauch war, nach der Revision aber durch „chalice“ („Kelch“) abgelöst wurde. Im Griechischen steht hier poterion, womit allgemein Trinkgefäße bezeichnet wurden; die Entsprechung von „Kelch“ wäre tendenziell eher kylix. Das Missale übersetzt dennoch „Kelch“, um so der Übersetzungsentscheidung von Hieronymus in der Vulgata zu folgen (calix). Calix aber wurde zu Hieronymus Zeit allgemein für Trinkgefäße verwendet (daher übersetzt er z.B. auch in Mt 10,42 poterion mit calix, wo klar ein Becher gemeint ist), weshalb auch in der VUL beide Deutungen möglich sind. In den dt. Üss. sind beide Varianten gebräuchlich.</w:t>
      </w:r>
    </w:p>
  </w:footnote>
  <w:footnote w:id="2315">
    <w:p>
      <w:pPr>
        <w:pStyle w:val="Funote"/>
        <w:rPr/>
      </w:pPr>
      <w:r>
        <w:rPr>
          <w:rStyle w:val="Funotenzeichen"/>
        </w:rPr>
        <w:footnoteRef/>
      </w:r>
      <w:r>
        <w:rPr/>
        <w:tab/>
        <w:t>[Gott] gedankt - hierzu s. FN aj. m.Ber 6,1 empfiehlt als Berakah über dem Weinbecher „[Gepriesen bist du, Herr unser Gott, König des Alls], der du die Frucht des Weinstocks geschaffen hast“; die christianisierte Berakah der Didache lautet „Wir danken dir, unser Vater, für den heiligen Weinstocks Davids, deines Knechtes, den du uns kundgetan hast durch Jesus, deinen Knecht. Dir sei die Herrlichkeit in Ewigkeit!“ (Did 9,2).</w:t>
      </w:r>
    </w:p>
  </w:footnote>
  <w:footnote w:id="2316">
    <w:p>
      <w:pPr>
        <w:pStyle w:val="Funote"/>
        <w:rPr/>
      </w:pPr>
      <w:r>
        <w:rPr>
          <w:rStyle w:val="Funotenzeichen"/>
        </w:rPr>
        <w:footnoteRef/>
      </w:r>
      <w:r>
        <w:rPr/>
        <w:tab/>
        <w:t>Hierzu und zum nächsten Vers s. die Anmerkungen</w:t>
      </w:r>
    </w:p>
  </w:footnote>
  <w:footnote w:id="2317">
    <w:p>
      <w:pPr>
        <w:pStyle w:val="Funote"/>
        <w:rPr/>
      </w:pPr>
      <w:r>
        <w:rPr>
          <w:rStyle w:val="Funotenzeichen"/>
        </w:rPr>
        <w:footnoteRef/>
      </w:r>
      <w:r>
        <w:rPr/>
        <w:tab/>
        <w:t>Textkritik: neuen - Nicht wenige Handschriften haben hier ein zusätzliches »neue« – zweifellos eine Angleichung an Lk 22,20; 1 Kor 11,25 und damit sekundär (so z.B. auch TCNT).</w:t>
      </w:r>
    </w:p>
  </w:footnote>
  <w:footnote w:id="2318">
    <w:p>
      <w:pPr>
        <w:pStyle w:val="Funote"/>
        <w:rPr/>
      </w:pPr>
      <w:r>
        <w:rPr>
          <w:rStyle w:val="Funotenzeichen"/>
        </w:rPr>
        <w:footnoteRef/>
      </w:r>
      <w:r>
        <w:rPr/>
        <w:tab/>
        <w:t>viele - dient vermutlich zum Ausdruck des Zahlenverhältnisses: Einer vergießt sein Blut für viele. S. genauer unten.Auch dieses Wort wird aktuell sehr heftig diskutiert, daher auch hierzu eine etwas längere Erklärung der Diskussion und zur Rechtfertigung der Übersetzung. Hintergrund der Diskussion ist der, dass in der kath. Liturgie in Deutschland lange Zeit die Formulierung »das für euch und für alle vergossen wird« gebräuchlich war. In einem Brief der Kongregation für den Gottesdienst und die Sakramentenordnung von 2006 wurde stattdessen die Übersetzung »für viele« vorgeschrieben, und vor allem infolge eines Folgebriefes von Benedikt XVI. an die deutschen Bischöfe entbrannte ein heftiger und leider seltenst sachlich geführter Streit, der mittlerweile nur noch oberflächlich etwas mit der Übersetzung selbst zu tun hat. Beide Parteien berufen sich auf Jes 53,12. Weil auch dort von jemandem die Rede sei, der für die Sünden anderer stirbt und wegen den gemeinsamen Vokabeln »vergossen« und eben »viele« sei klar, dass Mk hier die Jes-Stelle zitiert. Die einen leiten daraus ab, dass das »viele« in Jesaja wie oft im Hebräischen als »alle« verstanden werden müsse und dass dies demnach auch die Bedeutung des »viele« bei Mk sei; die anderen erkennen zwar die Bedeutung »alle« in Jesaja (und meistens auch Markus!) an, fordern aber dennoch eine »wörtliche« Übersetzung in Mk, damit der Bezug zu Jes erkennbar sei und keine Deutung in die Mk-Übersetzung eingetragen werde. Beide Argumentationen sind sehr problematisch. Zunächst wurde zu ntl Zeiten nicht der heb. Jes-Text verwendet, sondern entweder die LXX-Übersetzung oder ein Targum. Die LXX-Übersetzung lautet aber nicht »Weil er sein Leben in den Tod ausgegossen hat«, sondern »weil er seine Seele in den Tod auslieferte«, die von TgJ »Weil er sein Leben dem Tod übergab«. Der einzige Bezug im Vokabular ist damit das »viele«, und auf dieser Basis von einem »Zitat« zu sprechen, geht durchaus nicht an (so z.B. richtig Chilton 1994, S. 87; Dunn 2003, S. 815f.; Schröter 2006, S. 129; übrigens sogar Benedikt, obwohl er im Folgenden dann doch mit dem Jes-Text argumentiert). Sodann motivisch: Der Gottesknecht im Jes-Text wurde im frühen 1. Jahrhundert überhaupt nicht als Paradigma eines Menschen aufgefasst, der die Sünden anderer Menschen auf sich nimmt – weder in jüdischen noch in christlichen Texten. Im NT z.B. wird Jes 52,13-53,12 insgesamt sieben Mal zitiert – und nur im spätesten Text, 1 Pet 2,22-25, ist er Paradigma dieses Motivs (vgl. z.B. Zager 1996, S. 180f). Aus diesem Grund kommen heute immer mehr Wissenschaftler von der Vorstellung ab, dass das Gottesknechtslied ein Vorbild für die ntl Texte gewesen sei (vgl. z.B. Versnel 2005, S. 215 und die dort zusammengetragene Literatur). Und weiter: Gerade, wenn wir dennoch davon ausgingen, dass hier ein Jes-Zitat vorläge, gingen beide Argumentationen am Text vorbei, denn der Zweck des »Viele« wäre dann wie in Jes nicht die Identifikation einer Zielgruppe der »Leistung« von Gottesknecht und Jesus, sondern der Ausdruck eines Zahlenverhältnisses: Einer nimmt die Verfehlungen von Vielen auf sich / legt für viele Fürsprache ein / vergießt sein Blut für viele; s. ähnlich z.B. 1 Kor 10,17: »Weil es ein Brot ist, sind wir – wir viele – ein Leib.« So ist das »viele« hier wahrscheinlich auch unabhängig von der Jes-Stelle zu verstehen. Und schließlich: Selbst dann, wenn die Übersetzung »alle« sich hier ebenso gut rechtfertigen ließe wie »viele«: Nur von den wenigsten Üss. wird sie gewählt (z.B. GN, KAM); daher nach Kriterium 1b auch von uns nicht. Welche Übersetzung die sinnvollste für eine Messliturgie ist, ist natürlich eine andere Frage.</w:t>
      </w:r>
    </w:p>
  </w:footnote>
  <w:footnote w:id="2319">
    <w:p>
      <w:pPr>
        <w:pStyle w:val="Funote"/>
        <w:rPr/>
      </w:pPr>
      <w:r>
        <w:rPr>
          <w:rStyle w:val="Funotenzeichen"/>
        </w:rPr>
        <w:footnoteRef/>
      </w:r>
      <w:r>
        <w:rPr/>
        <w:tab/>
        <w:t>Zum Gesamtsinn des Verses s. die Anmerkungen. Die Formulierung lässt sich am leichtesten genetisch erklären. Die Vorstellung, dass ein Mensch »für andere« sterben könne, stammt ursprünglich aus dem hellenistischen Kulturraum und ist dort gerade in der ntl. Zeit außerordentlich populär (s. bes. das von Versnel 2005 auf S. 230-244 zusammengetragene Material): Zürnte eine Gottheit einer Person/einem Volk/ ..., konnte ein Mensch ersatzweise für diese Person/dieses Volk/... sterben und so die Gottheit beschwichtigen (vgl. gut z.B. Breytenbach 2003). Relativ rein lässt sich dieser Gedanke z.B. auch in den johanneischen Schriften betrachten (s. z.B. Joh 10,11.15; 15,13; 1 Joh 3,16. Bei unserer Stelle ist diese Vorstellung aber verschmolzen mit einer weiteren Vorstellung; diesmal aus dem jüdischen Kulturraum: Wenn Gott einer Person zürnt, liegt das nach jüd. Vorstellung an den Sünden dieser Person, die wie eine Trennwand zwischen die Person und Gott treten. Eingerissen werden muss diese Trennwand durch en Opfer – durch die Darbringung von Opferblut -, dessen Effekt die Errichtung eines »Bundes« zwischen Gott und dem Opfernden ist (s. Ex 24,8; Sach 9,11; vgl. z.B. Willi-Plein 1993, S. 97f. S. bes. die Variante von Ex 24,8 im etwa zeitgleich zum Mk entstandenen TgO: »Da nahm Mose das Blut und sprengte es auf den Altar, um für das Volk Sühnung zu schaffen...«). Kombiniert lauten die beiden Vorstellungen dann: Jemand, der für jemanden stirbt, wird so zum »Opfer« für diesen zum Zwecke der Sühnung seiner Sünden (vgl. gut Merklein 1986, S. 71). Diese »Vorstellungskombination« wird z.B. auch in Joh 1,29; Röm 3,25f und Heb 9,13-15 auf Jesus übertragen; außerhalb des NT findet sich die Vorstellung z.B. auch in 4 Makk 17,21f. und j.Sanh. 11,5.</w:t>
      </w:r>
    </w:p>
  </w:footnote>
  <w:footnote w:id="2320">
    <w:p>
      <w:pPr>
        <w:pStyle w:val="Funote"/>
        <w:rPr/>
      </w:pPr>
      <w:r>
        <w:rPr>
          <w:rStyle w:val="Funotenzeichen"/>
        </w:rPr>
        <w:footnoteRef/>
      </w:r>
      <w:r>
        <w:rPr/>
        <w:tab/>
        <w:t>[von] ihm erneut (ihn als neuen) - Beide Positionen werden in der Forschung vertreten; für die erste z.B. Gundry 2000, S. 834; Marcus 2009, S. 959; für die zweite z.B. France 2002, S. 572; NSS. »Ihn als neuen« soll dann vom »neuen [Wein]« sprechen und dieser widerum ein Symbol für das »messianische Bankett« sein, das nach dem endgültigen Anbruch des Reiches Gottes stattfinden wird. tirosh, »neuer Wein«, ist im AT aber meist als durchaus innerweltliches, aktuell vorhandenes Getränk gedacht und daher schlicht als »Most« zu übersetzen, und auch syntaktisch ist diese Auflösung ganz unwahrscheinlich. Der Satz ist vielmehr als Todesprophetie aufzufassen: Hiermit trinkt Jesus seinen letzten Becher Wein, doch schon bald – nämlich im Reich Gottes, das Jesus für die näheste Zukunft erwartete – wird er von Neuem mit dem Trinken beginnen.</w:t>
      </w:r>
    </w:p>
  </w:footnote>
  <w:footnote w:id="2321">
    <w:p>
      <w:pPr>
        <w:pStyle w:val="Funote"/>
        <w:rPr/>
      </w:pPr>
      <w:r>
        <w:rPr>
          <w:rStyle w:val="Funotenzeichen"/>
        </w:rPr>
        <w:footnoteRef/>
      </w:r>
      <w:r>
        <w:rPr/>
        <w:tab/>
        <w:t>[Loblieder] gesungen - W. „gelobliedet“; gemeint sind vielleicht die Psalmen 115-118, die man evt. schon zu dieser Zeit, sicher aber später üblicherweise am Ende des Pesachmahls sang (vgl. z.B. France 2002, S. 573). B/N daher: „Jesus und die Jünger sangen den Hymnus, den man nach dem Passahmahl singt...“ Ohnehin wurden aber bei jedem griechischen Symposium religiöse Lieder gesungen; u.a. z.B. ein die abschließende Becherhandlung (s. u.) begleitender „Paian“. Wenn zu Jesu Zeit die Psalmen 115-118 noch nicht der übliche Abschlussgesang des Paschamahl waren, könnte hier gut auch ein solcher gemeint sein.</w:t>
      </w:r>
    </w:p>
  </w:footnote>
  <w:footnote w:id="2322">
    <w:p>
      <w:pPr>
        <w:pStyle w:val="Funote"/>
        <w:rPr/>
      </w:pPr>
      <w:r>
        <w:rPr>
          <w:rStyle w:val="Funotenzeichen"/>
        </w:rPr>
        <w:footnoteRef/>
      </w:r>
      <w:r>
        <w:rPr/>
        <w:tab/>
        <w:t>Ölberg - Ein Ort bei Jerusalem, zu dem Jesus nach Lk 21,37 häufiger zum Beten ging und wo er sich schon öfter mit seinen Jüngern versammelt hatte (vgl. Joh 18,2).</w:t>
      </w:r>
    </w:p>
  </w:footnote>
  <w:footnote w:id="2323">
    <w:p>
      <w:pPr>
        <w:pStyle w:val="Funote"/>
        <w:rPr/>
      </w:pPr>
      <w:r>
        <w:rPr>
          <w:rStyle w:val="Funotenzeichen"/>
        </w:rPr>
        <w:footnoteRef/>
      </w:r>
      <w:r>
        <w:rPr/>
        <w:tab/>
        <w:t>zu Fall kommen (ärgern) – Beide Üss. sind möglich; letztere dann i.S.v. »an mir Anstoß nehmen« (so die meisten Üss.). Wegen V. 30 ist die primäre Üs. aber die wahrscheinlichere: »die Jünger werden die Glaubensprobe, die ihnen mit dem Leiden Jesu aufgegeben ist, nicht bestehen« (Gnilka 1979, S. 252). So z.B. auch H-R, KAR, WIL, ZÜR.</w:t>
      </w:r>
    </w:p>
  </w:footnote>
  <w:footnote w:id="2324">
    <w:p>
      <w:pPr>
        <w:pStyle w:val="Funote"/>
        <w:rPr/>
      </w:pPr>
      <w:r>
        <w:rPr>
          <w:rStyle w:val="Funotenzeichen"/>
        </w:rPr>
        <w:footnoteRef/>
      </w:r>
      <w:r>
        <w:rPr/>
        <w:tab/>
        <w:t>Weil geschrieben steht - Wie in Mk 9,11; 14,21 zeigt sich hier, dass nach Markus Jesus schon längst aus dem Alten Testament die dort vorgezeichneten Geschehnisse um seine Passion weiß (vgl. auch Mk 9,31; 10,34) und und um die Notwendigkeit, mit der diese ablaufen werden.</w:t>
      </w:r>
    </w:p>
  </w:footnote>
  <w:footnote w:id="2325">
    <w:p>
      <w:pPr>
        <w:pStyle w:val="Funote"/>
        <w:rPr/>
      </w:pPr>
      <w:r>
        <w:rPr>
          <w:rStyle w:val="Funotenzeichen"/>
        </w:rPr>
        <w:footnoteRef/>
      </w:r>
      <w:r>
        <w:rPr/>
        <w:tab/>
        <w:t>Deutliches, aber freies Zitat aus Sach 13,7. Dort aber fordert Gott andere auf, den Hirten zu schlagen – hier dagegen führt er selbst das Schwert.</w:t>
      </w:r>
    </w:p>
  </w:footnote>
  <w:footnote w:id="2326">
    <w:p>
      <w:pPr>
        <w:pStyle w:val="Funote"/>
        <w:rPr/>
      </w:pPr>
      <w:r>
        <w:rPr>
          <w:rStyle w:val="Funotenzeichen"/>
        </w:rPr>
        <w:footnoteRef/>
      </w:r>
      <w:r>
        <w:rPr/>
        <w:tab/>
        <w:t>zweimaligen Krähen des Hahns - der zweite Hahnenschrei markiert in der griechisch-römischen Literatur den Anbruch des Morgens (vgl. Brown 1994, S. 137; Gnilka 1979, S. 254; Klostermann 1950, S. 149); die dritte Zeitangabe meint also das selbe wie die Vorangegangene.</w:t>
      </w:r>
    </w:p>
  </w:footnote>
  <w:footnote w:id="2327">
    <w:p>
      <w:pPr>
        <w:pStyle w:val="Funote"/>
        <w:rPr/>
      </w:pPr>
      <w:r>
        <w:rPr>
          <w:rStyle w:val="Funotenzeichen"/>
        </w:rPr>
        <w:footnoteRef/>
      </w:r>
      <w:r>
        <w:rPr/>
        <w:tab/>
        <w:t>[überaus] vehement - Gr. ekperissos; sonst unbelegtes Wort, dass perissos („überaus“) wohl noch einmal steigert; vgl. Brown 1994, S. 138.</w:t>
      </w:r>
    </w:p>
  </w:footnote>
  <w:footnote w:id="2328">
    <w:p>
      <w:pPr>
        <w:pStyle w:val="Funote"/>
        <w:rPr/>
      </w:pPr>
      <w:r>
        <w:rPr>
          <w:rStyle w:val="Funotenzeichen"/>
        </w:rPr>
        <w:footnoteRef/>
      </w:r>
      <w:r>
        <w:rPr/>
        <w:tab/>
        <w:t>miniatur|rechts|Ölpresse in Kafarnaum. By Abraham [CC BY-SA 4.0], from Wikimedia Commons Getsemani - Der Name kommt vom Aramäischen gat schemane („Ölpresse“). Nach Joh 18,1 war das Grundstück ein „Garten“, und in der Tat dürfte eine Ölpresse mindestens in der Nähe der Olivengärten auf dem Ölberg gestanden haben. Seit dem frühen 4. Jh. wird daher als dieser Ort eine Höhle verehrt, in der eine solche Platz gehabt hätte; ob dies wirklich Jesu „Getsemani“ war und wo das Grundstück sonst gewesen sein könnte, lässt sich aber nicht mehr mit Sicherheit sagen.</w:t>
      </w:r>
    </w:p>
  </w:footnote>
  <w:footnote w:id="2329">
    <w:p>
      <w:pPr>
        <w:pStyle w:val="Funote"/>
        <w:rPr/>
      </w:pPr>
      <w:r>
        <w:rPr>
          <w:rStyle w:val="Funotenzeichen"/>
        </w:rPr>
        <w:footnoteRef/>
      </w:r>
      <w:r>
        <w:rPr/>
        <w:tab/>
        <w:t>begann, erschreckt und verängstigt zu sein - Hendiadyoin: Die Beschreibung von Jesu Empfindungen mit zwei Wörtern mit verwandter Bedeutung soll die Beschreibung noch intensivieren. Sinnvoll daher NeÜ: „Er wurde von schrecklicher Angst und von Grauen gepackt“, JJ: „Er fing an, sehr bestürzt und geängstigt zu sein“; schön auch B/N, H-R, LUT17, MEN, PAT, R-S, ZÜR: „Er begann, zu zittern und zu zagen.“</w:t>
      </w:r>
    </w:p>
  </w:footnote>
  <w:footnote w:id="2330">
    <w:p>
      <w:pPr>
        <w:pStyle w:val="Funote"/>
        <w:rPr/>
      </w:pPr>
      <w:r>
        <w:rPr>
          <w:rStyle w:val="Funotenzeichen"/>
        </w:rPr>
        <w:footnoteRef/>
      </w:r>
      <w:r>
        <w:rPr/>
        <w:tab/>
        <w:t>Meine Seele ist zu Tode betrübt – d.h. entweder »so traurig, dass es sich wie Sterben anfühlt« (Pfäfflin: »Sterbenstraurig ists mir zumute«) oder »so traurig, dass ich davon bald umkomme« (HfA: »Ich zerbreche beinahe unter der Last, die ich zu tragen habe«; NeÜ: »Die Qualen meiner Seele bringen mich fast um«). Theoretisch möglich, aber sicher falsch ist BB, die sich wohl an Jon 4,9 LXX orientieren: »Ich bin ganz verzweifelt. Am liebsten wäre ich tot.« – Jesus will ja gerade nicht sterben.</w:t>
      </w:r>
    </w:p>
  </w:footnote>
  <w:footnote w:id="2331">
    <w:p>
      <w:pPr>
        <w:pStyle w:val="Funote"/>
        <w:rPr/>
      </w:pPr>
      <w:r>
        <w:rPr>
          <w:rStyle w:val="Funotenzeichen"/>
        </w:rPr>
        <w:footnoteRef/>
      </w:r>
      <w:r>
        <w:rPr/>
        <w:tab/>
        <w:t>warf er sich (fiel er) auf die Erde - Im Judentum der Antike betete man für gewöhnlich stehend (vgl. Mk 6,41; Lk 18,11 u.ö.). Das kniende Beten mit zu Boden geneigtem Haupt (Mt 26,39: Er „fiel auf sein Gesicht“) ist daher ungewöhnlich, wenn auch nicht ohne Parallelen (vgl. Offb 5,14; TestJob 1,13; 9,14; JosAs 14,3; auch Lk 5,12), und drückt besondere Unterwürfigkeit (oder, weniger wahrscheinlich, große Panik (so Gundry 2000, S. 855)) aus.</w:t>
      </w:r>
    </w:p>
  </w:footnote>
  <w:footnote w:id="2332">
    <w:p>
      <w:pPr>
        <w:pStyle w:val="Funote"/>
        <w:rPr/>
      </w:pPr>
      <w:r>
        <w:rPr>
          <w:rStyle w:val="Funotenzeichen"/>
        </w:rPr>
        <w:footnoteRef/>
      </w:r>
      <w:r>
        <w:rPr/>
        <w:tab/>
        <w:t>die Stunde vorüberginge - gemeint ist, wie V. 41 klar macht, die Stunde, da er verraten würde.</w:t>
      </w:r>
    </w:p>
  </w:footnote>
  <w:footnote w:id="2333">
    <w:p>
      <w:pPr>
        <w:pStyle w:val="Funote"/>
        <w:rPr/>
      </w:pPr>
      <w:r>
        <w:rPr>
          <w:rStyle w:val="Funotenzeichen"/>
        </w:rPr>
        <w:footnoteRef/>
      </w:r>
      <w:r>
        <w:rPr/>
        <w:tab/>
        <w:t>Abba, Vater - Gr. abba ho pater; wie in Röm 8,15 und Gal 4,6 folgt hier auf den aramäischen Vokativ »Oh Vater« der griechische gleichbedeutende Vokativ »Oh Vater«; daraus und aus den beiden parallelen Stellen dürfen wir wohl ableiten, dass es sich hier um eine im Urchristentum verbreitete Anrede Gottes zur Einleitung eines Gebets handelt (vgl. z.B. Brown 1994, S. 175), die vielleicht darauf zurückzuführen ist, dass Jesus selbst seinen Anhängern empfohlen hat, im Gebet Gott genau so anzusprechen: abba, »Vater!« (vgl. das in FN q zu Mt 6,9 zu »Vater« vs. »Vater unser im Himmel« Gesagte).</w:t>
      </w:r>
    </w:p>
  </w:footnote>
  <w:footnote w:id="2334">
    <w:p>
      <w:pPr>
        <w:pStyle w:val="Funote"/>
        <w:rPr/>
      </w:pPr>
      <w:r>
        <w:rPr>
          <w:rStyle w:val="Funotenzeichen"/>
        </w:rPr>
        <w:footnoteRef/>
      </w:r>
      <w:r>
        <w:rPr/>
        <w:tab/>
        <w:t>Becher (Kelch) - Metapher, die sich auch in Mk 10,38 findet. Der »Becher« an sich ist eine unspezifische Metapher für das Schicksal eines Menschen; s. Ps 11,6; 16,5; Ez 23,31-33; Hab 2,16; wohl auch Ps 23,5. Ps 16,5 und 23,5 zeigen, dass das durch dieses Bild bestimmte Schicksal auch positiv sein kann, meist wird die Metapher aber negativ gefüllt: Besonders verbreitet ist (1) das speziellere Bild vom »Zornesbecher« (JHWH gibt jmdm den Becher seines Zorns zu trinken = JHWH verdammt jmdn zu Leid und/oder Tod; s. Ps 75,9; Jes 51,17.22; Jer 25,15-18; 49,12; 51,7; Klg 4,21; Klg 4,21; Ez 23,31-34; Sach 12,2; Offb 14,10; 16,19); bes. um die Abfassungszeit des Mk verbreitet ist (2) außerdem das Bild vom Becher als dem »Schicksal des Märtyrertodes«, s. MartPol 14,2 (»Ich danke dir, dass ich zu deinen Märtyrern gehören und am Becher Christi teilhaben darf«), MartJes 5,13 (Jesaja bei seinem gewaltsamen Tod: »Nur für mich hat Gott diesen Becher gemischt«) und der Ausdruck »(bitterer) Becher des Todes« in TestAb 16,12; TgN zu Dtn 32,1 und TgN, TgJ, TgF zu Gen 40,23. Verwandt ist vielleicht auch der Ausdruck »den Tod schmecken« für »sterben« in Mk 9,1; Joh 8,52; Heb 2,9 und häufiger in der frühjüdischen Literatur. (2) ist sicher auch hier gemeint; so aber einzig GN, die in einer FN auf das »frühjüdische Bild vom Becher des Märtyrertodes« verweisen.Die meisten anderen Üss. - wenn sie nicht bloß wörtlich übersetzen - deuten den Becher als Metapher für Leid: CEB, GNB, HfA, God's Word, NCV, NeÜ, NGÜ, NIRV, NL, NLB, Weymouth u.a. ergänzen entweder »bitterer Kelch« oder häufiger »Kelch des Leidens«. Hilfreicher B/S: »Mach, daß ich diesen Leidensbecher nicht austrinken muss.«; KAM: »Erspare mir diese schwere Stunde und bewahre mich vor diesem Leiden!«; T4T: »Rescue me so that I do not have to suffer now!«. Auch BB erläutert in einer FN, der Becher stehe »für das Leiden, das Jesus bevorsteht« (ebenso die Easy-to-Read Version).</w:t>
      </w:r>
    </w:p>
  </w:footnote>
  <w:footnote w:id="2335">
    <w:p>
      <w:pPr>
        <w:pStyle w:val="Funote"/>
        <w:rPr/>
      </w:pPr>
      <w:r>
        <w:rPr>
          <w:rStyle w:val="Funotenzeichen"/>
        </w:rPr>
        <w:footnoteRef/>
      </w:r>
      <w:r>
        <w:rPr/>
        <w:tab/>
        <w:t>darum, dass (damit) - das entsprechende gr. Wort könnte sich sowohl nur auf »betet« als auch auf beide Verben beziehen: Entweder ist das nicht-in-Versuchung-Geraten dasjenige, worum gebeten werden soll, oder der Effekt des Wachens und Betens.</w:t>
      </w:r>
    </w:p>
  </w:footnote>
  <w:footnote w:id="2336">
    <w:p>
      <w:pPr>
        <w:pStyle w:val="Funote"/>
        <w:rPr/>
      </w:pPr>
      <w:r>
        <w:rPr>
          <w:rStyle w:val="Funotenzeichen"/>
        </w:rPr>
        <w:footnoteRef/>
      </w:r>
      <w:r>
        <w:rPr/>
        <w:tab/>
        <w:t>Geist – Fleisch - Gemeint ist nicht der Hl. Geist im Gegensatz zum Menschen, wie z.B. B/S deuten (»Der Heilige Geist macht mutig, aber als bloße Menschen sind wir feige«), sondern etwas wie in Röm 7,14-24 und Gal 5,16-25: Auch im gut gesinnten Menschen liegen stets diese seine gute Gesinnung und seine menschliche Schwäche miteinander im Streit; um mit der guten Gesinnung daher die menschliche Schwäche zu überkommen, bedarf es des Gebets. Sinngemäß daher richtig HfA (ähnlich KAM): »Ich weiß, ihr wollt das Beste, aber aus eigener Kraft könnt ihr es nicht erreichen«; auch God's Word und Names of God: »You want to do what's right, but you're weak«; T4T: »You want to do what I say, but you are not strong enough to actually do it«; Worldwide English: »A person's heart can want to do it, but his body is weak.«</w:t>
      </w:r>
    </w:p>
  </w:footnote>
  <w:footnote w:id="2337">
    <w:p>
      <w:pPr>
        <w:pStyle w:val="Funote"/>
        <w:rPr/>
      </w:pPr>
      <w:r>
        <w:rPr>
          <w:rStyle w:val="Funotenzeichen"/>
        </w:rPr>
        <w:footnoteRef/>
      </w:r>
      <w:r>
        <w:rPr/>
        <w:tab/>
        <w:t>Textkritik: Viele wichtige Handschriften auch: „Und nachdem er erneut gekommen war, fand er sie schlafend [vor]“. Schwierige Entscheidung; EÜ16 folgt z.B. der Variante im Fließtext, LUT17 dagegen der alternativen Variante. Diese ist aber eher zu erklären als eine Angleichung sowohl an V. 39 als auch an die fast gleichlautende Parallelstelle Mt 26,43, als dass man unsere Primär-variante als eine Abwandlung der Sekundär-variante zur Herstellung stilistisch besserer Varianz werten sollte (denn warum sollte dann das palin („erneut“) nur drei Wörter nach hinten verschoben worden sein, anstatt es zu streichen?).</w:t>
      </w:r>
    </w:p>
  </w:footnote>
  <w:footnote w:id="2338">
    <w:p>
      <w:pPr>
        <w:pStyle w:val="Funote"/>
        <w:rPr/>
      </w:pPr>
      <w:r>
        <w:rPr>
          <w:rStyle w:val="Funotenzeichen"/>
        </w:rPr>
        <w:footnoteRef/>
      </w:r>
      <w:r>
        <w:rPr/>
        <w:tab/>
        <w:t>Vorausgesetzt, aber nicht ausgeführt ist hier eine erneute Aufforderung Jesu an die Jünger.</w:t>
      </w:r>
    </w:p>
  </w:footnote>
  <w:footnote w:id="2339">
    <w:p>
      <w:pPr>
        <w:pStyle w:val="Funote"/>
        <w:rPr/>
      </w:pPr>
      <w:r>
        <w:rPr>
          <w:rStyle w:val="Funotenzeichen"/>
        </w:rPr>
        <w:footnoteRef/>
      </w:r>
      <w:r>
        <w:rPr/>
        <w:tab/>
        <w:t>Vorausgesetzt, aber nicht ausgeführt, ist, dass Jesus ein drittes Mal fortgeht und betet. Es ist sehr deutlich: Zunehmend gerät hier nicht in den Fokus, was Jesus tut und wie er empfindet, sondern die Schwäche der Jünger.</w:t>
      </w:r>
    </w:p>
  </w:footnote>
  <w:footnote w:id="2340">
    <w:p>
      <w:pPr>
        <w:pStyle w:val="Funote"/>
        <w:rPr/>
      </w:pPr>
      <w:r>
        <w:rPr>
          <w:rStyle w:val="Funotenzeichen"/>
        </w:rPr>
        <w:footnoteRef/>
      </w:r>
      <w:r>
        <w:rPr/>
        <w:tab/>
        <w:t>Von nun an könnt ihr schlafen und euch ausruhen, es langt. - Sehr schwieriger Vers; besondere Schwierigkeiten macht das allein stehende apechei (»es langt«), das daher von einigen Handschriften gestrichen, von anderen um to telos ergänzt worden ist: »Das Ziel ist erlangt«. Jedes der Worte macht hier Schwierigkeiten: # Von nun an (a) wird von fast allen übersetzt mit »immer noch« oder »schon wieder«; diese Bedeutung ist aber unbelegt. (b) Seine gewöhnliche Bed. ist »von jetzt an«; (c) einige haben außerdem vorgeschlagen, es stehe hier für »den Rest« (nämlich der Nacht: »Wollt ihr den Rest [der Nacht] schlafen?« (z.B. Marcus 2009, S. 980) (d) oder könne auch als bloßes Funktionswort (»dann also«) gebraucht werden: »Dann schlaft also!« (z.B. Brown 1994, S. 208). # Ihr könnt schlafen und euch ausruhen: Die beiden Verben könnten von ihrer Form her sowohl Imperativ als auch Indikativ und der Satz sowohl ein Frage- als auch ein Aussagesatz sein, möglich ist daher jede der folgenden Versionen:(a) Eine Erlaubnis (permissiver Imperativ): »Ihr dürft schlafen und euch ausruhen.«(b) Ein sarkastischer Befehl: »Dann schlaft doch! Ruht euch nur aus!«(c) Eine Feststellung, die wohl als Vorwurf verstanden werden muss: »Ihr schlaft und ruht euch aus!«(d) Eine Frage, die dann ebenfalls als Vorwurf verstanden werden müsste: »Ihr schlaft und ruht euch aus!?« # Es langt: (a) »Es langt,« ihr könnt aufhören, euch darum zu bemühen, wach zu bleiben (unsere Deutung).(b) »Es langt [mit eurem Schlafen]!« (viele Üss.; z.B. B/S, KAM, T4T, The Passion Translation, The Voice, WIL)(c) »Er (nämlich Judas) hat's erlangt«, nämlich das Geld für seinen Verrat (Brown 1994, S. 201: »The money is paid«).(d) »Sie ist erlangt«, also erreicht – nämlich die Zeit, da Jesu verraten wird (BB, MSG, NGÜ, NLT, R-S: »Es ist so weit!)«(e) »Das Ziel ist erlangt« / »Es ist erlangt« / »Das Ziel ist erlangt? [Nein:] ...« / »Es ist erlangt? [Nein:] ...« Vier Varianten der selben Deutung, die sich an der Hinzufügung von to telos (»das Ziel«) in einigen Handschriften orientieren. Einige halten to telos für ursprünglich; andere gauben, to telos sei sekundär und sei für diese Deutung auch nicht notwendig. So JJ: »Das Erwartete ist da!«; auch Evans 2001, S. 416; Marcus 2009, S. 980.(f) »Er (nämlich Judas) ist fern«; so Gundry 2000, S. 857, der davon ausgeht, das zwischen dieser Äußerung und dem direkt nachfolgenden Satz eine längere Zeitspanne vergeht und dass Jesus den Jüngern deshalb für diese Zeit das Schlafen erlaubt. Besser dann aber »Er ist fern? [Nein,] ...«</w:t>
      </w:r>
    </w:p>
  </w:footnote>
  <w:footnote w:id="2341">
    <w:p>
      <w:pPr>
        <w:pStyle w:val="Funote"/>
        <w:rPr/>
      </w:pPr>
      <w:r>
        <w:rPr>
          <w:rStyle w:val="Funotenzeichen"/>
        </w:rPr>
        <w:footnoteRef/>
      </w:r>
      <w:r>
        <w:rPr/>
        <w:tab/>
        <w:t>Menge - unspezifische Bezeichnung, die sich sowohl auf eine „Zivilistenmenge“ – einen „Mob“ (CEB) – beziehen könnte als auch auf ein großes Kommando aus Tempelwächtern und Polizeitruppen. Die Bewaffnung ist nicht aussagekräftig: Auch Zivilisten konnten Schwerter tragen, auch Soldaten Keulen. Dass sie „von den Hohepriestern usw.“ kommen, macht letzteres etwas wahrscheinlicher; letztlich lässt es sich aber nicht mit Sicherheit sagen, wie die „Menge“ zusammengesetzt war und sowohl eine Übersetzung mit „Mob“ als auch eine Übersetzung der Keulen mit „Schlagstöcken“, um die Träger eindeutig als Polizisten zu identifizieren (so schön Lohfink 2011, S. 385), wäre eine Überinterpretation.</w:t>
      </w:r>
    </w:p>
  </w:footnote>
  <w:footnote w:id="2342">
    <w:p>
      <w:pPr>
        <w:pStyle w:val="Funote"/>
        <w:rPr/>
      </w:pPr>
      <w:r>
        <w:rPr>
          <w:rStyle w:val="Funotenzeichen"/>
        </w:rPr>
        <w:footnoteRef/>
      </w:r>
      <w:r>
        <w:rPr/>
        <w:tab/>
        <w:t>Schwertern und Keulen - auffälliger, als es auf den ersten Blick scheint. Die Geschehnisse tragen sich zu in der Nacht vom 14. auf den 15. Nisan, der Pascha-Nacht. Für diese Festnacht galten aber die gleichen Vorschriften wie für den Sabbat (s. Ex 12,16; Lev 23,7; Num 28,18) und zu diesen gehörte auch das Verbot, Lasten – und also auch Waffen – zu tragen (vgl. Dalman 1922, S. 89). Außer Kraft gesetzt war dieses Gebot nur in Fällen der Todesgefahr (s. t.Sab 15,11; b.Yom 84b), in denen man also z.B. Waffen benötigte, um sein Leben zu retten. Übertrat man wissentlich dieses Verbot, war die angemessene Strafe der Tod (s. Num 15,30-36). Aus der Perspektive des Lesers, der weiß, dass von Jesus natürlich keine Todesgefahr ausgeht, wird also klar: Die Bewaffneten versündigen sich hier sehr schwer.</w:t>
      </w:r>
    </w:p>
  </w:footnote>
  <w:footnote w:id="2343">
    <w:p>
      <w:pPr>
        <w:pStyle w:val="Funote"/>
        <w:rPr/>
      </w:pPr>
      <w:r>
        <w:rPr>
          <w:rStyle w:val="Funotenzeichen"/>
        </w:rPr>
        <w:footnoteRef/>
      </w:r>
      <w:r>
        <w:rPr/>
        <w:tab/>
        <w:t>Hohepriestern und Schriftgelehrten und Ältesten - Wie in Mk 8,31 die drei Gruppen, die an der Spitze der jüd. Religion standen.</w:t>
      </w:r>
    </w:p>
  </w:footnote>
  <w:footnote w:id="2344">
    <w:p>
      <w:pPr>
        <w:pStyle w:val="Funote"/>
        <w:rPr/>
      </w:pPr>
      <w:r>
        <w:rPr>
          <w:rStyle w:val="Funotenzeichen"/>
        </w:rPr>
        <w:footnoteRef/>
      </w:r>
      <w:r>
        <w:rPr/>
        <w:tab/>
        <w:t>küssen (V. 44), küsste (V. 45) - Die Handlung an sich ist nicht bedeutsam; der Kuss (meist auf die Stirn, die Wange oder die Hand) war eine gewöhnliche Form der Begrüßung (s. Ex 4,27; Apg 20,37; Röm 16,16; 1 Kor 16,20; 1 Thess 5,26; 1 Pet 5,14), besonders zwischen Lehrern und ihren Schülern (s. 1 Esra 4,47; t.Hag 2,1; b.Hag 14b; b.Sot 13a). Wie hier aber der Kuss zu bewerten ist, ist klar gesagt: Er ist ein Signal zur Verhaftung Jesu. Mk 14,44 greift damit das verbreitete Motiv des heuchlerischen Kusses auf; s. noch in Gen 27,26f.; 2 Sam 15,5; 20,9; Spr 7,13; 27,6; Sir 29,5. Unterstrichen wird dies noch damit, dass der Kuss als Signal ja gar nicht nötig wäre; schon durch das »Rabbi!« in V. 45 wird ja Jesus identifizierbar.In V. 45 wird ein leicht anderes Wort für »küssen« verwendet als in V. 44: kataphileo (vs. phileo). Das Präfix kata- kann theoretisch das Verb intensivieren (daher z.B. Ernst 1981, S. 433: »küsste ihn innig«), ist aber hier wohl eher wie auch sonst oft im ntl. Griechisch bedeutungslos (auch in Gen 31,28.55 LXX, Ex 4,27 LXX wird kataphileo statt phileo für den normalen Begrüßungskuss verwendet; Marcus 2009, S. 991.). Ganz unwahrscheinlich ist daher auch, dass das Präfix hier ausdrücken soll, dass Judas Jesus wie in Lk 7,45 auf einen tiefer liegenden Körperteil wie die Füße küsst, wie das z.B. Gundry 2000, S. 859 will.</w:t>
      </w:r>
    </w:p>
  </w:footnote>
  <w:footnote w:id="2345">
    <w:p>
      <w:pPr>
        <w:pStyle w:val="Funote"/>
        <w:rPr/>
      </w:pPr>
      <w:r>
        <w:rPr>
          <w:rStyle w:val="Funotenzeichen"/>
        </w:rPr>
        <w:footnoteRef/>
      </w:r>
      <w:r>
        <w:rPr/>
        <w:tab/>
        <w:t>Textkritik: Rabbi, Rabbi! - In wenigen Handschriften findet sich auch ein doppeltes „Rabbi“; so daher auch z.B. bei JJ, SLT, TAF. Welche Version die ursprüngliche ist, ist schwer entscheidbar, die Bezeugung des doppelten „Rabbi“ ist aber so schlecht, dass man sich deshalb guten Gewissens mit den meisten Üss. für unsere Primärvariante entscheiden kann.</w:t>
      </w:r>
    </w:p>
  </w:footnote>
  <w:footnote w:id="2346">
    <w:p>
      <w:pPr>
        <w:pStyle w:val="Funote"/>
        <w:rPr/>
      </w:pPr>
      <w:r>
        <w:rPr>
          <w:rStyle w:val="Funotenzeichen"/>
        </w:rPr>
        <w:footnoteRef/>
      </w:r>
      <w:r>
        <w:rPr/>
        <w:tab/>
        <w:t>Ein Gewisser von den Dabeistehenden - Doppelt unspezifischer Ausdruck. Nach Mt und Lk war es einer der Jünger, nach Joh Petrus. Gundry 2000, S. 860 glaubt dagegen, die Rede sei hier von einem der Soldaten, da nur von diesen gesagt sei, dass sie Schwerter hätten. Beides sagt Mk aber gerade nicht; hier ist der Handelnde (wie in Mk 14,69f.; 15,35.39 „einer der Dabeistehenden“; Inhaber einer so unbedeutenden Nebenrolle, dass es nicht nötig ist, ihn näher zu charakterisieren. Richtig daher wohl Brown 1994, S. 266; Evans 2001, S. 424: Die Rede ist von einem, der zu keiner der beiden Parteiungen gehört, sondern zufällig zugegen ist. Gerade nicht also: „One of the disciples“ (T4T), „Einer von den Männern, die bei Jesus standen“ (HfA, NeÜ, NGÜ, NLT) oder gar „Einer von den Männern, die bei Jesus waren, wollte das verhindern. Er zog sein Schwert...“ (KAM).</w:t>
      </w:r>
    </w:p>
  </w:footnote>
  <w:footnote w:id="2347">
    <w:p>
      <w:pPr>
        <w:pStyle w:val="Funote"/>
        <w:rPr/>
      </w:pPr>
      <w:r>
        <w:rPr>
          <w:rStyle w:val="Funotenzeichen"/>
        </w:rPr>
        <w:footnoteRef/>
      </w:r>
      <w:r>
        <w:rPr/>
        <w:tab/>
        <w:t>In JosAnt XIV,366 und t.Par 3,8 findet sich jeweils eine Erzählung, in der einem Hohepriester das Ohr abgeschnitten wird, wodurch dieser aufgrund dieses körperlichen Makels fortan nicht mehr dazu geeignet ist, Hohepriester zu sein (s. Lev 21,16-23; in V. 18 fügt LXX gar noch explizit hinzu: „Keiner, dessen Ohr abgeschnitten ist [darf den Dienst am Allerheiligsten versehen]“). So verstehen auch unsere Stelle Daube 1960; Lampe 1984; Lohmeyer 1951, S. 322; Rostovtzeff 1934 und Viviano 1989: Der Angriff auf den Diener des Hohepriesters ist als symbolische Handlung zu verstehen, mit der dem Hohepriester über diese Handlung an seinem Repräsentanten die Eignung zum Hohepriestertum abgesprochen wird.</w:t>
      </w:r>
    </w:p>
  </w:footnote>
  <w:footnote w:id="2348">
    <w:p>
      <w:pPr>
        <w:pStyle w:val="Funote"/>
        <w:rPr/>
      </w:pPr>
      <w:r>
        <w:rPr>
          <w:rStyle w:val="Funotenzeichen"/>
        </w:rPr>
        <w:footnoteRef/>
      </w:r>
      <w:r>
        <w:rPr/>
        <w:tab/>
        <w:t>antwortete - markinisches apokrinomai (dazu vgl. Kleist 1937, S. 162f.): „Antworten“ hier nicht als Reaktion auf eine Anrede oder Frage, sondern auf einen Sachverhalt oder Tatbestand: Jesus ergreift das Wort und nimmt Bezug auf die Tatsache, dass seine Häscher mit Schwertern und Keulen gegen ihn ausgezogen sind.</w:t>
      </w:r>
    </w:p>
  </w:footnote>
  <w:footnote w:id="2349">
    <w:p>
      <w:pPr>
        <w:pStyle w:val="Funote"/>
        <w:rPr/>
      </w:pPr>
      <w:r>
        <w:rPr>
          <w:rStyle w:val="Funotenzeichen"/>
        </w:rPr>
        <w:footnoteRef/>
      </w:r>
      <w:r>
        <w:rPr/>
        <w:tab/>
        <w:t>Räuber (Rebellen, Aufwiegler) - Gr. lästäs. Etwa zeitgleich zur Abfassung des Mk ist dieser Begriff bei Josephus beinahe terminus technicus für Aufwiegler, für »präpolitische Rebellen«, die auf der Seite der jüdischen Landbevölkerung gegen die römische Macht im Land kämpften (vgl. z.B. Horsley/Hanson 1985, S. 48). So wollen das Wort auch hier einige Exegeten verstehen, weil Jesus doch nie wie ein »Räuber« eines Gewaltverbrechens bezichtigt worden sei (z.B. Evans 2001, S. 424; auch CJB, PAT). Gemeint sind hier aber wohl doch Räuber: Der Gebrauch von Waffen in dieser Festnacht wäre nur in Lebensgefahr zulässig gewesen (s.o.); Jesu Häscher sind also ausgezogen wie gegen einen, von dem Lebensgefahr ausgeht. Die häufige allgemeine Üs. »Verbrecher« verfehlt dies.</w:t>
      </w:r>
    </w:p>
  </w:footnote>
  <w:footnote w:id="2350">
    <w:p>
      <w:pPr>
        <w:pStyle w:val="Funote"/>
        <w:rPr/>
      </w:pPr>
      <w:r>
        <w:rPr>
          <w:rStyle w:val="Funotenzeichen"/>
        </w:rPr>
        <w:footnoteRef/>
      </w:r>
      <w:r>
        <w:rPr/>
        <w:tab/>
        <w:t>Tag für Tag (Tagsüber) - Beide Üss. sind möglich, die primäre Üs. findet sich in fast allen Üss. und ist auch sonst stets die Bed. des Ausdrucks im Mk. Die Schwierigkeit bei dieser Üs. ist aber, dass Jesus nach der Logik des Mk durchaus nicht »Tag für Tag« im Tempel war; von seinem Wirken dort wird ausschließlich in Mk 11,17; Mk 11,27-12,44 berichtet, wo er sich zwei Tage lang im Tempel aufhielt. Einige wollen daher sattdessen mit »Tagsüber« übersetzen (z.B. Marcus 2009, S. 993): »Tagsüber war ich doch im Tempel, ihr aber wollt mich nachts ergreifen!« Doch für diesen Aufenthalt tagsüber wird von keiner Lehrtätigkeit Jesu berichtet, so dass dies eher unwahrscheinlich ist.</w:t>
      </w:r>
    </w:p>
  </w:footnote>
  <w:footnote w:id="2351">
    <w:p>
      <w:pPr>
        <w:pStyle w:val="Funote"/>
        <w:rPr/>
      </w:pPr>
      <w:r>
        <w:rPr>
          <w:rStyle w:val="Funotenzeichen"/>
        </w:rPr>
        <w:footnoteRef/>
      </w:r>
      <w:r>
        <w:rPr/>
        <w:tab/>
        <w:t>im Tempel - gemeint ist der öffentlich zugängliche Vorhof des Tempels.</w:t>
      </w:r>
    </w:p>
  </w:footnote>
  <w:footnote w:id="2352">
    <w:p>
      <w:pPr>
        <w:pStyle w:val="Funote"/>
        <w:rPr/>
      </w:pPr>
      <w:r>
        <w:rPr>
          <w:rStyle w:val="Funotenzeichen"/>
        </w:rPr>
        <w:footnoteRef/>
      </w:r>
      <w:r>
        <w:rPr/>
        <w:tab/>
        <w:t>[Es sei], dass die Schriften erfüllt werden! - D.h.: »Nun wohl, die Schriften müssen erfüllt werden!«, imperativisches hina: Das »dass«/»damit« markiert hier, dass das Folgende erfüllt werden muss. An konkrete Schriftstellen ist hier wohl nicht gedacht; die »Schriften« sind hier eher ein Ausdruck für »Gottes Wille, der sich (auch) aus den heiligen Schriften herauslesen lässt«: Gottes Heilsplan muss erfüllt werden, nämlich der, dass Jesus unter die Verbrecher gerechnet und hingerichtet wird. Jesus fügt sich mit diesem Ausruf in sein Schicksal, was dann Anlass für die Flucht seiner Anhänger im nächsten Vers ist.</w:t>
      </w:r>
    </w:p>
  </w:footnote>
  <w:footnote w:id="2353">
    <w:p>
      <w:pPr>
        <w:pStyle w:val="Funote"/>
        <w:rPr/>
      </w:pPr>
      <w:r>
        <w:rPr>
          <w:rStyle w:val="Funotenzeichen"/>
        </w:rPr>
        <w:footnoteRef/>
      </w:r>
      <w:r>
        <w:rPr/>
        <w:tab/>
        <w:t>folgte ihm - wohl nicht: „folgte ihm [im Gegensatz zu den anderen, die flohen]“: Imperfekt (statt Aorist wie „fliehen“); gesagt wird, dass auch der junge Mann „ein Nachfolger Jesu war“. Daher nicht „Ein junger Mann allerdings folgte Jesus“ (HfA, NeÜ, NGÜ) o.Ä. Auch er flieht, aber auf bes. schmachvolle Weise; s. die Anmerkungen.</w:t>
      </w:r>
    </w:p>
  </w:footnote>
  <w:footnote w:id="2354">
    <w:p>
      <w:pPr>
        <w:pStyle w:val="Funote"/>
        <w:rPr/>
      </w:pPr>
      <w:r>
        <w:rPr>
          <w:rStyle w:val="Funotenzeichen"/>
        </w:rPr>
        <w:footnoteRef/>
      </w:r>
      <w:r>
        <w:rPr/>
        <w:tab/>
        <w:t>Leinentuch - hierzu s. die Anmerkungen.</w:t>
      </w:r>
    </w:p>
  </w:footnote>
  <w:footnote w:id="2355">
    <w:p>
      <w:pPr>
        <w:pStyle w:val="Funote"/>
        <w:rPr/>
      </w:pPr>
      <w:r>
        <w:rPr>
          <w:rStyle w:val="Funotenzeichen"/>
        </w:rPr>
        <w:footnoteRef/>
      </w:r>
      <w:r>
        <w:rPr/>
        <w:tab/>
        <w:t>V. 53 gehört entgegen der üblichen Aufteilung wohl noch zur vorigen Perikope: Das Mk ist häufig strukturiert nach dem Strukturprinzip des sog. „markinischen Sandwich“: Eine Perikope wird in zwei Perikopen aufgeteilt und eine dritte Perikope zwischen die beiden Teile geschoben. Hier gehört V. 54 deutlich Vv. 66-72, aufzuteilen ist also wohl: Vv. 43-53 - V. 54 - Vv. 55-65 - Vv. 66-72.</w:t>
      </w:r>
    </w:p>
  </w:footnote>
  <w:footnote w:id="2356">
    <w:p>
      <w:pPr>
        <w:pStyle w:val="Funote"/>
        <w:rPr/>
      </w:pPr>
      <w:r>
        <w:rPr>
          <w:rStyle w:val="Funotenzeichen"/>
        </w:rPr>
        <w:footnoteRef/>
      </w:r>
      <w:r>
        <w:rPr/>
        <w:tab/>
        <w:t>oberste Priester Auf Griechisch ebenfalls „Hohepriester“.</w:t>
      </w:r>
    </w:p>
  </w:footnote>
  <w:footnote w:id="2357">
    <w:p>
      <w:pPr>
        <w:pStyle w:val="Funote"/>
        <w:rPr/>
      </w:pPr>
      <w:r>
        <w:rPr>
          <w:rStyle w:val="Funotenzeichen"/>
        </w:rPr>
        <w:footnoteRef/>
      </w:r>
      <w:r>
        <w:rPr/>
        <w:tab/>
        <w:t>saß er (setzte er sich) - Aufgelöstes „war“+attr. Ptz., das wohl so verstanden werden muss, dass Petrus schon saß – und sich nicht eben erst setzte. Es scheint ein Zeitsprung stattgefunden zu haben. Darum wird der Aor. im ersten Satzteil gelegentlich als Plqpf. übersetzt.</w:t>
      </w:r>
    </w:p>
  </w:footnote>
  <w:footnote w:id="2358">
    <w:p>
      <w:pPr>
        <w:pStyle w:val="Funote"/>
        <w:rPr/>
      </w:pPr>
      <w:r>
        <w:rPr>
          <w:rStyle w:val="Funotenzeichen"/>
        </w:rPr>
        <w:footnoteRef/>
      </w:r>
      <w:r>
        <w:rPr/>
        <w:tab/>
        <w:t>Dienern (Wächtern) - Das griechische Wort kann sowohl auf Diener meinen (so Gnilka 1979 2 1989; Collins 2007) als auch hochgestellte Untergebene oder Wächter (so NET Fußnote 78 zu Mk 14,54)</w:t>
      </w:r>
    </w:p>
  </w:footnote>
  <w:footnote w:id="2359">
    <w:p>
      <w:pPr>
        <w:pStyle w:val="Funote"/>
        <w:rPr/>
      </w:pPr>
      <w:r>
        <w:rPr>
          <w:rStyle w:val="Funotenzeichen"/>
        </w:rPr>
        <w:footnoteRef/>
      </w:r>
      <w:r>
        <w:rPr/>
        <w:tab/>
        <w:t>Licht (Feuer) - Da man sich an Licht nicht wärmen kann, steht es hier metonymisch für Feuer (vgl. Louw/Nida 2,5; a.dt.Ü.).</w:t>
      </w:r>
    </w:p>
  </w:footnote>
  <w:footnote w:id="2360">
    <w:p>
      <w:pPr>
        <w:pStyle w:val="Funote"/>
        <w:rPr/>
      </w:pPr>
      <w:r>
        <w:rPr>
          <w:rStyle w:val="Funotenzeichen"/>
        </w:rPr>
        <w:footnoteRef/>
      </w:r>
      <w:r>
        <w:rPr/>
        <w:tab/>
        <w:t>von Hand erbauten - D.h. »von Menschen/menschlichen Händen«.</w:t>
      </w:r>
    </w:p>
  </w:footnote>
  <w:footnote w:id="2361">
    <w:p>
      <w:pPr>
        <w:pStyle w:val="Funote"/>
        <w:rPr/>
      </w:pPr>
      <w:r>
        <w:rPr>
          <w:rStyle w:val="Funotenzeichen"/>
        </w:rPr>
        <w:footnoteRef/>
      </w:r>
      <w:r>
        <w:rPr/>
        <w:tab/>
        <w:t>Zumindest in der uns überlieferten fraglichen Situation in Joh 2,19 sagt Jesus aber nicht, dass er den Tempel abreißen würde, sondern er fordert die jüdischen Führer dazu auf, spielt aber in Wirklichkeit auf seinen eigenen Körper an (2,21-22). Vielleicht stellt diese Verdrehung die gemachte Falschaussage dar.</w:t>
      </w:r>
    </w:p>
  </w:footnote>
  <w:footnote w:id="2362">
    <w:p>
      <w:pPr>
        <w:pStyle w:val="Funote"/>
        <w:rPr/>
      </w:pPr>
      <w:r>
        <w:rPr>
          <w:rStyle w:val="Funotenzeichen"/>
        </w:rPr>
        <w:footnoteRef/>
      </w:r>
      <w:r>
        <w:rPr/>
        <w:tab/>
        <w:t>[trat] - So NSS nach BA. Vgl. a.dt.Ü.</w:t>
      </w:r>
    </w:p>
  </w:footnote>
  <w:footnote w:id="2363">
    <w:p>
      <w:pPr>
        <w:pStyle w:val="Funote"/>
        <w:rPr/>
      </w:pPr>
      <w:r>
        <w:rPr>
          <w:rStyle w:val="Funotenzeichen"/>
        </w:rPr>
        <w:footnoteRef/>
      </w:r>
      <w:r>
        <w:rPr/>
        <w:tab/>
        <w:t>trat in die Mitte und - Attr. Ptz. mit Und-Kombination aufgelöst.</w:t>
      </w:r>
    </w:p>
  </w:footnote>
  <w:footnote w:id="2364">
    <w:p>
      <w:pPr>
        <w:pStyle w:val="Funote"/>
        <w:rPr/>
      </w:pPr>
      <w:r>
        <w:rPr>
          <w:rStyle w:val="Funotenzeichen"/>
        </w:rPr>
        <w:footnoteRef/>
      </w:r>
      <w:r>
        <w:rPr/>
        <w:tab/>
        <w:t>schwieg [weiter] - Das hier verwendete Imperfekt drückt eine wiederholte oder fortgesetzte Handlung aus.</w:t>
      </w:r>
    </w:p>
  </w:footnote>
  <w:footnote w:id="2365">
    <w:p>
      <w:pPr>
        <w:pStyle w:val="Funote"/>
        <w:rPr/>
      </w:pPr>
      <w:r>
        <w:rPr>
          <w:rStyle w:val="Funotenzeichen"/>
        </w:rPr>
        <w:footnoteRef/>
      </w:r>
      <w:r>
        <w:rPr/>
        <w:tab/>
        <w:t xml:space="preserve">Allmächtiger - Eine jüdische Bezeichnung Gottes, um das Aussprechen eines Gottesnamens oder -titels zu vermeiden (TWNT </w:t>
      </w:r>
      <w:r>
        <w:rPr>
          <w:lang w:val="el-GR"/>
        </w:rPr>
        <w:t>δύναμις</w:t>
      </w:r>
      <w:r>
        <w:rPr/>
        <w:t xml:space="preserve"> C.I.c). Der Platz an der rechten Seite des Gastgebers gilt im Orient als Ehrenplatz.</w:t>
      </w:r>
    </w:p>
  </w:footnote>
  <w:footnote w:id="2366">
    <w:p>
      <w:pPr>
        <w:pStyle w:val="Funote"/>
        <w:rPr/>
      </w:pPr>
      <w:r>
        <w:rPr>
          <w:rStyle w:val="Funotenzeichen"/>
        </w:rPr>
        <w:footnoteRef/>
      </w:r>
      <w:r>
        <w:rPr/>
        <w:tab/>
        <w:t>wie er an der rechten [Seite] des Allmächtigen sitzt - ein Zitat von Ps 110,1</w:t>
      </w:r>
    </w:p>
  </w:footnote>
  <w:footnote w:id="2367">
    <w:p>
      <w:pPr>
        <w:pStyle w:val="Funote"/>
        <w:rPr/>
      </w:pPr>
      <w:r>
        <w:rPr>
          <w:rStyle w:val="Funotenzeichen"/>
        </w:rPr>
        <w:footnoteRef/>
      </w:r>
      <w:r>
        <w:rPr/>
        <w:tab/>
        <w:t>Das Reiten auf Wolken war eine Handlung, die im vorderen Orient nur Göttern zugeschrieben wurde.</w:t>
      </w:r>
    </w:p>
  </w:footnote>
  <w:footnote w:id="2368">
    <w:p>
      <w:pPr>
        <w:pStyle w:val="Funote"/>
        <w:rPr/>
      </w:pPr>
      <w:r>
        <w:rPr>
          <w:rStyle w:val="Funotenzeichen"/>
        </w:rPr>
        <w:footnoteRef/>
      </w:r>
      <w:r>
        <w:rPr/>
        <w:tab/>
        <w:t>AcP. Oder: „werdet ihn sitzen und kommen sehen“. Beide beschriebenen Handlungen stellen Jesus nicht nur als den versprochenen Retter (Messias), sondern auch als göttlich dar. Durch dieses Bekenntnis hat Jesus die falschen Zeugenaussagen unnötig gemacht und den jüdischen Führern einen Beweis gegeben, um ihn wegen Blasphemie anzuklagen, worauf nach dem Gesetz die Todesstrafe stand.</w:t>
      </w:r>
    </w:p>
  </w:footnote>
  <w:footnote w:id="2369">
    <w:p>
      <w:pPr>
        <w:pStyle w:val="Funote"/>
        <w:rPr/>
      </w:pPr>
      <w:r>
        <w:rPr>
          <w:rStyle w:val="Funotenzeichen"/>
        </w:rPr>
        <w:footnoteRef/>
      </w:r>
      <w:r>
        <w:rPr/>
        <w:tab/>
        <w:t>zerriss seine Kleider - Als Zeichen des Entsetzens riss man bei Gotteslästerung seine Kleider mit einem Ruck am Kragen ein (s. m.San vii 5; vgl. NSS). In Levitikus 21#s10 Lev 21,10 wird aber dem Hohepriester explizit unteragt, seine hohepriesterliche Kleidung zu zerreißen; einmal mehr erweist sich der Hohepriester so als seines Amtes nicht würdig.</w:t>
      </w:r>
    </w:p>
  </w:footnote>
  <w:footnote w:id="2370">
    <w:p>
      <w:pPr>
        <w:pStyle w:val="Funote"/>
        <w:rPr/>
      </w:pPr>
      <w:r>
        <w:rPr>
          <w:rStyle w:val="Funotenzeichen"/>
        </w:rPr>
        <w:footnoteRef/>
      </w:r>
      <w:r>
        <w:rPr/>
        <w:tab/>
        <w:t>Gotteslästerung - Als »gotteslästerlich« erachtet wird wohl hier Jesu Anspruch, dereinst an der rechten Seite Gottes zu sitzen (was sonst nur von besonderen legendarischen Figuren wie Abraham, Moses und David gesagt werden konnte) und auf den Wolken des Himmels wiederzukommen (was sonst nur von Göttern gesagt wird, z.B. in Ps 104,3): Jesus stellt sich hier auf eine Ebene mit Gott. Nach R. Abbahu etwa wird es daher ein Mensch bereuen, wenn er behauptet, Gott zu sein, der Menschensohn zu sein oder in den Himmel aufzufahren (j.Ta'an 2,1). Vgl. zur Gotteslästerung v.a. Bock 2007.</w:t>
      </w:r>
    </w:p>
  </w:footnote>
  <w:footnote w:id="2371">
    <w:p>
      <w:pPr>
        <w:pStyle w:val="Funote"/>
        <w:rPr/>
      </w:pPr>
      <w:r>
        <w:rPr>
          <w:rStyle w:val="Funotenzeichen"/>
        </w:rPr>
        <w:footnoteRef/>
      </w:r>
      <w:r>
        <w:rPr/>
        <w:tab/>
        <w:t>D.h. „schuldig zu sein und den Tod zu verdienen“ (LN 88.313). Anders aufgelöst: „Und sie alle urteilten, dass er des Todes schuldig war.“</w:t>
      </w:r>
    </w:p>
  </w:footnote>
  <w:footnote w:id="2372">
    <w:p>
      <w:pPr>
        <w:pStyle w:val="Funote"/>
        <w:rPr/>
      </w:pPr>
      <w:r>
        <w:rPr>
          <w:rStyle w:val="Funotenzeichen"/>
        </w:rPr>
        <w:footnoteRef/>
      </w:r>
      <w:r>
        <w:rPr/>
        <w:tab/>
        <w:t>spuckten ... verhüllten ... prügelten ... sagten - W. „begannen zu spucken und ...“; ein sog. „markinisches archomai“ („beginnen“, vgl. dazu Kleist 1937, S. 154f.), das nicht ins Dt. zu übersetzen ist (so auch Kleist 1937, S. 229). Viele Üss. (z.B. GN, LUT17, NeÜ, NGÜ) übersetzen es doch.</w:t>
      </w:r>
    </w:p>
  </w:footnote>
  <w:footnote w:id="2373">
    <w:p>
      <w:pPr>
        <w:pStyle w:val="Funote"/>
        <w:rPr/>
      </w:pPr>
      <w:r>
        <w:rPr>
          <w:rStyle w:val="Funotenzeichen"/>
        </w:rPr>
        <w:footnoteRef/>
      </w:r>
      <w:r>
        <w:rPr/>
        <w:tab/>
        <w:t>Textkritik - Nicht wenige Handschriften haben mit Mt 26,68 „Prophezeie uns, Christus: Wer ists, der dich schlägt?“; fast ebenso Lk 22,64: „Prophezeie: Wer ists, der dich schlägt?“. Gleichzeitig findet es sich in so vielen Handschriften nicht, dass es klar sekundär ist und wohl aus Mt in diese Handschriften eingetragen wurde. Textkritisch ist dies für unsere Stelle nicht sehr problematisch, an sich aber höchst interessant, da Mt und Lk ihre Evv. von Mk abgeschrieben haben, ohne einander zu kennen – und sich dieser Zusatz dennoch in beiden Evv. findet, nicht aber im Mk (ein sog. „Minor Agreement“). Vermutlich ist es zu erklären als eine Schöpfung des Lukas, die von Schreibern dann ins Mt eingetragen und von dort dann auch in einige Handschriften des Mk übernommen wurde (vgl. bes. Neirynck 1991; Streeter 1930, S. 325-8).</w:t>
      </w:r>
    </w:p>
  </w:footnote>
  <w:footnote w:id="2374">
    <w:p>
      <w:pPr>
        <w:pStyle w:val="Funote"/>
        <w:rPr/>
      </w:pPr>
      <w:r>
        <w:rPr>
          <w:rStyle w:val="Funotenzeichen"/>
        </w:rPr>
        <w:footnoteRef/>
      </w:r>
      <w:r>
        <w:rPr/>
        <w:tab/>
        <w:t>nahmen sich seiner mit Ohrfeigen an - W. „sie nahmen ihn mit Ohrfeigen“, wohl dir. Übersetzung einer lat. Redewendung (verberibus eum acceperunt, BDR §5,4) mit der obigen Bed. Einige Üs. geben dagegen „nehmen“ die Bed. „in Empfang nehmen“, was evt. auch möglich ist: „sie nahmen ihn mit Schlägen in Empfang“ (z.B. MEN, MNT, PAT, ZÜR; wohl auch Grosvenor/Zerwick).</w:t>
      </w:r>
    </w:p>
  </w:footnote>
  <w:footnote w:id="2375">
    <w:p>
      <w:pPr>
        <w:pStyle w:val="Funote"/>
        <w:rPr/>
      </w:pPr>
      <w:r>
        <w:rPr>
          <w:rStyle w:val="Funotenzeichen"/>
        </w:rPr>
        <w:footnoteRef/>
      </w:r>
      <w:r>
        <w:rPr/>
        <w:tab/>
        <w:t>unten im Hof (V. 66), in den Vorhof (V. 68) - Das Haus des Hohepriesters müssen wir uns also wohl vorstellen als ein zweistöckiges Gebäude, zu dem auch erstens ein nach außen hin offener, aber wohl von einem Tor abgetrennter (s. Mt 26,71) Innenhof und zweitens ein davor gelegener Außen- oder Vorhof gehörte. Jesus wird im Obergeschoss vernommen, Petrus hält sich mit Tempelwächtern und einigen Hausbediensteten im Innenhof auf. Um 1970 wurde in Jerusalem das sogenannte „Burnt House“ gefunden, ein (nur!) etwa 13x15m großes (und damit!) vergleichsweise luxuriöses Gebäude der Familie Qathros aus der Priesteraristokratie. Auch dieses war zweistöckig und hatte einen entsprechenden Innenhof; die Beschreibung ist also realistisch. Der Innenhof dieses Hauses hat die Maße von nur etwa 2,5x2m, säße man in einem solchen Innenhof also um ein Feuer, säße man sehr dicht gedrängt.</w:t>
      </w:r>
    </w:p>
  </w:footnote>
  <w:footnote w:id="2376">
    <w:p>
      <w:pPr>
        <w:pStyle w:val="Funote"/>
        <w:rPr/>
      </w:pPr>
      <w:r>
        <w:rPr>
          <w:rStyle w:val="Funotenzeichen"/>
        </w:rPr>
        <w:footnoteRef/>
      </w:r>
      <w:r>
        <w:rPr/>
        <w:tab/>
        <w:t>mit - Vgl. Mk 3|14: »Er bestimmt zwölf, damit sie mit ihm seien«; ausgesagt wird also hier wohl, dass Petrus einer der Anhänger Jesus sei (HfA: »Du gehörst doch auch zu diesem Jesus aus Nazareth!«).</w:t>
      </w:r>
    </w:p>
  </w:footnote>
  <w:footnote w:id="2377">
    <w:p>
      <w:pPr>
        <w:pStyle w:val="Funote"/>
        <w:rPr/>
      </w:pPr>
      <w:r>
        <w:rPr>
          <w:rStyle w:val="Funotenzeichen"/>
        </w:rPr>
        <w:footnoteRef/>
      </w:r>
      <w:r>
        <w:rPr/>
        <w:tab/>
        <w:t>leugnete - Nicht: „leugnete es“. Zur Abfassungszeit des Mk war arneomai („leugnen“) ein beladener Begriff, mit dem Christen, mit dem man auch bezeichnete, wenn Christen, die ob ihres Christseins verfolgt und verhört wurden, sich von Jesus lossagten. Petrus wird hier schon anfanghaft zum Apostat (vgl. Lampe 1973, S. 353; Marcus 2009, S. 1023). S. die Anmerkungen.In V. 70 steht „leugnen“ anders als in V. 68 nicht im Aorist, sondern im Imperfekt; ebenso wie das palin („erneut“) unterstreicht hier also die Wortform, dass Petrus hier schon zum zweiten Mal leugnet.</w:t>
      </w:r>
    </w:p>
  </w:footnote>
  <w:footnote w:id="2378">
    <w:p>
      <w:pPr>
        <w:pStyle w:val="Funote"/>
        <w:rPr/>
      </w:pPr>
      <w:r>
        <w:rPr>
          <w:rStyle w:val="Funotenzeichen"/>
        </w:rPr>
        <w:footnoteRef/>
      </w:r>
      <w:r>
        <w:rPr/>
        <w:tab/>
        <w:t>Oder: „Weder weiß ich noch verstehe ich. Was sagst du?“, aber vgl. m.Sheb viii 3.6, wo ein Befragter sich „dumm stellt“: „Ich weiß nicht, was du sagst“. So deutet Mk klar auch Mt 26,70. Vielleicht auch: „Weder kenne ich [ihn] noch verstehe ich, was du sagst“; so könnte Lk 22,57 Mk verstanden haben: „Ich kenne ihn nicht, Weib!“Das „weder ... noch“ ist beim Hendyadioin „wissen und verstehen“ eigentlich ungrammatisch und unterstreicht so die Entschiedenheit, mit der Petrus die Unterstellung der Magd von sich weist (vgl. Brown 1994, S. 600; Gundry 2000, S. 888).</w:t>
      </w:r>
    </w:p>
  </w:footnote>
  <w:footnote w:id="2379">
    <w:p>
      <w:pPr>
        <w:pStyle w:val="Funote"/>
        <w:rPr/>
      </w:pPr>
      <w:r>
        <w:rPr>
          <w:rStyle w:val="Funotenzeichen"/>
        </w:rPr>
        <w:footnoteRef/>
      </w:r>
      <w:r>
        <w:rPr/>
        <w:tab/>
        <w:t>er ging hinaus nach draußen in den Vorhof - im Gr. drei Ausdrücke, deren jedes bedeutet, dass Petrus sich vom Hof und damit auch von Jesus entfernt: exälthen („erging hinaus“) exo („nach draußen“) eis to proaulion („in den Vorhof“); im Gr. 'proaulion („Vorhof“) kommt ebenso wie im Dt. schon sprachlich zum Ausdruck, dass es nicht mehr der „Hof“ (aulä) ist. Petrus distanziert sich.</w:t>
      </w:r>
    </w:p>
  </w:footnote>
  <w:footnote w:id="2380">
    <w:p>
      <w:pPr>
        <w:pStyle w:val="Funote"/>
        <w:rPr/>
      </w:pPr>
      <w:r>
        <w:rPr>
          <w:rStyle w:val="Funotenzeichen"/>
        </w:rPr>
        <w:footnoteRef/>
      </w:r>
      <w:r>
        <w:rPr/>
        <w:tab/>
        <w:t>Textkritik: {und ein Hahn krähte} (V. 68), zum zweiten Mal ({zum zweiten Mal}) (V. 72) - Schwierige textkritische Frage; in vielen wichtigen Handschriften finden sich diese Worte, in vielen wichtigen Handschriften fehlen sie. Entweder wurden die in V. 68 gestrichen, um Mk an Mt und Lk anzugleichen, oder sie wurden hinzugefügt, um Jesu Prophezeiung in V. 30 sich deutlicher erfüllen zu lassen (vgl. TCGNT, S. 115f.), und entweder wurden die in V. 72 gestrichen, weil nur von einem Hahnenschrei die Rede ist, oder auch sie wurden aus dem selben Grund hinzugefügt. In einigen Handschriften finden sich die Worte aus V. 72, nicht aber die aus V. 68. Wären beide ursprünglich, gäbe es keinen guten Grund, die in V. 68 zu streichen, wenn doch in V. 72 von einem zweiten Hahnenschrei die Rede wäre; dass V. 68 sekundär und V. 72 ursprünglich ist, ist daher etwas wahrscheinlicher. Das würde dann auch erklären, warum in Mt und Lk nur von einem Hahnenschrei die Rede ist: Auch bei Mk würde dann nur von einem Hahnenschrei berichtet, obwohl dieser als der „zweite Hahnenschrei“ bezeichnet wird (so richtig Willker). So z.B. auch EÜ; anders z.B LUT.</w:t>
      </w:r>
    </w:p>
  </w:footnote>
  <w:footnote w:id="2381">
    <w:p>
      <w:pPr>
        <w:pStyle w:val="Funote"/>
        <w:rPr/>
      </w:pPr>
      <w:r>
        <w:rPr>
          <w:rStyle w:val="Funotenzeichen"/>
        </w:rPr>
        <w:footnoteRef/>
      </w:r>
      <w:r>
        <w:rPr/>
        <w:tab/>
        <w:t>sagte - W. „begann sie zu sagen“; ein sog. „markinisches archomai“ („beginnen“, vgl. dazu Kleist 1937, S. 154f.), das nicht ins Dt. zu übersetzen ist (so auch Kleist 1937, S. 229). Einige Üss. übersetzen es aber doch (z.B. LUT17).</w:t>
      </w:r>
    </w:p>
  </w:footnote>
  <w:footnote w:id="2382">
    <w:p>
      <w:pPr>
        <w:pStyle w:val="Funote"/>
        <w:rPr/>
      </w:pPr>
      <w:r>
        <w:rPr>
          <w:rStyle w:val="Funotenzeichen"/>
        </w:rPr>
        <w:footnoteRef/>
      </w:r>
      <w:r>
        <w:rPr/>
        <w:tab/>
        <w:t>gehör(s)t zu - W. »ist von«.</w:t>
      </w:r>
    </w:p>
  </w:footnote>
  <w:footnote w:id="2383">
    <w:p>
      <w:pPr>
        <w:pStyle w:val="Funote"/>
        <w:rPr/>
      </w:pPr>
      <w:r>
        <w:rPr>
          <w:rStyle w:val="Funotenzeichen"/>
        </w:rPr>
        <w:footnoteRef/>
      </w:r>
      <w:r>
        <w:rPr/>
        <w:tab/>
        <w:t>Textkritik: Einige Handschriften fügen hinzu: „... und deine Sprache ist ähnlich“ (nämlich der von Jesus); so auch JJ, SLT, TAF. Dies könnte gut auch ursprünglich sein (so z.B. Cranfield 1959, S. 447; die Version von Mt („deine Sprache verrät dich“) wäre dann eine kontextgemäßere Paraphrase), wird aber von fast allen Üss. als sekundär angesehen. Einzig deshalb auch hier; letztlich ist diese Frage aber nicht entscheidbar.Dass Galiläer eine leicht andere Aussprache hatten als der Rest Israels, ist recht gut bezeugt; s. b.Ber 32a; b.Meg 24b; b.Erub 53b.</w:t>
      </w:r>
    </w:p>
  </w:footnote>
  <w:footnote w:id="2384">
    <w:p>
      <w:pPr>
        <w:pStyle w:val="Funote"/>
        <w:rPr/>
      </w:pPr>
      <w:r>
        <w:rPr>
          <w:rStyle w:val="Funotenzeichen"/>
        </w:rPr>
        <w:footnoteRef/>
      </w:r>
      <w:r>
        <w:rPr/>
        <w:tab/>
        <w:t>verfluchte - W. „begann zu verfluchen“; ein sog. „markinisches archomai“ („beginnen“, vgl. dazu Kleist 1937, S. 154f.), das nicht ins Dt. zu übersetzen ist (so auch Kleist 1937, S. 229). Viele Üss. übersetzen es aber doch.Die Üs. „verfluchen“ ist treffender als das intransitive „fluchen“, das sich in den meisten Üss. findet, da auch das Gr. anathematizo stets ein Objekt hat (s. z.B. Num 21,2f. LXX; Dtn 13,5; 20,17 LXX; Ri 1,17; 21,11 LXX u.ö.). Petrus „stößt“ also keine „Flüche aus“, sondern er „verflucht jemanden“. Dieser „Jemand“ könnte Petrus selbst sein – im Alten Israel konnte man etwas durch eine Selbstverfluchung schwören, nach dem Muster „Ich schwöre X, und wenn es unwahr ist, soll mir Y wiederfahren“; s. z.B. 1 Sam 20,12f.; 2 Sam 3,9; Ijob 31; Ps 7,4-6; so z.B. schön B/N („Petrus aber schwor heilige Eide und sagte: ‚Ich will verflucht sein, wenn ich den Mann kenne...‘“), JJ, MEN („Er aber fing an, sich zu verfluchen...“), SLT, Stier, TAF –, viele Exegeten denken aber, dass Petrus wahrscheinlicher hier Jesus verflucht (z.B. Brown 1994, S. 605; Gundry 2000, S. 890; Lampe 1973, S. 354; Marcus 2009, S. 1019f.), was Leser zur Zeit der Christenverfolgung sicher mindestens mitgelesen hätten (s. die Anmerkungen). So übersetzt leider nur WIL: „Er aber begann nun, ihn zu verfluchen und zu schwören: ‚Ich kenne diesen Menschen nicht...!‘“</w:t>
      </w:r>
    </w:p>
  </w:footnote>
  <w:footnote w:id="2385">
    <w:p>
      <w:pPr>
        <w:pStyle w:val="Funote"/>
        <w:rPr/>
      </w:pPr>
      <w:r>
        <w:rPr>
          <w:rStyle w:val="Funotenzeichen"/>
        </w:rPr>
        <w:footnoteRef/>
      </w:r>
      <w:r>
        <w:rPr/>
        <w:tab/>
        <w:t>das Wort, wie - redundanter Ausdruck (gewöhnlicher: „erinnerte sich an das Wort, das Jesus gesagt hatte“ oder „erinnerte sich an das Wort, wie Jesus gesagt hatte“); sowohl „das Wort“ als auch „wie“ verweist den Leser zurück auf den Ausspruch Jesu in V. 30.</w:t>
      </w:r>
    </w:p>
  </w:footnote>
  <w:footnote w:id="2386">
    <w:p>
      <w:pPr>
        <w:pStyle w:val="Funote"/>
        <w:rPr/>
      </w:pPr>
      <w:r>
        <w:rPr>
          <w:rStyle w:val="Funotenzeichen"/>
        </w:rPr>
        <w:footnoteRef/>
      </w:r>
      <w:r>
        <w:rPr/>
        <w:tab/>
        <w:t>brach in Tränen aus - sehr schwieriger Ausdruck im Gr.; Bed. unsicher. W. „Und überworfen/draufgeworfen habend, weinte er“. Vorgeschlagen wurde: # „[Sich] hineingeworfen habend [nämlich ins Weinen], weinte er“, also „Er fing an zu weinen/brach in Tränen aus“ (so wird das Wort mit Infinitiv (nicht aber als Partizip mit finitem Verb!) auch verwendet von Diogenes Laertius, Vit 6.27 und Plutarch, De Phyt Orac 402B (wohl nicht PTebt 50,12); so auch VUL, Syr, Theophylakt; einige Handschriften haben stattdessen auch „fing an zu weinen“; so daher z.B. auch BDR §308, EWNT, LN; Cranfield 1959, Ernst 1981; auch die meisten dt. Üss. # „[Seinen Geist darauf] geworfen habend, weinte er“, also „Als er daran dachte, ...“. So z.B. LSJ; auch Dschulnigg 2007; auch viele engl. Üss. Dann wäre der Satz aber merkwürdig redundant mit dem „Da erinnerte sich Petrus...“ (so richtig Gundry 2000, S. 891). # „[Sich hinaus]geworfen habend, weinte er“, also „Hinausgestürmt seiend, ...“; so z.B. Brown 1994; Marcus 2009. Doch für diese Verwendung fehlen die Parallelen. # „[Sich etwas] übergeworfen habend, weinte er“, nämlich ein Kleidungsstück über den Kopf, wie häufiger ein Ausdrck der Trauer. So schon Theophylakt, Field 1899, S. 41-43; auch ZÜR1931. Doch hier fehlte ein Objekt des Verbs. # „[Sich] auf [den Boden] geworfen habend, weinte er“; so z.B. B/N, MNT, viele engl. Üss. Aber auch hier fehlen die Parallelen.</w:t>
      </w:r>
    </w:p>
  </w:footnote>
  <w:footnote w:id="2387">
    <w:p>
      <w:pPr>
        <w:pStyle w:val="Funote"/>
        <w:rPr/>
      </w:pPr>
      <w:r>
        <w:rPr>
          <w:rStyle w:val="Funotenzeichen"/>
        </w:rPr>
        <w:footnoteRef/>
      </w:r>
      <w:r>
        <w:rPr/>
        <w:tab/>
        <w:t>[Status: Zuverlässig]</w:t>
      </w:r>
    </w:p>
  </w:footnote>
  <w:footnote w:id="2388">
    <w:p>
      <w:pPr>
        <w:pStyle w:val="Funote"/>
        <w:rPr/>
      </w:pPr>
      <w:r>
        <w:rPr>
          <w:rStyle w:val="Funotenzeichen"/>
        </w:rPr>
        <w:footnoteRef/>
      </w:r>
      <w:r>
        <w:rPr/>
        <w:tab/>
        <w:t>wollt ihr und den ihr nennt nicht in allen Zeugen vorhanden. Es könnte sich um eine Anpassung an Mt 27,21.22 handeln oder einem Versuch den Hohepriestern den Titel König der Juden in den Mund zu legen. Wir folgen hier der Entscheidung NA27/28 (TCNT, S.99) Alternative Leseart: Was nun tue ich mit dem König der Juden?</w:t>
      </w:r>
    </w:p>
  </w:footnote>
  <w:footnote w:id="2389">
    <w:p>
      <w:pPr>
        <w:pStyle w:val="Funote"/>
        <w:rPr/>
      </w:pPr>
      <w:r>
        <w:rPr>
          <w:rStyle w:val="Funotenzeichen"/>
        </w:rPr>
        <w:footnoteRef/>
      </w:r>
      <w:r>
        <w:rPr/>
        <w:tab/>
        <w:t>Historisches Präsens</w:t>
      </w:r>
    </w:p>
  </w:footnote>
  <w:footnote w:id="2390">
    <w:p>
      <w:pPr>
        <w:pStyle w:val="Funote"/>
        <w:rPr/>
      </w:pPr>
      <w:r>
        <w:rPr>
          <w:rStyle w:val="Funotenzeichen"/>
        </w:rPr>
        <w:footnoteRef/>
      </w:r>
      <w:r>
        <w:rPr>
          <w:lang w:val="el-GR"/>
        </w:rPr>
        <w:tab/>
        <w:t>προσκυνεο</w:t>
      </w:r>
      <w:r>
        <w:rPr/>
        <w:t xml:space="preserve"> wird im Kontext des NT immer nur in Hinblick auf die Verehrung eines Gottes verwendet.</w:t>
      </w:r>
    </w:p>
  </w:footnote>
  <w:footnote w:id="2391">
    <w:p>
      <w:pPr>
        <w:pStyle w:val="Funote"/>
        <w:rPr/>
      </w:pPr>
      <w:r>
        <w:rPr>
          <w:rStyle w:val="Funotenzeichen"/>
        </w:rPr>
        <w:footnoteRef/>
      </w:r>
      <w:r>
        <w:rPr/>
        <w:tab/>
        <w:t>Historisches Präsens</w:t>
      </w:r>
    </w:p>
  </w:footnote>
  <w:footnote w:id="2392">
    <w:p>
      <w:pPr>
        <w:pStyle w:val="Funote"/>
        <w:rPr/>
      </w:pPr>
      <w:r>
        <w:rPr>
          <w:rStyle w:val="Funotenzeichen"/>
        </w:rPr>
        <w:footnoteRef/>
      </w:r>
      <w:r>
        <w:rPr/>
        <w:tab/>
        <w:t>Historisches Präsens</w:t>
      </w:r>
    </w:p>
  </w:footnote>
  <w:footnote w:id="2393">
    <w:p>
      <w:pPr>
        <w:pStyle w:val="Funote"/>
        <w:rPr/>
      </w:pPr>
      <w:r>
        <w:rPr>
          <w:rStyle w:val="Funotenzeichen"/>
        </w:rPr>
        <w:footnoteRef/>
      </w:r>
      <w:r>
        <w:rPr/>
        <w:tab/>
        <w:t>Sollte in Lesefassug entfallen. Vers 28 fehlt in den wichtigsten und frühsten Zeugen. Eine nachträgliches Hinzufügen aufgrund von Lk 22,37 scheint wahrscheinlicher als eine nachträgliche Streichung (TCNT, S.99).</w:t>
      </w:r>
    </w:p>
  </w:footnote>
  <w:footnote w:id="2394">
    <w:p>
      <w:pPr>
        <w:pStyle w:val="Funote"/>
        <w:rPr/>
      </w:pPr>
      <w:r>
        <w:rPr>
          <w:rStyle w:val="Funotenzeichen"/>
        </w:rPr>
        <w:footnoteRef/>
      </w:r>
      <w:r>
        <w:rPr/>
        <w:tab/>
        <w:t xml:space="preserve">Die Form </w:t>
      </w:r>
      <w:r>
        <w:rPr>
          <w:lang w:val="el-GR"/>
        </w:rPr>
        <w:t>ελωι</w:t>
      </w:r>
      <w:r>
        <w:rPr/>
        <w:t xml:space="preserve"> ist zum einen besser bezeugt und steht der aramäischen Fassung von Ps 22,2 </w:t>
      </w:r>
      <w:r>
        <w:rPr>
          <w:rtl w:val="true"/>
          <w:lang w:bidi="he-IL"/>
        </w:rPr>
        <w:t>אֱלָהִי</w:t>
      </w:r>
      <w:r>
        <w:rPr/>
        <w:t xml:space="preserve"> </w:t>
      </w:r>
      <w:r>
        <w:rPr/>
        <w:t xml:space="preserve">näher. Dies gilt auch für den letzten Teil des Psalmzitats: </w:t>
      </w:r>
      <w:r>
        <w:rPr>
          <w:lang w:val="el-GR"/>
        </w:rPr>
        <w:t>λεμα σαβαχθανι</w:t>
      </w:r>
      <w:r>
        <w:rPr/>
        <w:t xml:space="preserve">. Die hebräische Fassung von Psalm 22,2 lautet: </w:t>
      </w:r>
      <w:r>
        <w:rPr>
          <w:rtl w:val="true"/>
          <w:lang w:bidi="he-IL"/>
        </w:rPr>
        <w:t>אֵלִי אֵלִי לָמָה עֲזַבְתָּנִי</w:t>
      </w:r>
      <w:r>
        <w:rPr/>
        <w:t>.</w:t>
      </w:r>
    </w:p>
  </w:footnote>
  <w:footnote w:id="2395">
    <w:p>
      <w:pPr>
        <w:pStyle w:val="Funote"/>
        <w:rPr/>
      </w:pPr>
      <w:r>
        <w:rPr>
          <w:rStyle w:val="Funotenzeichen"/>
        </w:rPr>
        <w:footnoteRef/>
      </w:r>
      <w:r>
        <w:rPr/>
        <w:tab/>
        <w:t>Imperfekt consecutivum</w:t>
      </w:r>
    </w:p>
  </w:footnote>
  <w:footnote w:id="2396">
    <w:p>
      <w:pPr>
        <w:pStyle w:val="Funote"/>
        <w:rPr/>
      </w:pPr>
      <w:r>
        <w:rPr>
          <w:rStyle w:val="Funotenzeichen"/>
        </w:rPr>
        <w:footnoteRef/>
      </w:r>
      <w:r>
        <w:rPr/>
        <w:tab/>
        <w:t>Ptz. fem. - Daher Frauen ergänzt.</w:t>
      </w:r>
    </w:p>
  </w:footnote>
  <w:footnote w:id="2397">
    <w:p>
      <w:pPr>
        <w:pStyle w:val="Funote"/>
        <w:rPr/>
      </w:pPr>
      <w:r>
        <w:rPr>
          <w:rStyle w:val="Funotenzeichen"/>
        </w:rPr>
        <w:footnoteRef/>
      </w:r>
      <w:r>
        <w:rPr/>
        <w:tab/>
        <w:t>[Status: Zuverlässig]</w:t>
      </w:r>
    </w:p>
  </w:footnote>
  <w:footnote w:id="2398">
    <w:p>
      <w:pPr>
        <w:pStyle w:val="Funote"/>
        <w:rPr/>
      </w:pPr>
      <w:r>
        <w:rPr>
          <w:rStyle w:val="Funotenzeichen"/>
        </w:rPr>
        <w:footnoteRef/>
      </w:r>
      <w:r>
        <w:rPr/>
        <w:tab/>
        <w:t>Gen. abs., temporal aufgelöst</w:t>
      </w:r>
    </w:p>
  </w:footnote>
  <w:footnote w:id="2399">
    <w:p>
      <w:pPr>
        <w:pStyle w:val="Funote"/>
        <w:rPr/>
      </w:pPr>
      <w:r>
        <w:rPr>
          <w:rStyle w:val="Funotenzeichen"/>
        </w:rPr>
        <w:footnoteRef/>
      </w:r>
      <w:r>
        <w:rPr/>
        <w:tab/>
        <w:t>Bezeichnung der Mutter nach dem Sohn: BDR § 162,3</w:t>
      </w:r>
    </w:p>
  </w:footnote>
  <w:footnote w:id="2400">
    <w:p>
      <w:pPr>
        <w:pStyle w:val="Funote"/>
        <w:rPr/>
      </w:pPr>
      <w:r>
        <w:rPr>
          <w:rStyle w:val="Funotenzeichen"/>
        </w:rPr>
        <w:footnoteRef/>
      </w:r>
      <w:r>
        <w:rPr/>
        <w:tab/>
        <w:t>Die Salbung der Toten geschah mit Öl; Aromata wurden nur für die Salbung von Königen verwendet. Bei den Aromata handelt es sich um seltene, wohlriechende pflanzliche Essenzen. Ziel der Salbung ist die Erhaltung des Leichnams - diese Absicht bildet an dieser Stelle einen (gewollten) Kontrast. „Es scheint die Frauen nicht zu stören, dass die Salbung einer bereits eingewickelten Leiche ‚ein kühner Gedanke‘ (Wellhausen) ist“ (Gnilka 1979, 340).</w:t>
      </w:r>
    </w:p>
  </w:footnote>
  <w:footnote w:id="2401">
    <w:p>
      <w:pPr>
        <w:pStyle w:val="Funote"/>
        <w:rPr/>
      </w:pPr>
      <w:r>
        <w:rPr>
          <w:rStyle w:val="Funotenzeichen"/>
        </w:rPr>
        <w:footnoteRef/>
      </w:r>
      <w:r>
        <w:rPr>
          <w:lang w:val="el-GR"/>
        </w:rPr>
        <w:tab/>
        <w:t>μιᾴ</w:t>
      </w:r>
      <w:r>
        <w:rPr/>
        <w:t xml:space="preserve"> zur Angabe eines bestimmten Tages steht der einfache Dativ, BDR § 200, Anm. 4. Der erste Tag der Woche wird durch </w:t>
      </w:r>
      <w:r>
        <w:rPr>
          <w:lang w:val="el-GR"/>
        </w:rPr>
        <w:t>μιᾷ</w:t>
      </w:r>
      <w:r>
        <w:rPr/>
        <w:t xml:space="preserve"> bezeichnet; </w:t>
      </w:r>
      <w:r>
        <w:rPr>
          <w:lang w:val="el-GR"/>
        </w:rPr>
        <w:t>μιᾷ τῶν σαββάτων</w:t>
      </w:r>
      <w:r>
        <w:rPr/>
        <w:t xml:space="preserve"> = am Sonntag. Vorbild war das Hebräische, das die Wochentage durch Kardinalzahlen statt durch Ordinalzahlen bezeichnet, BDR § 247,1; B/S I, S. 1052-1054; Markus kannte aber noch keinen „Sonntag“, (Gnilka 1979, 341), daher als Übersetzung am besten „am ersten Tag der Woche“. Gemeint ist aber natürlich der Sonntag.</w:t>
      </w:r>
    </w:p>
  </w:footnote>
  <w:footnote w:id="2402">
    <w:p>
      <w:pPr>
        <w:pStyle w:val="Funote"/>
        <w:rPr/>
      </w:pPr>
      <w:r>
        <w:rPr>
          <w:rStyle w:val="Funotenzeichen"/>
        </w:rPr>
        <w:footnoteRef/>
      </w:r>
      <w:r>
        <w:rPr/>
        <w:tab/>
        <w:t>Gen. abs., temporal aufgelöst</w:t>
      </w:r>
    </w:p>
  </w:footnote>
  <w:footnote w:id="2403">
    <w:p>
      <w:pPr>
        <w:pStyle w:val="Funote"/>
        <w:rPr/>
      </w:pPr>
      <w:r>
        <w:rPr>
          <w:rStyle w:val="Funotenzeichen"/>
        </w:rPr>
        <w:footnoteRef/>
      </w:r>
      <w:r>
        <w:rPr/>
        <w:tab/>
        <w:t>Ptz. coni., temporal aufgelöst</w:t>
      </w:r>
    </w:p>
  </w:footnote>
  <w:footnote w:id="2404">
    <w:p>
      <w:pPr>
        <w:pStyle w:val="Funote"/>
        <w:rPr/>
      </w:pPr>
      <w:r>
        <w:rPr>
          <w:rStyle w:val="Funotenzeichen"/>
        </w:rPr>
        <w:footnoteRef/>
      </w:r>
      <w:r>
        <w:rPr/>
        <w:tab/>
        <w:t>Ptz. coni., temporal aufgelöst</w:t>
      </w:r>
    </w:p>
  </w:footnote>
  <w:footnote w:id="2405">
    <w:p>
      <w:pPr>
        <w:pStyle w:val="Funote"/>
        <w:rPr/>
      </w:pPr>
      <w:r>
        <w:rPr>
          <w:rStyle w:val="Funotenzeichen"/>
        </w:rPr>
        <w:footnoteRef/>
      </w:r>
      <w:r>
        <w:rPr/>
        <w:tab/>
        <w:t>Historisches Präsens.</w:t>
      </w:r>
    </w:p>
  </w:footnote>
  <w:footnote w:id="2406">
    <w:p>
      <w:pPr>
        <w:pStyle w:val="Funote"/>
        <w:rPr/>
      </w:pPr>
      <w:r>
        <w:rPr>
          <w:rStyle w:val="Funotenzeichen"/>
        </w:rPr>
        <w:footnoteRef/>
      </w:r>
      <w:r>
        <w:rPr/>
        <w:tab/>
        <w:t>Die rechte Seite war die glückverheißende Seite (Gnilka 1979, 341).</w:t>
      </w:r>
    </w:p>
  </w:footnote>
  <w:footnote w:id="2407">
    <w:p>
      <w:pPr>
        <w:pStyle w:val="Funote"/>
        <w:rPr/>
      </w:pPr>
      <w:r>
        <w:rPr>
          <w:rStyle w:val="Funotenzeichen"/>
        </w:rPr>
        <w:footnoteRef/>
      </w:r>
      <w:r>
        <w:rPr/>
        <w:tab/>
        <w:t>Die Stola, eine lange Stoffbahn, wurde nicht angezogen, sondern umgeworfen. Aber im dt. Sprachgebrauch werfen wir keine Kleidung um, sd. eine Jacke oder ein Tuch; das ist hier aber nicht gemeint: die Stola ist die normale Bekleidung</w:t>
      </w:r>
    </w:p>
  </w:footnote>
  <w:footnote w:id="2408">
    <w:p>
      <w:pPr>
        <w:pStyle w:val="Funote"/>
        <w:rPr/>
      </w:pPr>
      <w:r>
        <w:rPr>
          <w:rStyle w:val="Funotenzeichen"/>
        </w:rPr>
        <w:footnoteRef/>
      </w:r>
      <w:r>
        <w:rPr/>
        <w:tab/>
        <w:t>Die Botschaft des Engels wird präsentisch eingeführt, um darauf hinzuweisen, dass sie das Zentrum dieser Perikope ist(Gnilka 1979, 340).</w:t>
      </w:r>
    </w:p>
  </w:footnote>
  <w:footnote w:id="2409">
    <w:p>
      <w:pPr>
        <w:pStyle w:val="Funote"/>
        <w:rPr/>
      </w:pPr>
      <w:r>
        <w:rPr>
          <w:rStyle w:val="Funotenzeichen"/>
        </w:rPr>
        <w:footnoteRef/>
      </w:r>
      <w:r>
        <w:rPr/>
        <w:tab/>
        <w:t xml:space="preserve">Das Passiv von </w:t>
      </w:r>
      <w:r>
        <w:rPr>
          <w:lang w:val="el-GR"/>
        </w:rPr>
        <w:t>ἐγείρω</w:t>
      </w:r>
      <w:r>
        <w:rPr/>
        <w:t xml:space="preserve"> bedeutet auferstehen; man kann es aber auch passiv übersetzen: wurde auferweckt, um das Handeln Gottes zu betonen, so Gnilka 1979, 342.</w:t>
      </w:r>
    </w:p>
  </w:footnote>
  <w:footnote w:id="2410">
    <w:p>
      <w:pPr>
        <w:pStyle w:val="Funote"/>
        <w:rPr/>
      </w:pPr>
      <w:r>
        <w:rPr>
          <w:rStyle w:val="Funotenzeichen"/>
        </w:rPr>
        <w:footnoteRef/>
      </w:r>
      <w:r>
        <w:rPr/>
        <w:tab/>
        <w:t>Also Jesus.</w:t>
      </w:r>
    </w:p>
  </w:footnote>
  <w:footnote w:id="2411">
    <w:p>
      <w:pPr>
        <w:pStyle w:val="Funote"/>
        <w:rPr/>
      </w:pPr>
      <w:r>
        <w:rPr>
          <w:rStyle w:val="Funotenzeichen"/>
        </w:rPr>
        <w:footnoteRef/>
      </w:r>
      <w:r>
        <w:rPr/>
        <w:tab/>
        <w:t xml:space="preserve">Man kann das </w:t>
      </w:r>
      <w:r>
        <w:rPr>
          <w:lang w:val="el-GR"/>
        </w:rPr>
        <w:t>ὅτι</w:t>
      </w:r>
      <w:r>
        <w:rPr/>
        <w:t xml:space="preserve"> auch als </w:t>
      </w:r>
      <w:r>
        <w:rPr>
          <w:lang w:val="el-GR"/>
        </w:rPr>
        <w:t>Ὅτι</w:t>
      </w:r>
      <w:r>
        <w:rPr/>
        <w:t xml:space="preserve"> recitativum auffassen, das eine wörtliche Rede einleitet und dann nicht übersetzt wird: Er geht euch voran nach Galiläa</w:t>
      </w:r>
    </w:p>
  </w:footnote>
  <w:footnote w:id="2412">
    <w:p>
      <w:pPr>
        <w:pStyle w:val="Funote"/>
        <w:rPr/>
      </w:pPr>
      <w:r>
        <w:rPr>
          <w:rStyle w:val="Funotenzeichen"/>
        </w:rPr>
        <w:footnoteRef/>
      </w:r>
      <w:r>
        <w:rPr/>
        <w:tab/>
        <w:t>Ptz. coni., beiordnend aufgelöst</w:t>
      </w:r>
    </w:p>
  </w:footnote>
  <w:footnote w:id="2413">
    <w:p>
      <w:pPr>
        <w:pStyle w:val="Funote"/>
        <w:rPr/>
      </w:pPr>
      <w:r>
        <w:rPr>
          <w:rStyle w:val="Funotenzeichen"/>
        </w:rPr>
        <w:footnoteRef/>
      </w:r>
      <w:r>
        <w:rPr/>
        <w:tab/>
        <w:t>Vgl. auch Markus 4,41; 5,15.33.42</w:t>
      </w:r>
    </w:p>
  </w:footnote>
  <w:footnote w:id="2414">
    <w:p>
      <w:pPr>
        <w:pStyle w:val="Funote"/>
        <w:rPr/>
      </w:pPr>
      <w:r>
        <w:rPr>
          <w:rStyle w:val="Funotenzeichen"/>
        </w:rPr>
        <w:footnoteRef/>
      </w:r>
      <w:r>
        <w:rPr/>
        <w:tab/>
        <w:t>oder: nämlich (dann am Schluss des Satzes: sie fürchteten sich nämlich)</w:t>
      </w:r>
    </w:p>
  </w:footnote>
  <w:footnote w:id="2415">
    <w:p>
      <w:pPr>
        <w:pStyle w:val="Funote"/>
        <w:rPr/>
      </w:pPr>
      <w:r>
        <w:rPr>
          <w:rStyle w:val="Funotenzeichen"/>
        </w:rPr>
        <w:footnoteRef/>
      </w:r>
      <w:r>
        <w:rPr/>
        <w:tab/>
        <w:t xml:space="preserve">Mit Vers 8 endet das Markusevangelium in den ältesten Quellen (4. Jh.: </w:t>
      </w:r>
      <w:r>
        <w:rPr>
          <w:rtl w:val="true"/>
          <w:lang w:bidi="he-IL"/>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2416">
    <w:p>
      <w:pPr>
        <w:pStyle w:val="Funote"/>
        <w:rPr/>
      </w:pPr>
      <w:r>
        <w:rPr>
          <w:rStyle w:val="Funotenzeichen"/>
        </w:rPr>
        <w:footnoteRef/>
      </w:r>
      <w:r>
        <w:rPr/>
        <w:tab/>
        <w:t>Partizip aufgelöst</w:t>
      </w:r>
    </w:p>
  </w:footnote>
  <w:footnote w:id="2417">
    <w:p>
      <w:pPr>
        <w:pStyle w:val="Funote"/>
        <w:rPr/>
      </w:pPr>
      <w:r>
        <w:rPr>
          <w:rStyle w:val="Funotenzeichen"/>
        </w:rPr>
        <w:footnoteRef/>
      </w:r>
      <w:r>
        <w:rPr/>
        <w:tab/>
        <w:t>Nach griechischer Tischsitte war es üblich, beim Essen zu liegen.</w:t>
      </w:r>
    </w:p>
  </w:footnote>
  <w:footnote w:id="2418">
    <w:p>
      <w:pPr>
        <w:pStyle w:val="Funote"/>
        <w:rPr/>
      </w:pPr>
      <w:r>
        <w:rPr>
          <w:rStyle w:val="Funotenzeichen"/>
        </w:rPr>
        <w:footnoteRef/>
      </w:r>
      <w:r>
        <w:rPr/>
        <w:tab/>
        <w:t>Generisches Maskulinum</w:t>
      </w:r>
    </w:p>
  </w:footnote>
  <w:footnote w:id="2419">
    <w:p>
      <w:pPr>
        <w:pStyle w:val="Funote"/>
        <w:rPr/>
      </w:pPr>
      <w:r>
        <w:rPr>
          <w:rStyle w:val="Funotenzeichen"/>
        </w:rPr>
        <w:footnoteRef/>
      </w:r>
      <w:r>
        <w:rPr/>
        <w:tab/>
        <w:t>Viele Handschriften haben zusätzlich die Worte »Und mit ihren Händen …«.</w:t>
      </w:r>
    </w:p>
  </w:footnote>
  <w:footnote w:id="2420">
    <w:p>
      <w:pPr>
        <w:pStyle w:val="Funote"/>
        <w:rPr/>
      </w:pPr>
      <w:r>
        <w:rPr>
          <w:rStyle w:val="Funotenzeichen"/>
        </w:rPr>
        <w:footnoteRef/>
      </w:r>
      <w:r>
        <w:rPr/>
        <w:tab/>
        <w:t>Absoluter Genitiv</w:t>
      </w:r>
    </w:p>
  </w:footnote>
  <w:footnote w:id="2421">
    <w:p>
      <w:pPr>
        <w:pStyle w:val="Funote"/>
        <w:rPr/>
      </w:pPr>
      <w:r>
        <w:rPr>
          <w:rStyle w:val="Funotenzeichen"/>
        </w:rPr>
        <w:footnoteRef/>
      </w:r>
      <w:r>
        <w:rPr/>
        <w:tab/>
        <w:t>[Status: Zuverlässig]</w:t>
      </w:r>
    </w:p>
  </w:footnote>
  <w:footnote w:id="2422">
    <w:p>
      <w:pPr>
        <w:pStyle w:val="Funote"/>
        <w:rPr/>
      </w:pPr>
      <w:r>
        <w:rPr>
          <w:rStyle w:val="Funotenzeichen"/>
        </w:rPr>
        <w:footnoteRef/>
      </w:r>
      <w:r>
        <w:rPr/>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2423">
    <w:p>
      <w:pPr>
        <w:pStyle w:val="Funote"/>
        <w:rPr/>
      </w:pPr>
      <w:r>
        <w:rPr>
          <w:rStyle w:val="Funotenzeichen"/>
        </w:rPr>
        <w:footnoteRef/>
      </w:r>
      <w:r>
        <w:rPr/>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2424">
    <w:p>
      <w:pPr>
        <w:pStyle w:val="Funote"/>
        <w:rPr/>
      </w:pPr>
      <w:r>
        <w:rPr>
          <w:rStyle w:val="Funotenzeichen"/>
        </w:rPr>
        <w:footnoteRef/>
      </w:r>
      <w:r>
        <w:rPr/>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2425">
    <w:p>
      <w:pPr>
        <w:pStyle w:val="Funote"/>
        <w:rPr/>
      </w:pPr>
      <w:r>
        <w:rPr>
          <w:rStyle w:val="Funotenzeichen"/>
        </w:rPr>
        <w:footnoteRef/>
      </w:r>
      <w:r>
        <w:rPr/>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2426">
    <w:p>
      <w:pPr>
        <w:pStyle w:val="Funote"/>
        <w:rPr/>
      </w:pPr>
      <w:r>
        <w:rPr>
          <w:rStyle w:val="Funotenzeichen"/>
        </w:rPr>
        <w:footnoteRef/>
      </w:r>
      <w:r>
        <w:rPr>
          <w:lang w:val="el-GR"/>
        </w:rPr>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2427">
    <w:p>
      <w:pPr>
        <w:pStyle w:val="Funote"/>
        <w:rPr/>
      </w:pPr>
      <w:r>
        <w:rPr>
          <w:rStyle w:val="Funotenzeichen"/>
        </w:rPr>
        <w:footnoteRef/>
      </w:r>
      <w:r>
        <w:rPr/>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2428">
    <w:p>
      <w:pPr>
        <w:pStyle w:val="Funote"/>
        <w:rPr/>
      </w:pPr>
      <w:r>
        <w:rPr>
          <w:rStyle w:val="Funotenzeichen"/>
        </w:rPr>
        <w:footnoteRef/>
      </w:r>
      <w:r>
        <w:rPr/>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2429">
    <w:p>
      <w:pPr>
        <w:pStyle w:val="Funote"/>
        <w:rPr/>
      </w:pPr>
      <w:r>
        <w:rPr>
          <w:rStyle w:val="Funotenzeichen"/>
        </w:rPr>
        <w:footnoteRef/>
      </w:r>
      <w:r>
        <w:rPr/>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2430">
    <w:p>
      <w:pPr>
        <w:pStyle w:val="Funote"/>
        <w:rPr/>
      </w:pPr>
      <w:r>
        <w:rPr>
          <w:rStyle w:val="Funotenzeichen"/>
        </w:rPr>
        <w:footnoteRef/>
      </w:r>
      <w:r>
        <w:rPr>
          <w:lang w:val="el-GR"/>
        </w:rPr>
        <w:tab/>
        <w:t>ἰδοὺ</w:t>
      </w:r>
      <w:r>
        <w:rPr/>
        <w:t xml:space="preserve"> i.d.R. (wie auch hier) nicht mehr als bloße Fokuspartikel.</w:t>
      </w:r>
    </w:p>
  </w:footnote>
  <w:footnote w:id="2431">
    <w:p>
      <w:pPr>
        <w:pStyle w:val="Funote"/>
        <w:rPr/>
      </w:pPr>
      <w:r>
        <w:rPr>
          <w:rStyle w:val="Funotenzeichen"/>
        </w:rPr>
        <w:footnoteRef/>
      </w:r>
      <w:r>
        <w:rPr/>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2432">
    <w:p>
      <w:pPr>
        <w:pStyle w:val="Funote"/>
        <w:rPr/>
      </w:pPr>
      <w:r>
        <w:rPr>
          <w:rStyle w:val="Funotenzeichen"/>
        </w:rPr>
        <w:footnoteRef/>
      </w:r>
      <w:r>
        <w:rPr/>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als »allergeläufigste Uebergang, mit dem im Hymnus das Hauptstück dem Anfange hinzutritt.«, aufzufassen und im Deutschen auszusparen; etwa: »... von nun an wird jeder mich für glücklich halten: / Denn Der Mächtige hat Großes an mir getan!...«.</w:t>
      </w:r>
    </w:p>
  </w:footnote>
  <w:footnote w:id="2433">
    <w:p>
      <w:pPr>
        <w:pStyle w:val="Funote"/>
        <w:rPr/>
      </w:pPr>
      <w:r>
        <w:rPr>
          <w:rStyle w:val="Funotenzeichen"/>
        </w:rPr>
        <w:footnoteRef/>
      </w:r>
      <w:r>
        <w:rPr/>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2434">
    <w:p>
      <w:pPr>
        <w:pStyle w:val="Funote"/>
        <w:rPr/>
      </w:pPr>
      <w:r>
        <w:rPr>
          <w:rStyle w:val="Funotenzeichen"/>
        </w:rPr>
        <w:footnoteRef/>
      </w:r>
      <w:r>
        <w:rPr/>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2435">
    <w:p>
      <w:pPr>
        <w:pStyle w:val="Funote"/>
        <w:rPr/>
      </w:pPr>
      <w:r>
        <w:rPr>
          <w:rStyle w:val="Funotenzeichen"/>
        </w:rPr>
        <w:footnoteRef/>
      </w:r>
      <w:r>
        <w:rPr/>
        <w:tab/>
        <w:t>S. zu {und} in V. 49.</w:t>
      </w:r>
    </w:p>
  </w:footnote>
  <w:footnote w:id="2436">
    <w:p>
      <w:pPr>
        <w:pStyle w:val="Funote"/>
        <w:rPr/>
      </w:pPr>
      <w:r>
        <w:rPr>
          <w:rStyle w:val="Funotenzeichen"/>
        </w:rPr>
        <w:footnoteRef/>
      </w:r>
      <w:r>
        <w:rPr/>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2437">
    <w:p>
      <w:pPr>
        <w:pStyle w:val="Funote"/>
        <w:rPr/>
      </w:pPr>
      <w:r>
        <w:rPr>
          <w:rStyle w:val="Funotenzeichen"/>
        </w:rPr>
        <w:footnoteRef/>
      </w:r>
      <w:r>
        <w:rPr/>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2438">
    <w:p>
      <w:pPr>
        <w:pStyle w:val="Funote"/>
        <w:rPr/>
      </w:pPr>
      <w:r>
        <w:rPr>
          <w:rStyle w:val="Funotenzeichen"/>
        </w:rPr>
        <w:footnoteRef/>
      </w:r>
      <w:r>
        <w:rPr/>
        <w:tab/>
        <w:t>W.: »den ihn Fürchtenden«; Ptz. mit der Funktion des dativus commodi (daher: »für«) (vgl. Culy et al. 2010, S. 44; NSS).</w:t>
      </w:r>
    </w:p>
  </w:footnote>
  <w:footnote w:id="2439">
    <w:p>
      <w:pPr>
        <w:pStyle w:val="Funote"/>
        <w:rPr/>
      </w:pPr>
      <w:r>
        <w:rPr>
          <w:rStyle w:val="Funotenzeichen"/>
        </w:rPr>
        <w:footnoteRef/>
      </w:r>
      <w:r>
        <w:rPr/>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2440">
    <w:p>
      <w:pPr>
        <w:pStyle w:val="Funote"/>
        <w:rPr/>
      </w:pPr>
      <w:r>
        <w:rPr>
          <w:rStyle w:val="Funotenzeichen"/>
        </w:rPr>
        <w:footnoteRef/>
      </w:r>
      <w:r>
        <w:rPr/>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2441">
    <w:p>
      <w:pPr>
        <w:pStyle w:val="Funote"/>
        <w:rPr/>
      </w:pPr>
      <w:r>
        <w:rPr>
          <w:rStyle w:val="Funotenzeichen"/>
        </w:rPr>
        <w:footnoteRef/>
      </w:r>
      <w:r>
        <w:rPr/>
        <w:tab/>
        <w:t>Doppelpunkt sehr gut mit EÜ, Schneider 1977, S. 54 und dem unrevidierten NTL (leider nicht mehr im revidierten): Was folgt, sind einzelne Ausfaltungen des Sammelbegriffs „Machttaten“ in V. 51a.</w:t>
      </w:r>
    </w:p>
  </w:footnote>
  <w:footnote w:id="2442">
    <w:p>
      <w:pPr>
        <w:pStyle w:val="Funote"/>
        <w:rPr/>
      </w:pPr>
      <w:r>
        <w:rPr>
          <w:rStyle w:val="Funotenzeichen"/>
        </w:rPr>
        <w:footnoteRef/>
      </w:r>
      <w:r>
        <w:rPr/>
        <w:tab/>
        <w:t>»zerstreuen« ist im AT ein Ausdruck, der vor Allem verwendet wird, wenn davon die Rede ist, dass eine Armee vernichtend geschlagen wird (vgl. die Parallelstellen).</w:t>
      </w:r>
    </w:p>
  </w:footnote>
  <w:footnote w:id="2443">
    <w:p>
      <w:pPr>
        <w:pStyle w:val="Funote"/>
        <w:rPr/>
      </w:pPr>
      <w:r>
        <w:rPr>
          <w:rStyle w:val="Funotenzeichen"/>
        </w:rPr>
        <w:footnoteRef/>
      </w:r>
      <w:r>
        <w:rPr/>
        <w:tab/>
        <w:t>zur »Hochmut« im alten Judentum vgl. das in B/S 1924, S. 101ff. zusammengetragene Material</w:t>
      </w:r>
    </w:p>
  </w:footnote>
  <w:footnote w:id="2444">
    <w:p>
      <w:pPr>
        <w:pStyle w:val="Funote"/>
        <w:rPr/>
      </w:pPr>
      <w:r>
        <w:rPr>
          <w:rStyle w:val="Funotenzeichen"/>
        </w:rPr>
        <w:footnoteRef/>
      </w:r>
      <w:r>
        <w:rPr/>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2445">
    <w:p>
      <w:pPr>
        <w:pStyle w:val="Funote"/>
        <w:rPr/>
      </w:pPr>
      <w:r>
        <w:rPr>
          <w:rStyle w:val="Funotenzeichen"/>
        </w:rPr>
        <w:footnoteRef/>
      </w:r>
      <w:r>
        <w:rPr/>
        <w:tab/>
        <w:t xml:space="preserve">Da Gott die </w:t>
      </w:r>
      <w:r>
        <w:rPr>
          <w:lang w:val="el-GR"/>
        </w:rPr>
        <w:t>δυνάστας</w:t>
      </w:r>
      <w:r>
        <w:rPr/>
        <w:t xml:space="preserve"> von ihren Thronen stürzt, ist „Machthaber“ hier die kontextuell wesentlich passendere Übertragung.</w:t>
      </w:r>
    </w:p>
  </w:footnote>
  <w:footnote w:id="2446">
    <w:p>
      <w:pPr>
        <w:pStyle w:val="Funote"/>
        <w:rPr/>
      </w:pPr>
      <w:r>
        <w:rPr>
          <w:rStyle w:val="Funotenzeichen"/>
        </w:rPr>
        <w:footnoteRef/>
      </w:r>
      <w:r>
        <w:rPr/>
        <w:tab/>
        <w:t>V. 52b kontrastiert eine Aufwärtsbewegung mit der hieriegen Abwärtsbewegung des „Stürzens“; im Deutschen besser ausdrücklich zu machen, etwa als „herabstürzen“.</w:t>
      </w:r>
    </w:p>
  </w:footnote>
  <w:footnote w:id="2447">
    <w:p>
      <w:pPr>
        <w:pStyle w:val="Funote"/>
        <w:rPr/>
      </w:pPr>
      <w:r>
        <w:rPr>
          <w:rStyle w:val="Funotenzeichen"/>
        </w:rPr>
        <w:footnoteRef/>
      </w:r>
      <w:r>
        <w:rPr/>
        <w:tab/>
        <w:t>die Wortstellung VV 52-53 sollte beibehalten werden, da sie eine chiastische Doppelstruktur hat: V 52: V - S / V - S; V 53: S - V / S - V</w:t>
      </w:r>
    </w:p>
  </w:footnote>
  <w:footnote w:id="2448">
    <w:p>
      <w:pPr>
        <w:pStyle w:val="Funote"/>
        <w:rPr/>
      </w:pPr>
      <w:r>
        <w:rPr>
          <w:rStyle w:val="Funotenzeichen"/>
        </w:rPr>
        <w:footnoteRef/>
      </w:r>
      <w:r>
        <w:rPr/>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2449">
    <w:p>
      <w:pPr>
        <w:pStyle w:val="Funote"/>
        <w:rPr/>
      </w:pPr>
      <w:r>
        <w:rPr>
          <w:rStyle w:val="Funotenzeichen"/>
        </w:rPr>
        <w:footnoteRef/>
      </w:r>
      <w:r>
        <w:rPr/>
        <w:tab/>
        <w:t>»Mit leeren Händen« nach BA 870</w:t>
      </w:r>
    </w:p>
  </w:footnote>
  <w:footnote w:id="2450">
    <w:p>
      <w:pPr>
        <w:pStyle w:val="Funote"/>
        <w:rPr/>
      </w:pPr>
      <w:r>
        <w:rPr>
          <w:rStyle w:val="Funotenzeichen"/>
        </w:rPr>
        <w:footnoteRef/>
      </w:r>
      <w:r>
        <w:rPr/>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2451">
    <w:p>
      <w:pPr>
        <w:pStyle w:val="Funote"/>
        <w:rPr/>
      </w:pPr>
      <w:r>
        <w:rPr>
          <w:rStyle w:val="Funotenzeichen"/>
        </w:rPr>
        <w:footnoteRef/>
      </w:r>
      <w:r>
        <w:rPr/>
        <w:tab/>
        <w:t>Ein weiterer grammatischer Zweifelsfall: Es ist fraglich, wie V 54b, 55a und 55b sich zueinander verhalten. Vorgeschlagen wurde, # dass V 55a Parenthese ist und V 55b nicht mehr, sondern dativus commodi zu 54b (»Gott hat sich erbarmt - wie er ja auch schon unseren Vätern verheißen hat - zugunsten von Abraham und seinen Nachkommen.«) - dies ist heute die Mehrheitsmeinung, # dass V 55a eine Art »Nachsatz« ist, V 55b zu diesem Nachsatz gehört und »verheißen hat« näher bestimmt (»Gott hat sich erbarmt - wie er ja auch schon unseren Väter zugunsten von Abraham und seinen Nachfahren auf ewig verheißen hat«), oder # dass V 55b inkongruente Apposition zu V 55a ist (»Gott hat sich erbarmt - wie er unseren Vätern (d.h. Abraham und seinen Nachkommen auf ewig) verheißen hat«). 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 Der Sinn ist dann, dass mit Mariens Empfängnis des Messias die Verheißung Gottes an Abraham in Erfüllung geht, dass er sich ihm und seinen Nachfahren gegenüber gemäß seiner Bundestreue verhalten würde.</w:t>
      </w:r>
    </w:p>
  </w:footnote>
  <w:footnote w:id="2452">
    <w:p>
      <w:pPr>
        <w:pStyle w:val="Funote"/>
        <w:rPr/>
      </w:pPr>
      <w:r>
        <w:rPr>
          <w:rStyle w:val="Funotenzeichen"/>
        </w:rPr>
        <w:footnoteRef/>
      </w:r>
      <w:r>
        <w:rPr/>
        <w:tab/>
        <w:t>wörtl.: „gesagt hat“. Semitismus; im Hebräischen steht auch für „verheißen“ das gewöhnliche „sagen“ (vgl. Grosvenor/Zerwick 1993, S. 174).</w:t>
      </w:r>
    </w:p>
  </w:footnote>
  <w:footnote w:id="2453">
    <w:p>
      <w:pPr>
        <w:pStyle w:val="Funote"/>
        <w:rPr/>
      </w:pPr>
      <w:r>
        <w:rPr>
          <w:rStyle w:val="Funotenzeichen"/>
        </w:rPr>
        <w:footnoteRef/>
      </w:r>
      <w:r>
        <w:rPr/>
        <w:tab/>
        <w:t>[Status: Zuverlässig]</w:t>
      </w:r>
    </w:p>
  </w:footnote>
  <w:footnote w:id="2454">
    <w:p>
      <w:pPr>
        <w:pStyle w:val="Funote"/>
        <w:rPr/>
      </w:pPr>
      <w:r>
        <w:rPr>
          <w:rStyle w:val="Funotenzeichen"/>
        </w:rPr>
        <w:footnoteRef/>
      </w:r>
      <w:r>
        <w:rPr/>
        <w:tab/>
        <w:t>Partizip Präsens Aktiv zu Nebensatz aufgelöst</w:t>
      </w:r>
    </w:p>
  </w:footnote>
  <w:footnote w:id="2455">
    <w:p>
      <w:pPr>
        <w:pStyle w:val="Funote"/>
        <w:rPr/>
      </w:pPr>
      <w:r>
        <w:rPr>
          <w:rStyle w:val="Funotenzeichen"/>
        </w:rPr>
        <w:footnoteRef/>
      </w:r>
      <w:r>
        <w:rPr/>
        <w:tab/>
        <w:t>Nach dem Tod von Herodes dem Großen (4 v. Chr.) wurde sein Herrschaftgebiet in mehrere Fürstentümer aufgeteilt, deren Herrscher Tetrarchen (Vierfürsten) genannt wurden.</w:t>
      </w:r>
    </w:p>
  </w:footnote>
  <w:footnote w:id="2456">
    <w:p>
      <w:pPr>
        <w:pStyle w:val="Funote"/>
        <w:rPr/>
      </w:pPr>
      <w:r>
        <w:rPr>
          <w:rStyle w:val="Funotenzeichen"/>
        </w:rPr>
        <w:footnoteRef/>
      </w:r>
      <w:r>
        <w:rPr/>
        <w:tab/>
        <w:t>Partizip Präsens Aktiv gleichgeordnet aufgelöst</w:t>
      </w:r>
    </w:p>
  </w:footnote>
  <w:footnote w:id="2457">
    <w:p>
      <w:pPr>
        <w:pStyle w:val="Funote"/>
        <w:rPr/>
      </w:pPr>
      <w:r>
        <w:rPr>
          <w:rStyle w:val="Funotenzeichen"/>
        </w:rPr>
        <w:footnoteRef/>
      </w:r>
      <w:r>
        <w:rPr/>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2458">
    <w:p>
      <w:pPr>
        <w:pStyle w:val="Funote"/>
        <w:rPr/>
      </w:pPr>
      <w:r>
        <w:rPr>
          <w:rStyle w:val="Funotenzeichen"/>
        </w:rPr>
        <w:footnoteRef/>
      </w:r>
      <w:r>
        <w:rPr/>
        <w:tab/>
        <w:t>Partizip Präsens Medium/Passiv zu einem Nebensatz aufgelöst</w:t>
      </w:r>
    </w:p>
  </w:footnote>
  <w:footnote w:id="2459">
    <w:p>
      <w:pPr>
        <w:pStyle w:val="Funote"/>
        <w:rPr/>
      </w:pPr>
      <w:r>
        <w:rPr>
          <w:rStyle w:val="Funotenzeichen"/>
        </w:rPr>
        <w:footnoteRef/>
      </w:r>
      <w:r>
        <w:rPr/>
        <w:tab/>
        <w:t>Oder: Wer hat euch angewiesen, vor dem kommenden Zorn die Flucht zu ergreifen?</w:t>
      </w:r>
    </w:p>
  </w:footnote>
  <w:footnote w:id="2460">
    <w:p>
      <w:pPr>
        <w:pStyle w:val="Funote"/>
        <w:rPr/>
      </w:pPr>
      <w:r>
        <w:rPr>
          <w:rStyle w:val="Funotenzeichen"/>
        </w:rPr>
        <w:footnoteRef/>
      </w:r>
      <w:r>
        <w:rPr/>
        <w:tab/>
        <w:t>Oder: Tut also Werke, die der Reue angemessen sind / Bringt also Früchte, wie es der Umkehr entspricht</w:t>
      </w:r>
    </w:p>
  </w:footnote>
  <w:footnote w:id="2461">
    <w:p>
      <w:pPr>
        <w:pStyle w:val="Funote"/>
        <w:rPr/>
      </w:pPr>
      <w:r>
        <w:rPr>
          <w:rStyle w:val="Funotenzeichen"/>
        </w:rPr>
        <w:footnoteRef/>
      </w:r>
      <w:r>
        <w:rPr/>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2462">
    <w:p>
      <w:pPr>
        <w:pStyle w:val="Funote"/>
        <w:rPr/>
      </w:pPr>
      <w:r>
        <w:rPr>
          <w:rStyle w:val="Funotenzeichen"/>
        </w:rPr>
        <w:footnoteRef/>
      </w:r>
      <w:r>
        <w:rPr/>
        <w:tab/>
        <w:t>Substantiviertes Adjektiv als Satzsubjekt zu einem Nebensatz aufgelöst.</w:t>
      </w:r>
    </w:p>
  </w:footnote>
  <w:footnote w:id="2463">
    <w:p>
      <w:pPr>
        <w:pStyle w:val="Funote"/>
        <w:rPr/>
      </w:pPr>
      <w:r>
        <w:rPr>
          <w:rStyle w:val="Funotenzeichen"/>
        </w:rPr>
        <w:footnoteRef/>
      </w:r>
      <w:r>
        <w:rPr/>
        <w:tab/>
        <w:t>Relativischer Anschluss</w:t>
      </w:r>
    </w:p>
  </w:footnote>
  <w:footnote w:id="2464">
    <w:p>
      <w:pPr>
        <w:pStyle w:val="Funote"/>
        <w:rPr/>
      </w:pPr>
      <w:r>
        <w:rPr>
          <w:rStyle w:val="Funotenzeichen"/>
        </w:rPr>
        <w:footnoteRef/>
      </w:r>
      <w:r>
        <w:rPr/>
        <w:tab/>
        <w:t>Das Lösen von Schuhriemen galt als Sklavenarbeit</w:t>
      </w:r>
    </w:p>
  </w:footnote>
  <w:footnote w:id="2465">
    <w:p>
      <w:pPr>
        <w:pStyle w:val="Funote"/>
        <w:rPr/>
      </w:pPr>
      <w:r>
        <w:rPr>
          <w:rStyle w:val="Funotenzeichen"/>
        </w:rPr>
        <w:footnoteRef/>
      </w:r>
      <w:r>
        <w:rPr/>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2466">
    <w:p>
      <w:pPr>
        <w:pStyle w:val="Funote"/>
        <w:rPr/>
      </w:pPr>
      <w:r>
        <w:rPr>
          <w:rStyle w:val="Funotenzeichen"/>
        </w:rPr>
        <w:footnoteRef/>
      </w:r>
      <w:r>
        <w:rPr/>
        <w:tab/>
        <w:t>Genitivus absolutus mit Partizip Aorist Passiv und Partizip Präsens Medium/Passiv zu einem gemeinsamen Nebensatz aufgelöst</w:t>
      </w:r>
    </w:p>
  </w:footnote>
  <w:footnote w:id="2467">
    <w:p>
      <w:pPr>
        <w:pStyle w:val="Funote"/>
        <w:rPr/>
      </w:pPr>
      <w:r>
        <w:rPr>
          <w:rStyle w:val="Funotenzeichen"/>
        </w:rPr>
        <w:footnoteRef/>
      </w:r>
      <w:r>
        <w:rPr/>
        <w:tab/>
        <w:t>Partizip Präsens gleichgeordnet aufgelöst</w:t>
      </w:r>
    </w:p>
  </w:footnote>
  <w:footnote w:id="2468">
    <w:p>
      <w:pPr>
        <w:pStyle w:val="Funote"/>
        <w:rPr/>
      </w:pPr>
      <w:r>
        <w:rPr>
          <w:rStyle w:val="Funotenzeichen"/>
        </w:rPr>
        <w:footnoteRef/>
      </w:r>
      <w:r>
        <w:rPr/>
        <w:tab/>
        <w:t>[Status: Zuverlässig]</w:t>
      </w:r>
    </w:p>
  </w:footnote>
  <w:footnote w:id="2469">
    <w:p>
      <w:pPr>
        <w:pStyle w:val="Funote"/>
        <w:rPr/>
      </w:pPr>
      <w:r>
        <w:rPr>
          <w:rStyle w:val="Funotenzeichen"/>
        </w:rPr>
        <w:footnoteRef/>
      </w:r>
      <w:r>
        <w:rPr/>
        <w:tab/>
        <w:t>Lokativer Genitiv.</w:t>
      </w:r>
    </w:p>
  </w:footnote>
  <w:footnote w:id="2470">
    <w:p>
      <w:pPr>
        <w:pStyle w:val="Funote"/>
        <w:rPr/>
      </w:pPr>
      <w:r>
        <w:rPr>
          <w:rStyle w:val="Funotenzeichen"/>
        </w:rPr>
        <w:footnoteRef/>
      </w:r>
      <w:r>
        <w:rPr/>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2471">
    <w:p>
      <w:pPr>
        <w:pStyle w:val="Funote"/>
        <w:rPr/>
      </w:pPr>
      <w:r>
        <w:rPr>
          <w:rStyle w:val="Funotenzeichen"/>
        </w:rPr>
        <w:footnoteRef/>
      </w:r>
      <w:r>
        <w:rPr/>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2472">
    <w:p>
      <w:pPr>
        <w:pStyle w:val="Funote"/>
        <w:rPr/>
      </w:pPr>
      <w:r>
        <w:rPr>
          <w:rStyle w:val="Funotenzeichen"/>
        </w:rPr>
        <w:footnoteRef/>
      </w:r>
      <w:r>
        <w:rPr/>
        <w:tab/>
        <w:t>war Gr. „ist“</w:t>
      </w:r>
    </w:p>
  </w:footnote>
  <w:footnote w:id="2473">
    <w:p>
      <w:pPr>
        <w:pStyle w:val="Funote"/>
        <w:rPr/>
      </w:pPr>
      <w:r>
        <w:rPr>
          <w:rStyle w:val="Funotenzeichen"/>
        </w:rPr>
        <w:footnoteRef/>
      </w:r>
      <w:r>
        <w:rPr/>
        <w:tab/>
        <w:t>Historisches Präsens.</w:t>
      </w:r>
    </w:p>
  </w:footnote>
  <w:footnote w:id="2474">
    <w:p>
      <w:pPr>
        <w:pStyle w:val="Funote"/>
        <w:rPr/>
      </w:pPr>
      <w:r>
        <w:rPr>
          <w:rStyle w:val="Funotenzeichen"/>
        </w:rPr>
        <w:footnoteRef/>
      </w:r>
      <w:r>
        <w:rPr/>
        <w:tab/>
        <w:t xml:space="preserve">Männer (Kinder)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w:t>
      </w:r>
    </w:p>
  </w:footnote>
  <w:footnote w:id="2475">
    <w:p>
      <w:pPr>
        <w:pStyle w:val="Funote"/>
        <w:rPr/>
      </w:pPr>
      <w:r>
        <w:rPr>
          <w:rStyle w:val="Funotenzeichen"/>
        </w:rPr>
        <w:footnoteRef/>
      </w:r>
      <w:r>
        <w:rPr/>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übrig haben.</w:t>
      </w:r>
    </w:p>
  </w:footnote>
  <w:footnote w:id="2476">
    <w:p>
      <w:pPr>
        <w:pStyle w:val="Funote"/>
        <w:rPr/>
      </w:pPr>
      <w:r>
        <w:rPr>
          <w:rStyle w:val="Funotenzeichen"/>
        </w:rPr>
        <w:footnoteRef/>
      </w:r>
      <w:r>
        <w:rPr/>
        <w:tab/>
        <w:t>[doch einmal] auf der rechten Seite des Bootes Die Einfügung [doch einmal] soll wie die griechische Wortstellung die von Jesus vorgeschlagene Alternative hervorheben.</w:t>
      </w:r>
    </w:p>
  </w:footnote>
  <w:footnote w:id="2477">
    <w:p>
      <w:pPr>
        <w:pStyle w:val="Funote"/>
        <w:rPr/>
      </w:pPr>
      <w:r>
        <w:rPr>
          <w:rStyle w:val="Funotenzeichen"/>
        </w:rPr>
        <w:footnoteRef/>
      </w:r>
      <w:r>
        <w:rPr/>
        <w:tab/>
        <w:t>Als Simon Petrus hörte Temporales, als Nebensatz aufgelöstes Ptc. coni.</w:t>
      </w:r>
    </w:p>
  </w:footnote>
  <w:footnote w:id="2478">
    <w:p>
      <w:pPr>
        <w:pStyle w:val="Funote"/>
        <w:rPr/>
      </w:pPr>
      <w:r>
        <w:rPr>
          <w:rStyle w:val="Funotenzeichen"/>
        </w:rPr>
        <w:footnoteRef/>
      </w:r>
      <w:r>
        <w:rPr/>
        <w:tab/>
        <w:t>er war nämlich (denn) nackt Das griechische Wort lässt offen, ob Petrus ganz nackt oder nur teilweise entkleidet war. Daher wäre auch die etwas freiere Alternativübersetzung denkbar: „er hatte es nämlich abgelegt“ o.ä. (vgl. NGÜ).</w:t>
      </w:r>
    </w:p>
  </w:footnote>
  <w:footnote w:id="2479">
    <w:p>
      <w:pPr>
        <w:pStyle w:val="Funote"/>
        <w:rPr/>
      </w:pPr>
      <w:r>
        <w:rPr>
          <w:rStyle w:val="Funotenzeichen"/>
        </w:rPr>
        <w:footnoteRef/>
      </w:r>
      <w:r>
        <w:rPr/>
        <w:tab/>
        <w:t>Die Juden nannten den See Tiberias das „Meer von Galiläa“.</w:t>
      </w:r>
    </w:p>
  </w:footnote>
  <w:footnote w:id="2480">
    <w:p>
      <w:pPr>
        <w:pStyle w:val="Funote"/>
        <w:rPr/>
      </w:pPr>
      <w:r>
        <w:rPr>
          <w:rStyle w:val="Funotenzeichen"/>
        </w:rPr>
        <w:footnoteRef/>
      </w:r>
      <w:r>
        <w:rPr/>
        <w:tab/>
        <w:t>[mit] dem Boot Instrumentaler Dativ.</w:t>
      </w:r>
    </w:p>
  </w:footnote>
  <w:footnote w:id="2481">
    <w:p>
      <w:pPr>
        <w:pStyle w:val="Funote"/>
        <w:rPr/>
      </w:pPr>
      <w:r>
        <w:rPr>
          <w:rStyle w:val="Funotenzeichen"/>
        </w:rPr>
        <w:footnoteRef/>
      </w:r>
      <w:r>
        <w:rPr/>
        <w:tab/>
        <w:t>Dabei zogen sie das Netz [mit] den Fischen [hinter sich] her Als modaler HS aufgelöstes Ptc. coni. Netz [mit] den Fischen W. „Netz der Fische“, wohl appositiver Genitiv.</w:t>
      </w:r>
    </w:p>
  </w:footnote>
  <w:footnote w:id="2482">
    <w:p>
      <w:pPr>
        <w:pStyle w:val="Funote"/>
        <w:rPr/>
      </w:pPr>
      <w:r>
        <w:rPr>
          <w:rStyle w:val="Funotenzeichen"/>
        </w:rPr>
        <w:footnoteRef/>
      </w:r>
      <w:r>
        <w:rPr/>
        <w:tab/>
        <w:t>vorbereitetes und daraufgelegt AcP mit zwei Partizipien, im ersten Fall adjektivisch, im zweiten Fall als eigenständig angehängter NS übersetzt. Auch möglich wäre eine Konstruktion mit einem doppelten Infinitiv-NS.</w:t>
      </w:r>
    </w:p>
  </w:footnote>
  <w:footnote w:id="2483">
    <w:p>
      <w:pPr>
        <w:pStyle w:val="Funote"/>
        <w:rPr/>
      </w:pPr>
      <w:r>
        <w:rPr>
          <w:rStyle w:val="Funotenzeichen"/>
        </w:rPr>
        <w:footnoteRef/>
      </w:r>
      <w:r>
        <w:rPr/>
        <w:tab/>
        <w:t>Genitivus partitivus.</w:t>
      </w:r>
    </w:p>
  </w:footnote>
  <w:footnote w:id="2484">
    <w:p>
      <w:pPr>
        <w:pStyle w:val="Funote"/>
        <w:rPr/>
      </w:pPr>
      <w:r>
        <w:rPr>
          <w:rStyle w:val="Funotenzeichen"/>
        </w:rPr>
        <w:footnoteRef/>
      </w:r>
      <w:r>
        <w:rPr/>
        <w:tab/>
        <w:t>obwohl es so viele waren Als konzessiver NS aufgelöster Gen. abs.</w:t>
      </w:r>
    </w:p>
  </w:footnote>
  <w:footnote w:id="2485">
    <w:p>
      <w:pPr>
        <w:pStyle w:val="Funote"/>
        <w:rPr/>
      </w:pPr>
      <w:r>
        <w:rPr>
          <w:rStyle w:val="Funotenzeichen"/>
        </w:rPr>
        <w:footnoteRef/>
      </w:r>
      <w:r>
        <w:rPr/>
        <w:tab/>
        <w:t>[von] den Jüngern Genitivus partitivus.</w:t>
      </w:r>
    </w:p>
  </w:footnote>
  <w:footnote w:id="2486">
    <w:p>
      <w:pPr>
        <w:pStyle w:val="Funote"/>
        <w:rPr/>
      </w:pPr>
      <w:r>
        <w:rPr>
          <w:rStyle w:val="Funotenzeichen"/>
        </w:rPr>
        <w:footnoteRef/>
      </w:r>
      <w:r>
        <w:rPr/>
        <w:tab/>
        <w:t>kam und nahm Jew. Historisches Präsens.</w:t>
      </w:r>
    </w:p>
  </w:footnote>
  <w:footnote w:id="2487">
    <w:p>
      <w:pPr>
        <w:pStyle w:val="Funote"/>
        <w:rPr/>
      </w:pPr>
      <w:r>
        <w:rPr>
          <w:rStyle w:val="Funotenzeichen"/>
        </w:rPr>
        <w:footnoteRef/>
      </w:r>
      <w:r>
        <w:rPr/>
        <w:tab/>
        <w:t>Part. Aor. pass.</w:t>
      </w:r>
    </w:p>
  </w:footnote>
  <w:footnote w:id="2488">
    <w:p>
      <w:pPr>
        <w:pStyle w:val="Funote"/>
        <w:rPr/>
      </w:pPr>
      <w:r>
        <w:rPr>
          <w:rStyle w:val="Funotenzeichen"/>
        </w:rPr>
        <w:footnoteRef/>
      </w:r>
      <w:r>
        <w:rPr/>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2489">
    <w:p>
      <w:pPr>
        <w:pStyle w:val="Funote"/>
        <w:rPr/>
      </w:pPr>
      <w:r>
        <w:rPr>
          <w:rStyle w:val="Funotenzeichen"/>
        </w:rPr>
        <w:footnoteRef/>
      </w:r>
      <w:r>
        <w:rPr/>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2490">
    <w:p>
      <w:pPr>
        <w:pStyle w:val="Funote"/>
        <w:rPr/>
      </w:pPr>
      <w:r>
        <w:rPr>
          <w:rStyle w:val="Funotenzeichen"/>
        </w:rPr>
        <w:footnoteRef/>
      </w:r>
      <w:r>
        <w:rPr/>
        <w:tab/>
        <w:t>nachdem er das gesagt hatte Als temporaler Nebensatz aufgelöstes Ptc. coni.</w:t>
      </w:r>
    </w:p>
  </w:footnote>
  <w:footnote w:id="2491">
    <w:p>
      <w:pPr>
        <w:pStyle w:val="Funote"/>
        <w:rPr/>
      </w:pPr>
      <w:r>
        <w:rPr>
          <w:rStyle w:val="Funotenzeichen"/>
        </w:rPr>
        <w:footnoteRef/>
      </w:r>
      <w:r>
        <w:rPr/>
        <w:tab/>
        <w:t>Als er sich umwandte Als temporaler Nebensatz aufgelöstes Ptc. coni.</w:t>
      </w:r>
    </w:p>
  </w:footnote>
  <w:footnote w:id="2492">
    <w:p>
      <w:pPr>
        <w:pStyle w:val="Funote"/>
        <w:rPr/>
      </w:pPr>
      <w:r>
        <w:rPr>
          <w:rStyle w:val="Funotenzeichen"/>
        </w:rPr>
        <w:footnoteRef/>
      </w:r>
      <w:r>
        <w:rPr/>
        <w:tab/>
        <w:t>sah, dass … folgte AcP.</w:t>
      </w:r>
    </w:p>
  </w:footnote>
  <w:footnote w:id="2493">
    <w:p>
      <w:pPr>
        <w:pStyle w:val="Funote"/>
        <w:rPr/>
      </w:pPr>
      <w:r>
        <w:rPr>
          <w:rStyle w:val="Funotenzeichen"/>
        </w:rPr>
        <w:footnoteRef/>
      </w:r>
      <w:r>
        <w:rPr/>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2494">
    <w:p>
      <w:pPr>
        <w:pStyle w:val="Funote"/>
        <w:rPr/>
      </w:pPr>
      <w:r>
        <w:rPr>
          <w:rStyle w:val="Funotenzeichen"/>
        </w:rPr>
        <w:footnoteRef/>
      </w:r>
      <w:r>
        <w:rPr/>
        <w:tab/>
        <w:t>will, dass er bleibt AcI.</w:t>
      </w:r>
    </w:p>
  </w:footnote>
  <w:footnote w:id="2495">
    <w:p>
      <w:pPr>
        <w:pStyle w:val="Funote"/>
        <w:rPr/>
      </w:pPr>
      <w:r>
        <w:rPr>
          <w:rStyle w:val="Funotenzeichen"/>
        </w:rPr>
        <w:footnoteRef/>
      </w:r>
      <w:r>
        <w:rPr/>
        <w:tab/>
        <w:t>[Status: Zuverlässig]</w:t>
      </w:r>
    </w:p>
  </w:footnote>
  <w:footnote w:id="2496">
    <w:p>
      <w:pPr>
        <w:pStyle w:val="Funote"/>
        <w:rPr/>
      </w:pPr>
      <w:r>
        <w:rPr>
          <w:rStyle w:val="Funotenzeichen"/>
        </w:rPr>
        <w:footnoteRef/>
      </w:r>
      <w:r>
        <w:rPr/>
        <w:tab/>
        <w:t>Tag des Wochenfests - Nicht: „Tag des Pfingstfests“ (so die meisten Üss.); das Gr. pentekoste ist der griechische Begriff für das jüdische „Wochenfest“ (s. z.B. Tob 2,1), einer Art Erntedank zum Abschluss der Weizenernte, das 50 Tage nach Pesach stattfand (s. z.B. Ex 34,22; Num 28,26). Richtig daher OEB: „the Festival at the close of the Harvest“.</w:t>
      </w:r>
    </w:p>
  </w:footnote>
  <w:footnote w:id="2497">
    <w:p>
      <w:pPr>
        <w:pStyle w:val="Funote"/>
        <w:rPr/>
      </w:pPr>
      <w:r>
        <w:rPr>
          <w:rStyle w:val="Funotenzeichen"/>
        </w:rPr>
        <w:footnoteRef/>
      </w:r>
      <w:r>
        <w:rPr/>
        <w:tab/>
        <w:t xml:space="preserve">sich erfüllte (zu Ende ging) - Wörtlich: „beim Erfüllt-Werden des Tags“. Das scheint zunächst zu meinen, dass der Tag bereits „zu Ende ging“; da es aber noch früh am Tage ist (s. V. 15), ist wahrscheinlich eher „erfüllen“ in dem Sinn gemeint, dass mit dem Beginn des besagten Tages ein weiterer Abschnitt aus Gottes Heilsplan vorsehungsgemäß anbricht: Mit besagten Tag „erfüllt“ sich auch Gottes Plan, der bereits in Joel 3,1-5 angedeutet und in Lk 3,16 und Apg 1,5.8 explizit angekündigt wurde (vgl. Fitzmyer 1998, S. 237; Schreiber 2002, S. 75f.; ThWNT, s.v. </w:t>
      </w:r>
      <w:r>
        <w:rPr>
          <w:lang w:val="el-GR"/>
        </w:rPr>
        <w:t>συμπληρόω</w:t>
      </w:r>
      <w:r>
        <w:rPr/>
        <w:t>).</w:t>
      </w:r>
    </w:p>
  </w:footnote>
  <w:footnote w:id="2498">
    <w:p>
      <w:pPr>
        <w:pStyle w:val="Funote"/>
        <w:rPr/>
      </w:pPr>
      <w:r>
        <w:rPr>
          <w:rStyle w:val="Funotenzeichen"/>
        </w:rPr>
        <w:footnoteRef/>
      </w:r>
      <w:r>
        <w:rPr/>
        <w:tab/>
        <w:t>alle zusammen [als] Gemeinschaft (?, beisammen) - W. „waren sie alle zusammen beisammen“, ein offensichtlich redundanter Ausdruck. Daher und wegen der Verwendung der Wortgruppe epi to auto („beisammen“, ein aus mehreren Worten bestehendes Adverb) in Vv. 44.47 (s. FN bm) besser wie dort zu deuten als Hebraismus mit der Bedeutung „als Gemeinschaft; gemeinschaftlich“ (s. dort). Zusammen mit dem „alle“, von dem auf den ersten Blick nicht klar ist, auf wen es zu beziehen ist, muss man daher am ehesten so auflösen: „Alle“ bezieht sich auf die 120 Jünger aus Apg 1,15, die sich in der Zwischenzeit getrennt hatten, nun aber alle wieder „als Gemeinschaft“ zusammengekommen sind.</w:t>
      </w:r>
    </w:p>
  </w:footnote>
  <w:footnote w:id="2499">
    <w:p>
      <w:pPr>
        <w:pStyle w:val="Funote"/>
        <w:rPr/>
      </w:pPr>
      <w:r>
        <w:rPr>
          <w:rStyle w:val="Funotenzeichen"/>
        </w:rPr>
        <w:footnoteRef/>
      </w:r>
      <w:r>
        <w:rPr/>
        <w:tab/>
        <w:t>tFN: in dem sie [gerade] saßen (V. 2) + Es hielten sich [gerade] auf (V. 5) - W. „wo sie sitzend waren“ bzw. „Es waren wohnend“; periphrastisches Imperfekt, das man besser mit „gerade“ wiedergeben sollte.</w:t>
      </w:r>
    </w:p>
  </w:footnote>
  <w:footnote w:id="2500">
    <w:p>
      <w:pPr>
        <w:pStyle w:val="Funote"/>
        <w:rPr/>
      </w:pPr>
      <w:r>
        <w:rPr>
          <w:rStyle w:val="Funotenzeichen"/>
        </w:rPr>
        <w:footnoteRef/>
      </w:r>
      <w:r>
        <w:rPr/>
        <w:tab/>
        <w:t>tFN: mit heiligem Geist - „heiliger Geist“ hier unerklärlicherweise ohne Artikel.</w:t>
      </w:r>
    </w:p>
  </w:footnote>
  <w:footnote w:id="2501">
    <w:p>
      <w:pPr>
        <w:pStyle w:val="Funote"/>
        <w:rPr/>
      </w:pPr>
      <w:r>
        <w:rPr>
          <w:rStyle w:val="Funotenzeichen"/>
        </w:rPr>
        <w:footnoteRef/>
      </w:r>
      <w:r>
        <w:rPr/>
        <w:tab/>
        <w:t>prophezeien (äußern) (V. 4) + prophezeite (äußerte) (V. 14) - apofthengomai kann zwar auch allgemein „äußern“ bedeuten, steht in der LXX aber meist speziell für das Weissagen (s. 1 Chr 25,1 LXX; Ez 13,9.19 LXX; Mi 5,11 LXX; Sach 10,2 LXX), wie das ja auch hier klar der Fall ist (da der Geist ihnen das Gesagte „eingibt“ und da „von Heiligem Geist erfüllt“ zu werden bei Lk (und noch häufiger; vgl Bruce 1988, S. 51f.) i.d.R. für die Befähigung zur Prophetie steht, s. Lk 1,41.67; Apg 4,8.31; 13,9f.).</w:t>
      </w:r>
    </w:p>
  </w:footnote>
  <w:footnote w:id="2502">
    <w:p>
      <w:pPr>
        <w:pStyle w:val="Funote"/>
        <w:rPr/>
      </w:pPr>
      <w:r>
        <w:rPr>
          <w:rStyle w:val="Funotenzeichen"/>
        </w:rPr>
        <w:footnoteRef/>
      </w:r>
      <w:r>
        <w:rPr/>
        <w:tab/>
        <w:t>hielten sich [gerade] auf (wohnten) - Das Wochenfest war eines der drei großen Wallfahrtsfeste im Jahr, zu dem Juden aus der ganzen Welt in Jerusalem erscheinen sollten (s. Ex 23,16f.). Entweder ist hier also die Rede von diesen ausländischen Juden, die anlässlich des Wallfahrtsfestes nach Jerusalem gereist waren (so z.B. Bruce 1988, S. 53f., z.B. auch HfA: „Zum Fest waren viele fromme Juden aus aller Welt nach Jerusalem gekommen“) oder von Diasporajuden, die schon früher wieder nach Jerusalem gezogen waren und nun dauerhaft dort lebten (so z.B. Witherington 1998, S. 135; z.B. auch GN: „Nun lebten in Jerusalem fromme Juden aus aller Welt, die sich hier niedergelassen hatten“). Die Tatsache, dass gerade am Wallfahrtsfest von diesen Multikulti-Verhältnissen in Jerusalem die Rede ist, legt eher ersteres nahe, obwohl das Verb (katoikeo, „wohnen“) für sich genommen eher letzteres anzudeuten scheint.</w:t>
      </w:r>
    </w:p>
  </w:footnote>
  <w:footnote w:id="2503">
    <w:p>
      <w:pPr>
        <w:pStyle w:val="Funote"/>
        <w:rPr/>
      </w:pPr>
      <w:r>
        <w:rPr>
          <w:rStyle w:val="Funotenzeichen"/>
        </w:rPr>
        <w:footnoteRef/>
      </w:r>
      <w:r>
        <w:rPr/>
        <w:tab/>
        <w:t>fromme - W. „haltende“, nämlich „[Fasten] haltende“ Männer.</w:t>
      </w:r>
    </w:p>
  </w:footnote>
  <w:footnote w:id="2504">
    <w:p>
      <w:pPr>
        <w:pStyle w:val="Funote"/>
        <w:rPr/>
      </w:pPr>
      <w:r>
        <w:rPr>
          <w:rStyle w:val="Funotenzeichen"/>
        </w:rPr>
        <w:footnoteRef/>
      </w:r>
      <w:r>
        <w:rPr/>
        <w:tab/>
        <w:t>Getön - Könnte sich sowohl auf das Geräusch des Geistes als auch auf den Lärm der durcheinanderprophezeienden Jünger beziehen.</w:t>
      </w:r>
    </w:p>
  </w:footnote>
  <w:footnote w:id="2505">
    <w:p>
      <w:pPr>
        <w:pStyle w:val="Funote"/>
        <w:rPr/>
      </w:pPr>
      <w:r>
        <w:rPr>
          <w:rStyle w:val="Funotenzeichen"/>
        </w:rPr>
        <w:footnoteRef/>
      </w:r>
      <w:r>
        <w:rPr/>
        <w:tab/>
        <w:t>Textkritik: Viele Handschriften haben zusätzlich ein pantes, „alle“ („Alle waren fassungslos“), einige aber nicht. TCGNT, S. 252 hält das für sekundär; genauer für eine durch V. 12 beeinflusste Steigerung der Intensität der Erzählung, die auch viele Schreiber unabhängig voneinander eingefügt hätten haben können (ähnlich schon Ropes 1926, S. 13). Wir folgen dem; theoretisch könnte man dies aber auch für eine Streichung aus stilistischen Gründen halten, um nicht in Vv. 5.7 dreimal „alle“ schreiben zu müssen.</w:t>
      </w:r>
    </w:p>
  </w:footnote>
  <w:footnote w:id="2506">
    <w:p>
      <w:pPr>
        <w:pStyle w:val="Funote"/>
        <w:rPr/>
      </w:pPr>
      <w:r>
        <w:rPr>
          <w:rStyle w:val="Funotenzeichen"/>
        </w:rPr>
        <w:footnoteRef/>
      </w:r>
      <w:r>
        <w:rPr/>
        <w:tab/>
        <w:t>Mit Parther beginnt eine Auflistung einer Vielzahl von Regionen, die anfangs scheinbar ungefähr von Ost nach West sortiert sind, dann aber immer mehr zum Durcheinander zerfasert. Von fast allen Orten weiß man heute, dass dort in der Tat Juden lebten. Mehr soll diese Liste wahrscheinlich nicht betonen: Es sind viele Juden da, es sind diese Juden aus den unterschiedlichsten Ländern und auf diese Weise wird mit der Missionierung dieser Menschenmassen der Grundstock zur Ausbreitung des Christentums unter den Juden aller Welt gelegt.</w:t>
      </w:r>
    </w:p>
  </w:footnote>
  <w:footnote w:id="2507">
    <w:p>
      <w:pPr>
        <w:pStyle w:val="Funote"/>
        <w:rPr/>
      </w:pPr>
      <w:r>
        <w:rPr>
          <w:rStyle w:val="Funotenzeichen"/>
        </w:rPr>
        <w:footnoteRef/>
      </w:r>
      <w:r>
        <w:rPr/>
        <w:tab/>
        <w:t>vom Judäischen - d.h. »von Judäa«, das hier aber unerklärlicherweise keinen Artikel hat. Textkritik: Auch darüber hinaus ist das Wort schwierig, weil Judäer schwerlich ihre Anwesenheit in Jerusalem betonen müssten und auch nicht erstaunt sein sollten, Galiläer in ihrer Sprache reden zu hören. Außerdem ist die Platzierung von »Judäa« zwischen Mesopotamien und Kappadozien merkwürdig. All dies hat zu mehreren Vorschlägen zur Korrektur des Textes geführt, aber da sich das Wort in sämtlichen griechischen Handschriften findet, muss man es doch mit Ropes 1926, S. 14; TCGNT, S. 253f. u.a. für ursprünglich halten.</w:t>
      </w:r>
    </w:p>
  </w:footnote>
  <w:footnote w:id="2508">
    <w:p>
      <w:pPr>
        <w:pStyle w:val="Funote"/>
        <w:rPr/>
      </w:pPr>
      <w:r>
        <w:rPr>
          <w:rStyle w:val="Funotenzeichen"/>
        </w:rPr>
        <w:footnoteRef/>
      </w:r>
      <w:r>
        <w:rPr/>
        <w:tab/>
        <w:t>Juden und auch Proselyten - könnte sich sowohl nur auf »Römer« beziehen (also »die sich hier aufhaltenden Juden und Proselyten aus Rom«) oder auf die gesamte vorangehende Liste von Regionen (also »jüdische und proselytische Parther, Meder, ...«). Naheliegender wäre Letzteres (so z.B. auch Fitzmyer 1998, S. 243). »Proselyten« sind zur Zeit des Lk Konvertiten zum Judentum (vgl. z.B. Proselyten (AT) (Wibilex)), gemeint sind also »sowohl gebürtige als auch konvertierte Juden«, was im frühen Judentum noch eine wesentlich wichtigere und umstrittenere Unterscheidung war als z.B. für heutige Christen (selbst die Modalitäten der Konversion waren noch über Jahrhunderte nach der Abfassung des NT in der Diskussion).</w:t>
      </w:r>
    </w:p>
  </w:footnote>
  <w:footnote w:id="2509">
    <w:p>
      <w:pPr>
        <w:pStyle w:val="Funote"/>
        <w:rPr/>
      </w:pPr>
      <w:r>
        <w:rPr>
          <w:rStyle w:val="Funotenzeichen"/>
        </w:rPr>
        <w:footnoteRef/>
      </w:r>
      <w:r>
        <w:rPr/>
        <w:tab/>
        <w:t>rühmen - W. „reden“.</w:t>
      </w:r>
    </w:p>
  </w:footnote>
  <w:footnote w:id="2510">
    <w:p>
      <w:pPr>
        <w:pStyle w:val="Funote"/>
        <w:rPr/>
      </w:pPr>
      <w:r>
        <w:rPr>
          <w:rStyle w:val="Funotenzeichen"/>
        </w:rPr>
        <w:footnoteRef/>
      </w:r>
      <w:r>
        <w:rPr/>
        <w:tab/>
        <w:t>Was mag dies sein? - Häufigerer Ausdruck der Ratlosigkeit, s. z.B. Apg 17,20; ähnlich Lk 15,26; 18,36; Apg 10,17. Viele Üss. daher richtig: „Was soll das bedeuten!?“</w:t>
      </w:r>
    </w:p>
  </w:footnote>
  <w:footnote w:id="2511">
    <w:p>
      <w:pPr>
        <w:pStyle w:val="Funote"/>
        <w:rPr/>
      </w:pPr>
      <w:r>
        <w:rPr>
          <w:rStyle w:val="Funotenzeichen"/>
        </w:rPr>
        <w:footnoteRef/>
      </w:r>
      <w:r>
        <w:rPr/>
        <w:tab/>
        <w:t>Traubensaft (Wein?) - Das gr. Wort gleukos steht eigentlich nicht für Wein, sondern für ungegorenen Traubensaft (vgl. z.B. Bacchiocchi 2001, S. 153; Bumstead 1881, S. 81; Patton 1874, S. 93-95). In der Antike pflegte man, solchen Traubensaft des Morgens zu trinken (s. z.B. Horaz, Sat iv 2) und konnte ihn auch bereits so konservieren, dass er selbst am Wochenfest noch nicht fermentiert war (s. z.B. Cato, De Agricultura 120). An der einzigen anderen Stelle, an der sich das Wort in LXX+NT findet (Ijob 32,19) wird es allerdings erweitert durch zeon (»gärend«), steht also dort als »gärender Traubensaft« doch für »Wein«. Geleitet von dieser Stelle könnte man also auch hier von der unüblichen Bedeutung »Wein« ausgehen; da es hier aber gerade nicht durch zeon o.Ä. erweitert ist und man auch das »Traubensaft« sinnvoll verstehen kann (s. die Anmerkungen), übersetzen wir nach der üblichen Bed. des gr. Wortes.</w:t>
      </w:r>
    </w:p>
  </w:footnote>
  <w:footnote w:id="2512">
    <w:p>
      <w:pPr>
        <w:pStyle w:val="Funote"/>
        <w:rPr/>
      </w:pPr>
      <w:r>
        <w:rPr>
          <w:rStyle w:val="Funotenzeichen"/>
        </w:rPr>
        <w:footnoteRef/>
      </w:r>
      <w:r>
        <w:rPr/>
        <w:tab/>
        <w:t>stellte sich hin, erhob seine Stimme - d.h., bereitete sich darauf vor, eine Rede im Stil und in der Pose eines klassischen Redners zu halten. Auch für andere Reden in Apg stellt man sich derart öffentlich „hin“ (s. Apg 5,20; 17,22; 21,40; 27,21); auch das „Erheben der Stimme“ soll das Folgende als deutlich und laut geäußerte Rede kennzeichnen (s. ähnlich Lk 11,27; Apg 14,11; 22,22), ebenso die Einleitung der Rede mit direkter Ansprache der Hörer und dem förmlichen „Es sei bekannt“ (s. ähnlich Apg 4,10; 13,38; 28,28). Sinnvoll daher: „[Da] trat Petrus zusammen mit den elf anderen Aposteln vor die Menge (NGÜ) und redete laut und feierlich (Zink): Juden! Bürger von Jerusalem! (Zink) Hört mich an! (GN)“</w:t>
      </w:r>
    </w:p>
  </w:footnote>
  <w:footnote w:id="2513">
    <w:p>
      <w:pPr>
        <w:pStyle w:val="Funote"/>
        <w:rPr/>
      </w:pPr>
      <w:r>
        <w:rPr>
          <w:rStyle w:val="Funotenzeichen"/>
        </w:rPr>
        <w:footnoteRef/>
      </w:r>
      <w:r>
        <w:rPr/>
        <w:tab/>
        <w:t>tFN: W. »[liebe] judäische/jüdische Männer« (V. 14) bzw. »[liebe] israelitische Männer« (V. 22); bzw. »[liebe] brüderliche Männer« (V. 29.37); »Männer« wird hier wie im klass. Gr. nur als Einleitung eines Vokativs verwendet und ist im Dt. auszusparen (vgl. BDR §242).</w:t>
      </w:r>
    </w:p>
  </w:footnote>
  <w:footnote w:id="2514">
    <w:p>
      <w:pPr>
        <w:pStyle w:val="Funote"/>
        <w:rPr/>
      </w:pPr>
      <w:r>
        <w:rPr>
          <w:rStyle w:val="Funotenzeichen"/>
        </w:rPr>
        <w:footnoteRef/>
      </w:r>
      <w:r>
        <w:rPr/>
        <w:tab/>
        <w:t>ihr euch Aufhaltenden (all ihr Wohenden) - Gemeint sind wahrscheinlich wieder wie in V. 5 die ausländischen Juden, die zum Wochenfest nach Jerusalem gekommen waren; s. FN g.</w:t>
      </w:r>
    </w:p>
  </w:footnote>
  <w:footnote w:id="2515">
    <w:p>
      <w:pPr>
        <w:pStyle w:val="Funote"/>
        <w:rPr/>
      </w:pPr>
      <w:r>
        <w:rPr>
          <w:rStyle w:val="Funotenzeichen"/>
        </w:rPr>
        <w:footnoteRef/>
      </w:r>
      <w:r>
        <w:rPr/>
        <w:tab/>
        <w:t>die dritte Stunde des Tages, also 9:00 Uhr. Gelegentlich wurde vorgeschlagen, dass diese Verteidigung Petri scherzhaft gemeint sei (z.B. von Bruce 1988, S. 60; Dormeyer/Galindo 2003, S. 50). In diesem Fall müsste man stilistisch treffender paraphrasieren à la »Leider hatten wir noch gar keine Gelegenheit, uns zu betrinken; es ist ja erst früher Morgen!« Und in der Tat: Ist die »Verteidigung« ernst gemeint, ist sie nicht sehr schlagkräftig; denn davon, dass Trunkenbolde selbstverständlich auch um 9:00 Uhr betrunken sein können, spricht z.B. schon Cicero (s. Phil. 2,41,104). Gegen die Deutung als Scherz spricht auch nicht, dass Petri Ansprache im Stil einer antiken Rede dargeboten wird; selbst in antiken Gerichtssäälen war Humor in öffentlichen Reden ein beliebtes Stilmittel. Wenn das richtig ist, ist das durchaus etwas, worüber es sich zu meditieren lohnt: Dann ist die erste Äußerung, die vom »Apostelfürsten« Petrus unter dem Einfluss des Heiligen Geistes getan und sogar als Prophetie ausgezeichnet wird – ein Scherz.</w:t>
      </w:r>
    </w:p>
  </w:footnote>
  <w:footnote w:id="2516">
    <w:p>
      <w:pPr>
        <w:pStyle w:val="Funote"/>
        <w:rPr/>
      </w:pPr>
      <w:r>
        <w:rPr>
          <w:rStyle w:val="Funotenzeichen"/>
        </w:rPr>
        <w:footnoteRef/>
      </w:r>
      <w:r>
        <w:rPr/>
        <w:tab/>
        <w:t>Dies ist - es folgt eine sog. »Pesher-Auslegung«: Eine alte Prophezeiung wird ausgelegt, indem sie auf aktuelle Geschehnisse bezogen wird. »Dies«, also das, was die Menge in V. 12 aus der Fassung gebracht hatte und über dessen Bedeutung sie nachdenken, ist »jenes, was vom Propheten Joel vorhergesagt wurde«: »Was hier geschieht, ist nichts anderes als die Erfüllung dessen, was Gott durch den Propheten Joel angekündigt hat« (NGÜ).</w:t>
      </w:r>
    </w:p>
  </w:footnote>
  <w:footnote w:id="2517">
    <w:p>
      <w:pPr>
        <w:pStyle w:val="Funote"/>
        <w:rPr/>
      </w:pPr>
      <w:r>
        <w:rPr>
          <w:rStyle w:val="Funotenzeichen"/>
        </w:rPr>
        <w:footnoteRef/>
      </w:r>
      <w:r>
        <w:rPr/>
        <w:tab/>
        <w:t>durch den Propheten Joel Vorhergesagtes - nämlich von Gott, ein sog. »Passivum divinum«. Gut daher NGÜ: »was Gott durch den Propheten Joel angekündigt hat«.</w:t>
      </w:r>
    </w:p>
  </w:footnote>
  <w:footnote w:id="2518">
    <w:p>
      <w:pPr>
        <w:pStyle w:val="Funote"/>
        <w:rPr/>
      </w:pPr>
      <w:r>
        <w:rPr>
          <w:rStyle w:val="Funotenzeichen"/>
        </w:rPr>
        <w:footnoteRef/>
      </w:r>
      <w:r>
        <w:rPr/>
        <w:tab/>
        <w:t>und es wird sein in den Letzten Tagen: Ich werde... - Übersetze: »In den letzten Tagen werde ich...«. tFN: Denn: Semitismus: »Und es wird sein« entspricht dem Heb. wehajah (»Und es wird sein«), mit dem häufig Prophezeiungen u.Ä. eingeleitet werden, das nur das Folgende als Aussage über Zukünftiges markieren soll und das daher im Dt. fast immer besser auszusparen ist.</w:t>
      </w:r>
    </w:p>
  </w:footnote>
  <w:footnote w:id="2519">
    <w:p>
      <w:pPr>
        <w:pStyle w:val="Funote"/>
        <w:rPr/>
      </w:pPr>
      <w:r>
        <w:rPr>
          <w:rStyle w:val="Funotenzeichen"/>
        </w:rPr>
        <w:footnoteRef/>
      </w:r>
      <w:r>
        <w:rPr/>
        <w:tab/>
        <w:t>in den Letzten Tagen (V. 17) + Tag des Herrn (V. 20) - Zwei häufige Motive aus den Prophetenbüchern. Hinter ihnen steht die Erwartung, dass Gott dereinst am sog. »Tag JHWHs« Gericht über die Menschheit halten und die Herrschaft auf Erden völlig an sich reißen wird (vgl. z.B. Tag Jahwes (AT) (WibiLex)). Diesem besagten Tag gehen die »Letzten Tage« voraus: eine Zeit des Leids, in der sich u.a. auch kosmische Katastrophen abspielen werden (s. z.B. Mk 13,24f.: Sonne und Mond werden sich verfinstern, die Sterne werden vom Himmel fallen und die Kräfte im Himmel erschüttert werden).</w:t>
      </w:r>
    </w:p>
  </w:footnote>
  <w:footnote w:id="2520">
    <w:p>
      <w:pPr>
        <w:pStyle w:val="Funote"/>
        <w:rPr/>
      </w:pPr>
      <w:r>
        <w:rPr>
          <w:rStyle w:val="Funotenzeichen"/>
        </w:rPr>
        <w:footnoteRef/>
      </w:r>
      <w:r>
        <w:rPr/>
        <w:tab/>
        <w:t>sagt Gott - Ins Dt. besser zu übersetzen, indem man es an den Anfang des Zitats verschiebt; gut z.B. BB: »Gott spricht: Das wird in den letzten Tagen geschehen:...« Denn: Semitismus: Ein solches eingeschobenes »sagt Gott« (aus dem Heb. wörtlicher: »Spruch JHWHs«) findet sich oft in den Prophetenbüchern und soll einer Prophezeiung zusätzliche Autorität verleihen, indem es sie noch einmal zurückbindet an Gott, ihren Auftraggeber (vgl. FN am zu Ob 8).</w:t>
      </w:r>
    </w:p>
  </w:footnote>
  <w:footnote w:id="2521">
    <w:p>
      <w:pPr>
        <w:pStyle w:val="Funote"/>
        <w:rPr/>
      </w:pPr>
      <w:r>
        <w:rPr>
          <w:rStyle w:val="Funotenzeichen"/>
        </w:rPr>
        <w:footnoteRef/>
      </w:r>
      <w:r>
        <w:rPr/>
        <w:tab/>
        <w:t>alles Fleisch - d.h. »auf jedermann«.</w:t>
      </w:r>
    </w:p>
  </w:footnote>
  <w:footnote w:id="2522">
    <w:p>
      <w:pPr>
        <w:pStyle w:val="Funote"/>
        <w:rPr/>
      </w:pPr>
      <w:r>
        <w:rPr>
          <w:rStyle w:val="Funotenzeichen"/>
        </w:rPr>
        <w:footnoteRef/>
      </w:r>
      <w:r>
        <w:rPr/>
        <w:tab/>
        <w:t>meine Sklaven und Sklavinnen - Etwas merkwürdige Stelle. Das gr. kai ge (»und auch/sogar«) zeigt deutlich an, dass diese Zeile als Steigerung der vorigen Zeilen zu verstehen ist und also offenbar von einer anderen Personengruppe als »euren Söhnen, Töchtern, Jungen und Alten« die Rede ist (so richtig NSS). Im ursprünglichen Joeltext ist nicht von »meinen Sklaven und Sklavinnen« die Rede, sondern nur von »Sklaven und Sklavinnen«, hier wird also nur der Merismus weitergeführt: ([{Söhne und Töchter} + {Junge und Alte} = Freie Menschen] + [Versklavte Menschen] = Alle Menschen). Warum der Autor der Apg dagegen von »Gottes Sklaven und Sklavinnen« spricht und wer diese sein sollen, ist ganz unsicher.</w:t>
      </w:r>
    </w:p>
  </w:footnote>
  <w:footnote w:id="2523">
    <w:p>
      <w:pPr>
        <w:pStyle w:val="Funote"/>
        <w:rPr/>
      </w:pPr>
      <w:r>
        <w:rPr>
          <w:rStyle w:val="Funotenzeichen"/>
        </w:rPr>
        <w:footnoteRef/>
      </w:r>
      <w:r>
        <w:rPr/>
        <w:tab/>
        <w:t>darbieten - W. »geben«; Semitismus: Soll betont werden, dass Wunder als Zeichen und dass Zeichen »dargeboten« werden sollen, spricht man im Heb. davon, dass sie »gegeben« werden (s. z.B. Ex 7,9; Dtn 6,22; 13,1; 1 Kön 13,3; Ez 12,6; Joel 2,30; auch Mt 24,24 = Mk 13,22; Apg 14,3.</w:t>
      </w:r>
    </w:p>
  </w:footnote>
  <w:footnote w:id="2524">
    <w:p>
      <w:pPr>
        <w:pStyle w:val="Funote"/>
        <w:rPr/>
      </w:pPr>
      <w:r>
        <w:rPr>
          <w:rStyle w:val="Funotenzeichen"/>
        </w:rPr>
        <w:footnoteRef/>
      </w:r>
      <w:r>
        <w:rPr/>
        <w:tab/>
        <w:t>Die Sonne wird verwandelt werden zu Finsternis und der Mond zu Blut - d.h. »die Sonne wird sich verfinstern und der Mond wird blutrot werden.«</w:t>
      </w:r>
    </w:p>
  </w:footnote>
  <w:footnote w:id="2525">
    <w:p>
      <w:pPr>
        <w:pStyle w:val="Funote"/>
        <w:rPr/>
      </w:pPr>
      <w:r>
        <w:rPr>
          <w:rStyle w:val="Funotenzeichen"/>
        </w:rPr>
        <w:footnoteRef/>
      </w:r>
      <w:r>
        <w:rPr/>
        <w:tab/>
        <w:t>sichtbaren (prachtvollen) - Schwierige Übersetzungsfrage: Aus LXX übernommene Fehlübersetzung des heb. Textes; dort steht nora´ (»furchtbar«), LXX las offenbar nir´eh (»sichtbar«) und Lukas widerum übernimmt dies aus LXX (vgl. Fitzmyer 1998, S. 253). OEB orientiert sich am MT (»that great and awful day«); wörtlich JJ (»der große und offenbar werdende Tag«) und KAR (»der große, der Erscheinung Tag«); die meisten anderen Üss. orientieren sich an der zweiten Bed. des gr. Wortes, »prächtig, glanzvoll«, und übersetzen daher mit »leuchtender/prachtvoller Tag« o.Ä. Auf den ersten Blick macht diese dritte Alternative Sinn, ist aber klar nicht gemeint - vgl. z.B. Am 5,18-20: Der Tag JHWHs ist gerade »Finsternis und nicht Licht« und der Verweis auf den Tag JHWHs an unserer Stelle eine Drohung, keine Heilsankündigung.</w:t>
      </w:r>
    </w:p>
  </w:footnote>
  <w:footnote w:id="2526">
    <w:p>
      <w:pPr>
        <w:pStyle w:val="Funote"/>
        <w:rPr/>
      </w:pPr>
      <w:r>
        <w:rPr>
          <w:rStyle w:val="Funotenzeichen"/>
        </w:rPr>
        <w:footnoteRef/>
      </w:r>
      <w:r>
        <w:rPr/>
        <w:tab/>
        <w:t>{Und es wird sein:} - Im Dt. besser auszusparender Semitismus ähnlich dem in V. 17: »Und es wird sein« soll im Heb. nur markieren, dass nun in einem anderen Modus gesprochen wird, nämlich im Kommissiv (d.h., es wird nicht mehr nur vorhergesagt, sd. versprochen).</w:t>
      </w:r>
    </w:p>
  </w:footnote>
  <w:footnote w:id="2527">
    <w:p>
      <w:pPr>
        <w:pStyle w:val="Funote"/>
        <w:rPr/>
      </w:pPr>
      <w:r>
        <w:rPr>
          <w:rStyle w:val="Funotenzeichen"/>
        </w:rPr>
        <w:footnoteRef/>
      </w:r>
      <w:r>
        <w:rPr/>
        <w:tab/>
        <w:t>den Namen des Herrn anrufen - Doppelte Antanaklasis: Im Kontext des Joelbuches ist klar, dass mit dem »Herrn« JHWH gemeint ist und »anrufen« soviel bedeutet wie »ihn verehren und ihn um Beistand anrufen«. In Apg 2 dagegen muss der Vers mit V. 38 zusammengelesen werden, und liest man ihn von diesem Vers aus, ist der »Herr« Jesus und »seinen Namen anrufen« meint »sich taufen lassen«.</w:t>
      </w:r>
    </w:p>
  </w:footnote>
  <w:footnote w:id="2528">
    <w:p>
      <w:pPr>
        <w:pStyle w:val="Funote"/>
        <w:rPr/>
      </w:pPr>
      <w:r>
        <w:rPr>
          <w:rStyle w:val="Funotenzeichen"/>
        </w:rPr>
        <w:footnoteRef/>
      </w:r>
      <w:r>
        <w:rPr/>
        <w:tab/>
        <w:t>Nazoräer - Unsicheres Wort, das häufig von Jesus und auch von seinen Jüngern gesagt wird. Die meisten Exegeten halten es für eine Nebenform von »Nazarener« (vgl. Fitzmyer 1998, S. 254), also: »Jesus aus Nazaret«. Einen alternativen Vorschlag haben z.B. Berger 1996; Black 1967, S. 197-200 und Wagner 2001 gemacht, sind damit aber offenbar nicht auf viel Zustimmung gestoßen: nazoraios (»Nazoräer«) sei entweder abzuleiten vom Heb. natsar (»bewahren, befolgen«) und Jesus sollte mit dieser Bezeichnung als besonders gesetzestreuer Mensch ausgezeichnet werden (»Jesus, der Befolger [der Gebote]«, so Wagner) oder es sei vom Heb. nazar (»aussondern«) abzuleiten und es sollte damit gesagt sein, dass Jesus wie z.B. auch Samson (s. Ri 13,3-5; 16,17) ein »Nasiräer« war (Berger, Black), also eine Art asketischen Lebensstand auf Zeit hatte, zu dem es gehörte, auf Fleisch, Alkohol und Geschlechtsverkehr zu verzichten und sich nicht die Haare zu schneiden (vgl. z.B. Nasiräer (AT) (WiBiLex)).</w:t>
      </w:r>
    </w:p>
  </w:footnote>
  <w:footnote w:id="2529">
    <w:p>
      <w:pPr>
        <w:pStyle w:val="Funote"/>
        <w:rPr/>
      </w:pPr>
      <w:r>
        <w:rPr>
          <w:rStyle w:val="Funotenzeichen"/>
        </w:rPr>
        <w:footnoteRef/>
      </w:r>
      <w:r>
        <w:rPr/>
        <w:tab/>
        <w:t>wegen dem beschlossenen (festgesetzten) Plan und dem Vorauswissen Gottes! - Eine für den Autoren der Apg sehr wichtige Präzisierung: Dass der Sohn Gottes getötet worden war, war ein Skandal; und dies umso mehr, als er mit seiner Kreuzigung den Tod eines Verbrechers starb. Aus diesem Grund betont Lukas noch häufiger, dass dieser Skandal eigentlich gerade kein Skandal ist – sondern dass all dies zurückzuführen ist auf Gottes verborgenen Heilsplan. S. ähnlich Lk 24,6f..25f..44-46; Apg 3,18; 4,28.</w:t>
      </w:r>
    </w:p>
  </w:footnote>
  <w:footnote w:id="2530">
    <w:p>
      <w:pPr>
        <w:pStyle w:val="Funote"/>
        <w:rPr/>
      </w:pPr>
      <w:r>
        <w:rPr>
          <w:rStyle w:val="Funotenzeichen"/>
        </w:rPr>
        <w:footnoteRef/>
      </w:r>
      <w:r>
        <w:rPr/>
        <w:tab/>
        <w:t>Gesetzloser, nämlich die der Römer, die nicht unter dem Gesetz der Juden standen (vgl. z.B. Bruce 1988, S. 63f.; ähnlich wird das Wort z.B. verwendet in 1 Kor 9,21).</w:t>
      </w:r>
    </w:p>
  </w:footnote>
  <w:footnote w:id="2531">
    <w:p>
      <w:pPr>
        <w:pStyle w:val="Funote"/>
        <w:rPr/>
      </w:pPr>
      <w:r>
        <w:rPr>
          <w:rStyle w:val="Funotenzeichen"/>
        </w:rPr>
        <w:footnoteRef/>
      </w:r>
      <w:r>
        <w:rPr/>
        <w:tab/>
        <w:t>Geburtswehen (Fesseln?) - ein ganz ähnliches Übersetzungsproblem wie in V. 20; s. FN ad: Petrus zitiert hier Ps 18,4f. oder 116,3, wo im Heb. von den »Stricken des Todes« die Rede ist. Dahinter steht die Vorstellung, dass man nach dem Tod eingeht in das Reich des Todes, das man sich vorstellte wie eine Stadt mit verriegelbaren Toren, hinter denen man dann gefangen war. Für dieses gefangen-Sein steht die metaphorische Rede von den »Stricken des Todes«. Die LXX übersetzt an beiden Stellen aber nicht mit »Stricke«, sondern falsch mit »Geburtswehen des Todes« und von dort übernimmt das auch der Autor von Apg. Sprachlich unmöglich ist die Deutung, dass Jesus »fürchterlich litt, als er tot war« (T4T); der Sinn des Bildes kann dann nur sein, dass der Tod in Geburtswehen lag und Gott ihm diese nahm, indem er dem Tod half, Jesus wieder »auf die Welt« zu bringen – ein »bizarres Bild« (Bratcher 1959, S. 19), bei dem wir uns sicher sein können, dass es nicht das von Lukas intendierte war und nur darauf zurückzuführen ist, dass er LXX wörtlich zitiert.Viele kommunikative Üss. lösen das Problem, indem sie sich am hebräischen Text orientieren: wörtlich (!) B/N und Stier (»er hat die Fesseln des Todes durchschnitten«); freier HfA (»indem er die Macht/Gewalt des Todes brach«; ähnlich BB, GN, KAM, NGÜ, NeÜ).</w:t>
      </w:r>
    </w:p>
  </w:footnote>
  <w:footnote w:id="2532">
    <w:p>
      <w:pPr>
        <w:pStyle w:val="Funote"/>
        <w:rPr/>
      </w:pPr>
      <w:r>
        <w:rPr>
          <w:rStyle w:val="Funotenzeichen"/>
        </w:rPr>
        <w:footnoteRef/>
      </w:r>
      <w:r>
        <w:rPr/>
        <w:tab/>
        <w:t>dass er unter ihm gehalten wurde - sinngemäß gut EÜ: »denn es war unmöglich, daß er vom Tod festgehalten wurde«.</w:t>
      </w:r>
    </w:p>
  </w:footnote>
  <w:footnote w:id="2533">
    <w:p>
      <w:pPr>
        <w:pStyle w:val="Funote"/>
        <w:rPr/>
      </w:pPr>
      <w:r>
        <w:rPr>
          <w:rStyle w:val="Funotenzeichen"/>
        </w:rPr>
        <w:footnoteRef/>
      </w:r>
      <w:r>
        <w:rPr/>
        <w:tab/>
        <w:t>Denn - Auf den ersten Blick ist nicht gut zu erkennen, worauf das »denn« sich bezieht; viele Üss. lassen es daher aus und zerstören damit die Argumentationsstruktur der ganzen Rede. Zu Jesu Zeit sah man die Bibel nicht nur als Heilige Schrift an, sondern jeder Text war immer auch prophetischer Text; auch ein Psalm wie der, der gleich zitiert werden wird (vgl. gut z.B. Moffitt 2011, S. 82; in 11QPsa XXVII werden Davids Psalmen sogar explizit als »Prophetien« bezeichnet). Aus diesem Grund lässt sich auch aus solchen Texten der Heilsplan Gottes ablesen, und dies tut Petrus hier: »Es war nicht möglich, dass Jesus vom Tod festgehalten wurde, denn [Gottes Plan war ein anderer und lässt sich aus Ps 16 ablesen; dort nämlich] sagt David über Jesus:...«</w:t>
      </w:r>
    </w:p>
  </w:footnote>
  <w:footnote w:id="2534">
    <w:p>
      <w:pPr>
        <w:pStyle w:val="Funote"/>
        <w:rPr/>
      </w:pPr>
      <w:r>
        <w:rPr>
          <w:rStyle w:val="Funotenzeichen"/>
        </w:rPr>
        <w:footnoteRef/>
      </w:r>
      <w:r>
        <w:rPr/>
        <w:tab/>
        <w:t>Ich hatte den Herrn vor mir vor Augen - Das Gr. prosoromen heißt selbst schon »vor Augen haben«; die Doppelung mit »vor mir« wirkt im Gr. also redundant. »JHWH vor Augen haben« meint hier natürlich »sich JHWH vor Augen halten« (gut Herkenne 1936, S. 83), also »an JHWH ausgerichtet leben«, nämlich v.a. »by honouring Him and obeying His law« (Kissane 1953, S. 65). Diese JHWH-Treue soll durch die redundante Formulierung und durch das »durch alle [Zeit]« noch zusätzlich unterstrichen werden: »Weil JHWH mir beisteht, bin ich sehr fromm, und zwar immer«. Gut KAR: »Ich halte mir immer den Herrn vor Augen«.</w:t>
      </w:r>
    </w:p>
  </w:footnote>
  <w:footnote w:id="2535">
    <w:p>
      <w:pPr>
        <w:pStyle w:val="Funote"/>
        <w:rPr/>
      </w:pPr>
      <w:r>
        <w:rPr>
          <w:rStyle w:val="Funotenzeichen"/>
        </w:rPr>
        <w:footnoteRef/>
      </w:r>
      <w:r>
        <w:rPr/>
        <w:tab/>
        <w:t>wanken - Häufige bibl. Metapher die Gefährdung, aus der direkt Vernichtung und Tod folgt (s. FN r zu Ps 30,7).</w:t>
      </w:r>
    </w:p>
  </w:footnote>
  <w:footnote w:id="2536">
    <w:p>
      <w:pPr>
        <w:pStyle w:val="Funote"/>
        <w:rPr/>
      </w:pPr>
      <w:r>
        <w:rPr>
          <w:rStyle w:val="Funotenzeichen"/>
        </w:rPr>
        <w:footnoteRef/>
      </w:r>
      <w:r>
        <w:rPr/>
        <w:tab/>
        <w:t>mein Herz + meine Zunge + mein Fleisch (V. 26) + meine Seele (V. 27) - d.h. jeweils: »Ich«. In der bibl. Poesie wird oft eine Handlung oder eine Empfindung eines Menschen nicht von ihm ausgesagt, sondern von dem Körperteil, der hauptsächlich an dieser Handlung/Empfindung beteiligt ist; im Dt. muss man das fast stets durch »ich« o.Ä. übersetzen.</w:t>
      </w:r>
    </w:p>
  </w:footnote>
  <w:footnote w:id="2537">
    <w:p>
      <w:pPr>
        <w:pStyle w:val="Funote"/>
        <w:rPr/>
      </w:pPr>
      <w:r>
        <w:rPr>
          <w:rStyle w:val="Funotenzeichen"/>
        </w:rPr>
        <w:footnoteRef/>
      </w:r>
      <w:r>
        <w:rPr/>
        <w:tab/>
        <w:t>mein Fleisch wird sich niederlassen aufgrund [meiner] Zuversicht, d.h. sehr wahrscheinlich nicht »Ich kann mich sorglos Sterben legen« oder gar »auch im Tot verliere ich nicht die Zuversicht« (so z.B. BB, GN, HfA, KAM, NGÜ, NeÜ, NSS, Zink), denn der Beter wird ja gerade nicht »wanken« (V. 25) und darum gerade nicht sterben (V. 27). Zu vergleichen ist stattdessen z.B. Ps 4,9 und die Bed. ist dann: »Weil ich mir keine Sorgen zu machen brauche, kann ich mich ruhig niederlassen«. Auf Jesus passt dieser und der nächste Vers dennoch sehr genau: »Ein alter jüdischer Glaube war der, dass der Geist einer [verstorbenen] Person drei Tage lang im Körper [dieser Person] blieb und ihn erst am vierten Tag verließ, und dass erst zu diesem Zeitpunkt die Verwesung des Fleisches wirklich einsetzte (vgl. Joh 11,17.39).« (Witherington 1998, S. 145; vgl. z.B. auch Leuenberger 2012, S. 326f.). Nach alter jüdischer Vorstellung ist Jesus also nach den drei Tagen noch gar nicht »richtig« gestorben, sondern gerade noch rechtzeitig vor dem endgültigen Hinabstieg in das Reich des Todes und vor dem Einsetzen der Verwesung von Gott auferweckt worden: Gott hat ihn nicht dem Hades überlassen.</w:t>
      </w:r>
    </w:p>
  </w:footnote>
  <w:footnote w:id="2538">
    <w:p>
      <w:pPr>
        <w:pStyle w:val="Funote"/>
        <w:rPr/>
      </w:pPr>
      <w:r>
        <w:rPr>
          <w:rStyle w:val="Funotenzeichen"/>
        </w:rPr>
        <w:footnoteRef/>
      </w:r>
      <w:r>
        <w:rPr/>
        <w:tab/>
        <w:t>Hades - gr. Begriff für das Reich des Todes.</w:t>
      </w:r>
    </w:p>
  </w:footnote>
  <w:footnote w:id="2539">
    <w:p>
      <w:pPr>
        <w:pStyle w:val="Funote"/>
        <w:rPr/>
      </w:pPr>
      <w:r>
        <w:rPr>
          <w:rStyle w:val="Funotenzeichen"/>
        </w:rPr>
        <w:footnoteRef/>
      </w:r>
      <w:r>
        <w:rPr/>
        <w:tab/>
        <w:t>die Wege des Lebens sind ein häufiges Konzept aus ägyptischen und israelitischen Weisheitsliteratur. Gemeint sind nicht die »Wege, die zurück ins Leben führen« (so viele Üss.), sondern ein gottgefälliger und weisheitsgemäßer Lebenswandel, der im Unterschied zu den »Wegen der Frevler« nicht zum Tod führt, sondern ein heilvolles Leben ermöglicht. Vgl. dazu ausführlich Liess 2004, S. 223-247 und s. noch Spr 2,19; 4,11-5,14 (s. bes. 5,6); 10,16f.; 15,24; sehr verwandt in der Vorstellung auch Ps 1.</w:t>
      </w:r>
    </w:p>
  </w:footnote>
  <w:footnote w:id="2540">
    <w:p>
      <w:pPr>
        <w:pStyle w:val="Funote"/>
        <w:rPr/>
      </w:pPr>
      <w:r>
        <w:rPr>
          <w:rStyle w:val="Funotenzeichen"/>
        </w:rPr>
        <w:footnoteRef/>
      </w:r>
      <w:r>
        <w:rPr/>
        <w:tab/>
        <w:t>Du wirst mich erfüllen mit Freude vor deinem Gesicht - Auch dies spricht sehr wahrscheinlich nicht von »Auferstehung«, sd. meint ungefähr »du wirst mich dadurch mit Freude erfüllen, dass ich bei deinem Gesicht sein kann«, und Letzteres ist wohl eine Abkürzung dafür, dass der Beter »Gottes Gesicht sehen« darf; eine häufigere Metapher für die prinzipielle Erfahrung von Heil, die besonders denen verheißen ist, die Gottes Willen tun. Vgl. ganz ähnlich Ps 17,15; auch Ps 11,7. Vgl. außerdem die häufige Rede davon, dass Gott »das Licht seines Gesichts über jmdn leuchten lässt«, eine weitere Metapher für Heilserweise vonseiten JHWHs. Vgl. zu beiden Metaphern auch Smith 1988b. V. 28 meint also in etwa: »Du hast mir gezeigt, wie man leben soll, [und weil so zu leben zu einem freudvollen Leben führt,] werde ich durch deine Gnade freudvoll leben.«</w:t>
      </w:r>
    </w:p>
  </w:footnote>
  <w:footnote w:id="2541">
    <w:p>
      <w:pPr>
        <w:pStyle w:val="Funote"/>
        <w:rPr/>
      </w:pPr>
      <w:r>
        <w:rPr>
          <w:rStyle w:val="Funotenzeichen"/>
        </w:rPr>
        <w:footnoteRef/>
      </w:r>
      <w:r>
        <w:rPr/>
        <w:tab/>
        <w:t>Zu Davids Grabstätte s. 1 Kön 2,10; Neh 3,16. Sie befand sich in Jerusalem und erst einige Jahre zuvor hatte Herodes der Große diese Grabstätte nach einem Plünderungsversuch zusätzlich ausgebaut (vgl. JosAnt XVI.7). Heute ist ihr Ort vergessen; eine neuere und verbreitete Tradition verortet sie allerdings interessanterweise ins selbe Gebäude, in das traditionellerweise auch der Abendmahlssaal verortet wird.</w:t>
      </w:r>
    </w:p>
  </w:footnote>
  <w:footnote w:id="2542">
    <w:p>
      <w:pPr>
        <w:pStyle w:val="Funote"/>
        <w:rPr/>
      </w:pPr>
      <w:r>
        <w:rPr>
          <w:rStyle w:val="Funotenzeichen"/>
        </w:rPr>
        <w:footnoteRef/>
      </w:r>
      <w:r>
        <w:rPr/>
        <w:tab/>
        <w:t>Prophet - Zur Bezeichnung Davids als »Prophet« vgl. 11QPsa XXVII 11: »All diese [seine Psalmen und Lieder] sprach er durch Prophetie, die ihm gegeben worden war vom Höchsten.«</w:t>
      </w:r>
    </w:p>
  </w:footnote>
  <w:footnote w:id="2543">
    <w:p>
      <w:pPr>
        <w:pStyle w:val="Funote"/>
        <w:rPr/>
      </w:pPr>
      <w:r>
        <w:rPr>
          <w:rStyle w:val="Funotenzeichen"/>
        </w:rPr>
        <w:footnoteRef/>
      </w:r>
      <w:r>
        <w:rPr/>
        <w:tab/>
        <w:t>wurden sie im Herz durchbohrt - d.h., »traf es sie mitten ins Herz« (gut KAR; ähnlich BB, GN, NL); »ging ihnen ein Stich durchs Herz« (ZINK); »Als die Leute das hörten, waren sie von dieser Botschaft tief betroffen« (HfA; ähnlich NeÜ, NGÜ).</w:t>
      </w:r>
    </w:p>
  </w:footnote>
  <w:footnote w:id="2544">
    <w:p>
      <w:pPr>
        <w:pStyle w:val="Funote"/>
        <w:rPr/>
      </w:pPr>
      <w:r>
        <w:rPr>
          <w:rStyle w:val="Funotenzeichen"/>
        </w:rPr>
        <w:footnoteRef/>
      </w:r>
      <w:r>
        <w:rPr/>
        <w:tab/>
        <w:t>Denkt um - Gr. metanoeo, ein Leitwort in Lk und Apg, das wenn möglich stets gleich übersetzt werden sollte. S. Lk 10,13; 11,32; 13,3.5; 15,7.10; 16,30; 17,3f.; Apg 3,19; 8,22; 17,30; Apg 26,30: Das »Umdenken« ist der Sinneswandel eines Menschen, der zuvor falsch gehandelt hat und von seinem »Umdenken« an – oft: nach zwischengeschalteter »Buße« – anders, nämlich gut, handeln will. Stark ZINK: »Stellt euch um, stellt euch ganz und gar um!«; gut auch ALB, GREB, KNO (»ändert euren Sinn/eure Gesinnung!«), BB (»ändert euer Leben«). Zu kurz greifen die häufigen Üss. »bekehrt euch«, »bereut« oder »tut Buße«.</w:t>
      </w:r>
    </w:p>
  </w:footnote>
  <w:footnote w:id="2545">
    <w:p>
      <w:pPr>
        <w:pStyle w:val="Funote"/>
        <w:rPr/>
      </w:pPr>
      <w:r>
        <w:rPr>
          <w:rStyle w:val="Funotenzeichen"/>
        </w:rPr>
        <w:footnoteRef/>
      </w:r>
      <w:r>
        <w:rPr/>
        <w:tab/>
        <w:t>Textkritik: In sehr vielen Handschriften findet sich ein zusätzliches {sagt[e] er}, das aber sicher erst von späterer Hand eingefügt wurde (vgl. TCNT, S. 261).</w:t>
      </w:r>
    </w:p>
  </w:footnote>
  <w:footnote w:id="2546">
    <w:p>
      <w:pPr>
        <w:pStyle w:val="Funote"/>
        <w:rPr/>
      </w:pPr>
      <w:r>
        <w:rPr>
          <w:rStyle w:val="Funotenzeichen"/>
        </w:rPr>
        <w:footnoteRef/>
      </w:r>
      <w:r>
        <w:rPr/>
        <w:tab/>
        <w:t>Textkritik: auf - Gr. epi; untypische Präposition statt gewöhnlichem en. Einige Handschriften ändern daher nachträglich zu en, was aber wieder sicher sekundär ist. S. nächste FN.</w:t>
      </w:r>
    </w:p>
  </w:footnote>
  <w:footnote w:id="2547">
    <w:p>
      <w:pPr>
        <w:pStyle w:val="Funote"/>
        <w:rPr/>
      </w:pPr>
      <w:r>
        <w:rPr>
          <w:rStyle w:val="Funotenzeichen"/>
        </w:rPr>
        <w:footnoteRef/>
      </w:r>
      <w:r>
        <w:rPr/>
        <w:tab/>
        <w:t>auf den Namen Jesu Christi - Die untypische Präposition (s. vorige FN) ist wahrscheinlich darauf zurückzuführen, dass Lukas einen wörtl. Rückbezug zu V. 21 schaffen will, wo sich im Joel-Zitat in pas ho epikalesätai to onoma kuriou (»jeder, der den Namen des Herrn anruft«) ebenfalls ein epi findet (vgl. Hartman 2011, S. 406; Labahn 2011, S. 349 FN 51): Die Taufe, bei der sicher auch der Name dessen, »auf den« man getauft wurde, angerufen wurde (s. Apg 22,16: »Lass dich taufen und deine Sünden abwaschen, indem du den Namen des Herrn anrufst (epikalesamenos)!«; vgl. z.B. Avemarie 2002, 41f.), wird zur Erfüllung der Prophezeiung Joels. Dies ist es dann wahrscheinlich auch, was mit der umstrittenen Formel »sich taufen lassen auf den Namen Jesu Christi« gemeint ist: »sich taufen lassen unter Nennung des Namens Jesu Christi« (so z.St. z.B. Avemarie 2002, S. 32.41f.; Bruce 1988, S. 70; Heitmüller 1903, S. 88; NSS; Witherington 1998, S. 154).</w:t>
      </w:r>
    </w:p>
  </w:footnote>
  <w:footnote w:id="2548">
    <w:p>
      <w:pPr>
        <w:pStyle w:val="Funote"/>
        <w:rPr/>
      </w:pPr>
      <w:r>
        <w:rPr>
          <w:rStyle w:val="Funotenzeichen"/>
        </w:rPr>
        <w:footnoteRef/>
      </w:r>
      <w:r>
        <w:rPr/>
        <w:tab/>
        <w:t>Verheißung - Gemeint ist sicher die Verheißung aus V. 21: »Jeder, der den Namen des Herrn anruft, wird gerettet werden.« Das ist natürlich besonders relevant für die Angesprochenen: Auch und gerade ihnen gilt die Verheißung; ihnen, die doch den Messias getötet haben!</w:t>
      </w:r>
    </w:p>
  </w:footnote>
  <w:footnote w:id="2549">
    <w:p>
      <w:pPr>
        <w:pStyle w:val="Funote"/>
        <w:rPr/>
      </w:pPr>
      <w:r>
        <w:rPr>
          <w:rStyle w:val="Funotenzeichen"/>
        </w:rPr>
        <w:footnoteRef/>
      </w:r>
      <w:r>
        <w:rPr/>
        <w:tab/>
        <w:t>fern - mgl. Bedeutungen: (1) »geistliche« Entfernung, also Heiden (s. Eph 2,11.13.17f.); (2) räumliche Entfernung, also entweder Juden anderer Länder (kein guter Beleg im NT) oder Heiden anderer Länder (s. Apg 22,21); (3) zeitliche Entfernung, also künftige Geschlechter (vgl. LSJ s.v. makros II.1). Am wahrscheinlichsten sind an dieser Stelle die Juden anderer Länder gemeint, da Apg 2 noch ganz von der Missionierung der Juden handelt (so z.B. auch Witherington 1998, S. 155).</w:t>
      </w:r>
    </w:p>
  </w:footnote>
  <w:footnote w:id="2550">
    <w:p>
      <w:pPr>
        <w:pStyle w:val="Funote"/>
        <w:rPr/>
      </w:pPr>
      <w:r>
        <w:rPr>
          <w:rStyle w:val="Funotenzeichen"/>
        </w:rPr>
        <w:footnoteRef/>
      </w:r>
      <w:r>
        <w:rPr/>
        <w:tab/>
        <w:t>hinzurufen + hinzufügen - nämlich zur Gemeinschaft der Christen.hinzugefügt werden ist recht sicher ein sog. »theologisches Passiv«, also eine Ausdrucksvariante zu »Gott fügte hinzu«, s. V 47.</w:t>
      </w:r>
    </w:p>
  </w:footnote>
  <w:footnote w:id="2551">
    <w:p>
      <w:pPr>
        <w:pStyle w:val="Funote"/>
        <w:rPr/>
      </w:pPr>
      <w:r>
        <w:rPr>
          <w:rStyle w:val="Funotenzeichen"/>
        </w:rPr>
        <w:footnoteRef/>
      </w:r>
      <w:r>
        <w:rPr/>
        <w:tab/>
        <w:t>Auch + andere + weitere - etwas überflüssig wirkende Häufung von Worten ähnlicher Bedeutung: Petrus hat noch weiter und noch mehr und noch mit anderen Worten zu ihnen geredet. Dies wird noch durch das Hendyadoin »Zeugnis ablegen und sie ermahnen« verstärkt. Gut daher OEB: »Peter spoke to them for a long time using many other arguments and pleaded with them.«</w:t>
      </w:r>
    </w:p>
  </w:footnote>
  <w:footnote w:id="2552">
    <w:p>
      <w:pPr>
        <w:pStyle w:val="Funote"/>
        <w:rPr/>
      </w:pPr>
      <w:r>
        <w:rPr>
          <w:rStyle w:val="Funotenzeichen"/>
        </w:rPr>
        <w:footnoteRef/>
      </w:r>
      <w:r>
        <w:rPr/>
        <w:tab/>
        <w:t>Geschlecht meint w. eigentlich nur die »Generation«, wird im NT aber noch häufiger fast wie ein Schimpfwort verwendet; s. Mk 8,12 (dazu auch FN o; 8,38; 9,19; Lk 9,41; 11,29: Die ganze Generation ist verderbt und so verdammt, und aus dieser Masse der Verdammten sollen die Angesprochenen sich retten lassen, nämlich vor dem drohenden Endgericht. Sehr gut daher NGÜ: »Diese Generation ist auf dem Weg ins Verderben! Lasst euch retten vor dem Gericht, das über sie hereinbrechen wird!«; gut auch GN: »Lasst euch retten vor dem Strafgericht, das über diese verdorbene Generation hereinbrechen wird!«</w:t>
      </w:r>
    </w:p>
  </w:footnote>
  <w:footnote w:id="2553">
    <w:p>
      <w:pPr>
        <w:pStyle w:val="Funote"/>
        <w:rPr/>
      </w:pPr>
      <w:r>
        <w:rPr>
          <w:rStyle w:val="Funotenzeichen"/>
        </w:rPr>
        <w:footnoteRef/>
      </w:r>
      <w:r>
        <w:rPr/>
        <w:tab/>
        <w:t>Seelen meint im Gr. wie im veralteten Deutsch »Personen«; s. ebenso z.B. Apg 7,14; 27,37 und vgl. z.B. Fitzmyer 1998, S. 267.</w:t>
      </w:r>
    </w:p>
  </w:footnote>
  <w:footnote w:id="2554">
    <w:p>
      <w:pPr>
        <w:pStyle w:val="Funote"/>
        <w:rPr/>
      </w:pPr>
      <w:r>
        <w:rPr>
          <w:rStyle w:val="Funotenzeichen"/>
        </w:rPr>
        <w:footnoteRef/>
      </w:r>
      <w:r>
        <w:rPr/>
        <w:tab/>
        <w:t>Sie hielten [beständig sehr] fest - Gr. äsan proskarterountes, W. etwa »sie waren fest-festhaltend«. Das Gr. kartereo (»festhalten«) wird durch die Vorsilbe pros- (proskartereo) verstärkt zu »entschieden/unentwegt festhalten« (EWNT III, Sp. 416). Zusätzlich steht der Ausdruck im sog. »periphrastischen Imperfekt«, einer Wortform, die ebenfalls entweder noch zusätzlich Emphase auf den Ausdruck legt oder noch mehr als das bloße Imperfekt betont, dass die Handlung des Ausdrucks dauerhaft geschieht (s. Das periphrastische Partizip): Die Jünger sind fortwährend völlig unverrückbar im Festhalten an der Lehre.</w:t>
      </w:r>
    </w:p>
  </w:footnote>
  <w:footnote w:id="2555">
    <w:p>
      <w:pPr>
        <w:pStyle w:val="Funote"/>
        <w:rPr/>
      </w:pPr>
      <w:r>
        <w:rPr>
          <w:rStyle w:val="Funotenzeichen"/>
        </w:rPr>
        <w:footnoteRef/>
      </w:r>
      <w:r>
        <w:rPr/>
        <w:tab/>
        <w:t>Lehre - Gr. didachä, gemeint ist hier also nicht die frohe Botschaft von der Auferstehung Jesu, sondern dass auf Jesus zurückgehende »Lehrsystem«, in dem die Jünger von den Aposteln unterwiesen werden (vgl. Fitzmyer 1998, S. 270).</w:t>
      </w:r>
    </w:p>
  </w:footnote>
  <w:footnote w:id="2556">
    <w:p>
      <w:pPr>
        <w:pStyle w:val="Funote"/>
        <w:rPr/>
      </w:pPr>
      <w:r>
        <w:rPr>
          <w:rStyle w:val="Funotenzeichen"/>
        </w:rPr>
        <w:footnoteRef/>
      </w:r>
      <w:r>
        <w:rPr/>
        <w:tab/>
        <w:t>Gemeinschaft - Gr. koinonia, ein Schlüsselwort in den Briefen des Paulus, das sich in den Schriften des Lukas aber einzig hier findet. Entsprechend unsicher ist seine Bedeutung. Bei Paulus ist der Kern des Begriffs (1) die »Gemeinschaft« (z.B. 2 Kor 6,14; Gal 2,9; Phil 2,1), die die Christen untereinander haben. Entscheidend an dieser christlichen Gemeinschaft ist aber noch mehr, nämlich: (2) Sie ist Gemeinschaft aufgrund ihrer Teilhabe an etwas Gemeinsamen, nämlich z.B. am Evangelium (Phil 1,5), am Opfer Christi (1 Kor 10,16; Phil 3,10; Heb 2,14) oder letztlich Christus selbst (1 Kor 1,9). Und: (3) Als Gemeinschaft führt sie ineins damit zur Teilgabe an den eigenen Gütern bis dahin, dass das Wort koinonia selbst die Bedeutung »Spende, Kollekte« annehmen kann (vgl. 2 Kor 8,4; 9,13; Gal 6,6; Phil 4,14f.; Heb 13,16). Die Aspekte (2) und (3) sieht man sehr schön in Röm 15,26f.: Weil die Bürger von Makedonien und Achaja ekoinonäsan (»teilhaftig geworden sind«) an geistlichen Dingen, haben sie koinonia getan (»Teilgabe an eigenen Gütern gegeben«, also »Geld gespendet«). Da nach einer alten Tradition aber Lukas mit Paulus bekannt war (vgl. z.B. Strelan 2008, S. 161), kann man mit etwas Vorsicht das paulinische koinonia-Konzept auch hier am Werk sehen, was auch gut mit dem Text zusammenstimmt: Dank der Apostel haben die 3000 teil an Christi Lehre (V. 42a); diese gemeinsame Teilhabe äußert sich in Gemeinschaft v.a. in Kult und Gebet (V. 42b) und diese Gemeinschaft widerum äußert sich in der Anteilgabe der anderen an den eigenen Gütern (Vv. 44f.).</w:t>
      </w:r>
    </w:p>
  </w:footnote>
  <w:footnote w:id="2557">
    <w:p>
      <w:pPr>
        <w:pStyle w:val="Funote"/>
        <w:rPr/>
      </w:pPr>
      <w:r>
        <w:rPr>
          <w:rStyle w:val="Funotenzeichen"/>
        </w:rPr>
        <w:footnoteRef/>
      </w:r>
      <w:r>
        <w:rPr/>
        <w:tab/>
        <w:t>Textkritik: , (dem gemeinschaftlichen Brotbrechen) - Der ursprüngliche Text ließ beide Deutungen zu, da er noch keine Satzzeichen hatte: »Gemeinschaft« und »Brotbrechen« könnten entweder als zwei Glieder in der Reihung »Lehre der Apostel, Gemeinschaft, Brotbrechen und Gebete« gelesen werden oder als eines (»Lehre der Apostel, Gemeinschaft im Brotbrechen und Gebete«). Letzteres ist z.B. die Deutung von VUL (communicatione fractionis panis); ersteres die Deutung einiger Schreiber, die im Text ein zusätzliches »und« zwischen »Gemeinschaft« und »Brotbrechen« einfügten, um die zweite Deutung auszuschließen. Dieses »und« ist sicher erst von diesen späteren Schreibern eingefügt worden und gehört nicht zum ursprünglichen Text (so z.B. auch Fitzmyer 1998, S. 270).</w:t>
      </w:r>
    </w:p>
  </w:footnote>
  <w:footnote w:id="2558">
    <w:p>
      <w:pPr>
        <w:pStyle w:val="Funote"/>
        <w:rPr/>
      </w:pPr>
      <w:r>
        <w:rPr>
          <w:rStyle w:val="Funotenzeichen"/>
        </w:rPr>
        <w:footnoteRef/>
      </w:r>
      <w:r>
        <w:rPr/>
        <w:tab/>
        <w:t>Brotbrechen (V. 42) + Brot brachen (V. 46) - Gemeint ist sicher der Vorläufer der Eucharistiefeier, der zu Zeit von Lk und Apg noch die Form eines Sättigungsmahl hatte, bei dem in Erinnerung an die Handlung Jesu beim letzten Abendmahl auch Brot gebrochen wurde. S. ebenso Lk 24,30.35; Apg 20,7.11; 27,35.</w:t>
      </w:r>
    </w:p>
  </w:footnote>
  <w:footnote w:id="2559">
    <w:p>
      <w:pPr>
        <w:pStyle w:val="Funote"/>
        <w:rPr/>
      </w:pPr>
      <w:r>
        <w:rPr>
          <w:rStyle w:val="Funotenzeichen"/>
        </w:rPr>
        <w:footnoteRef/>
      </w:r>
      <w:r>
        <w:rPr/>
        <w:tab/>
        <w:t>Es war Ehrfurcht - ein sog. »Admirationsmotiv«: Besonders Wundertaten rufen in den Evangelien und in Apg immer wieder »Ehrfurcht« hervor, was die Wunderbarkeit der Wundertaten noch unterstreichen soll. Der nächstliegende Anlass für diese Ehrfurcht wären also die im Rest des Verses geschilderten »Wunder und Zeichen« der Apostel (so z.B. auch Lindemann 2009, S. 218f.; Witherington 1998, S. 161) und einige Schreiber haben daher den ersten Teil des Satzes auch an das Ende des Verses verschoben; ursprünglich ist aber klar die hierige Reihenfolge: Die Ehrfurcht ist offenbar die Reaktion auf die Vorbildlichkeit der Gemeinde der Urchristen – diese ist etwas geradezu »Wunderbares«. Auch möglich wäre, dass der Vers nicht von der Reaktion der Umwelt auf die urchristliche Gemeinde berichtet, sondern von der Geisteshaltung der Christen: Sie halten sich an die Lehren der Apostel, an den christlichen Kult, das christliche Gebet und sind insgesamt ganz von Ehrfurcht durchdrungen.</w:t>
      </w:r>
    </w:p>
  </w:footnote>
  <w:footnote w:id="2560">
    <w:p>
      <w:pPr>
        <w:pStyle w:val="Funote"/>
        <w:rPr/>
      </w:pPr>
      <w:r>
        <w:rPr>
          <w:rStyle w:val="Funotenzeichen"/>
        </w:rPr>
        <w:footnoteRef/>
      </w:r>
      <w:r>
        <w:rPr/>
        <w:tab/>
        <w:t>Gemeinschaft (?, zusammen) (Vv. 44.47) - schwierige Stellen. W. V. 44: »Sie waren zusammen (epi to auto, ein aus mehreren Worten bestehendes Adverb)«. Nach dem vorangehenden Vers (und auch so) bietet der Satz in seiner wörtl. Bedeutung sehr wenig informativen Mehrwert, wenn man ihn nicht so versteht, dass die 3000 Christen über die Mahl- und Gebetsgemeinschaft hinaus auch noch eine Wohngemeinschaft hatten (daher Fitzmyer 1998: »they lived together«). Noch merkwürdiger V. 47 »Der Herr fügte die Geretteten täglich hinzu zusammen«. In Ermangelung einer besseren Lösung folgen wir einem Vorschlag von Wilcox 1965, S. 93-100: epi to auto (»zusammen«) ist tatsächlich die wörtliche Übersetzung des qumranhebräischen Adverbs jachad, das wörtl. ebenfalls »zusammen« bedeutet, aber als stehender Begriff für die »Gemeinschaft« der Sekte der Essener verwendet wird: »gemeinschaftlich, als Gemeinschaft« (S. 96). Für V. 44 vgl. ebenso z.B. Capper 1995, S. 14f.; LaVerdiere 1998, S. 85; für V. 47 zusätzlich Black 1967, S. 10 FN 4; Dupont 1969, S. 907f.; Payne 1970, S. 143; auch B/N, EÜ, NeÜ, TEXT (»ihrer Gemeinschaft/Vereinigung«); FREE, JJ, SCHÄF, SLT, WIL: (»zur Gemeinde/Versammlung«); TAF (»in der Gemeinde«). Dagegen vgl. allerdings Bauckham 2003, S. 87f.</w:t>
      </w:r>
    </w:p>
  </w:footnote>
  <w:footnote w:id="2561">
    <w:p>
      <w:pPr>
        <w:pStyle w:val="Funote"/>
        <w:rPr/>
      </w:pPr>
      <w:r>
        <w:rPr>
          <w:rStyle w:val="Funotenzeichen"/>
        </w:rPr>
        <w:footnoteRef/>
      </w:r>
      <w:r>
        <w:rPr/>
        <w:tab/>
        <w:t>Textkritik: {waren} + {und} - Die beiden Worte fehlen in einigen Handschriften, was recht sicher die ursprüngliche Lesart ist (so richtig Barrett 2004, S. 167). Zurückzuführen sind die unterschiedlichen Lesarten wahrscheinlich auf die ungewöhnliche Verwendung von epi to auto (s. vorige FN und vgl. Ropes 1926, S. 24; Wilcox 1965, S. 97f.). Die Übersetzung »als Gemeinschaft« folgt LaVerdiere 1998, S. 85.</w:t>
      </w:r>
    </w:p>
  </w:footnote>
  <w:footnote w:id="2562">
    <w:p>
      <w:pPr>
        <w:pStyle w:val="Funote"/>
        <w:rPr/>
      </w:pPr>
      <w:r>
        <w:rPr>
          <w:rStyle w:val="Funotenzeichen"/>
        </w:rPr>
        <w:footnoteRef/>
      </w:r>
      <w:r>
        <w:rPr/>
        <w:tab/>
        <w:t>hatten alles gemeinsam - hierzu s. die Anmerkungen.</w:t>
      </w:r>
    </w:p>
  </w:footnote>
  <w:footnote w:id="2563">
    <w:p>
      <w:pPr>
        <w:pStyle w:val="Funote"/>
        <w:rPr/>
      </w:pPr>
      <w:r>
        <w:rPr>
          <w:rStyle w:val="Funotenzeichen"/>
        </w:rPr>
        <w:footnoteRef/>
      </w:r>
      <w:r>
        <w:rPr/>
        <w:tab/>
        <w:t>[immer wieder] - »Das Verbtempus Imperfekt legt nahe, dass dies nicht ein einmaliges Geschehen war, sondern vielmehr eine wiederkerende Praxis, die vermutlich unternommen wurde, sobald Not auftrat« (Witherington 1998, S. 162; ebenso z.B. Lindemann 2009, S. 220).</w:t>
      </w:r>
    </w:p>
  </w:footnote>
  <w:footnote w:id="2564">
    <w:p>
      <w:pPr>
        <w:pStyle w:val="Funote"/>
        <w:rPr/>
      </w:pPr>
      <w:r>
        <w:rPr>
          <w:rStyle w:val="Funotenzeichen"/>
        </w:rPr>
        <w:footnoteRef/>
      </w:r>
      <w:r>
        <w:rPr/>
        <w:tab/>
        <w:t>im Haus, d.h. »in den Privathäusern« im Unterschied zum Tempel.</w:t>
      </w:r>
    </w:p>
  </w:footnote>
  <w:footnote w:id="2565">
    <w:p>
      <w:pPr>
        <w:pStyle w:val="Funote"/>
        <w:rPr/>
      </w:pPr>
      <w:r>
        <w:rPr>
          <w:rStyle w:val="Funotenzeichen"/>
        </w:rPr>
        <w:footnoteRef/>
      </w:r>
      <w:r>
        <w:rPr/>
        <w:tab/>
        <w:t>Gerettete - Sicher in Anspielung an V. 21 (=Joel 3,5: »Gerettet« ist der, der »den Namen des Herrn anruft«. Dies wurde von Petrus interpretiert als Ausdruck für die Taufe (s. FN az zu V. 38); also sind die, die sich der Gemeinde der Christen anschließen, die »Geretteten« oder auch »die, die gerettet werden sollten« (was sprachlich möglich und zumindest in der LF sinnvoller ist, da die Rettung vor der Zeit des Unheils ja noch aussteht).</w:t>
      </w:r>
    </w:p>
  </w:footnote>
  <w:footnote w:id="2566">
    <w:p>
      <w:pPr>
        <w:pStyle w:val="Funote"/>
        <w:rPr/>
      </w:pPr>
      <w:r>
        <w:rPr>
          <w:rStyle w:val="Funotenzeichen"/>
        </w:rPr>
        <w:footnoteRef/>
      </w:r>
      <w:r>
        <w:rPr/>
        <w:tab/>
        <w:t>[Status: Zuverlässig]</w:t>
      </w:r>
    </w:p>
  </w:footnote>
  <w:footnote w:id="2567">
    <w:p>
      <w:pPr>
        <w:pStyle w:val="Funote"/>
        <w:rPr/>
      </w:pPr>
      <w:r>
        <w:rPr>
          <w:rStyle w:val="Funotenzeichen"/>
        </w:rPr>
        <w:footnoteRef/>
      </w:r>
      <w:r>
        <w:rPr/>
        <w:tab/>
        <w:t>Wörtlich mehr in Richtung „jedes Mal, wenn...“, „bei jeder Gelegenheit“, was hier aber missverständlich wäre.</w:t>
      </w:r>
    </w:p>
  </w:footnote>
  <w:footnote w:id="2568">
    <w:p>
      <w:pPr>
        <w:pStyle w:val="Funote"/>
        <w:rPr/>
      </w:pPr>
      <w:r>
        <w:rPr>
          <w:rStyle w:val="Funotenzeichen"/>
        </w:rPr>
        <w:footnoteRef/>
      </w:r>
      <w:r>
        <w:rPr/>
        <w:tab/>
        <w:t>Gen. epexegeticus.</w:t>
      </w:r>
    </w:p>
  </w:footnote>
  <w:footnote w:id="2569">
    <w:p>
      <w:pPr>
        <w:pStyle w:val="Funote"/>
        <w:rPr/>
      </w:pPr>
      <w:r>
        <w:rPr>
          <w:rStyle w:val="Funotenzeichen"/>
        </w:rPr>
        <w:footnoteRef/>
      </w:r>
      <w:r>
        <w:rPr/>
        <w:tab/>
        <w:t>der herumführt und bekannt macht Auflösung zweier attr. Ptz.</w:t>
      </w:r>
    </w:p>
  </w:footnote>
  <w:footnote w:id="2570">
    <w:p>
      <w:pPr>
        <w:pStyle w:val="Funote"/>
        <w:rPr/>
      </w:pPr>
      <w:r>
        <w:rPr>
          <w:rStyle w:val="Funotenzeichen"/>
        </w:rPr>
        <w:footnoteRef/>
      </w:r>
      <w:r>
        <w:rPr/>
        <w:tab/>
        <w:t>Duft ist in der Regel nicht sichtbar, deshalb wurde das Wort in einem allgemeineren Sinn übersetzt. „Sichtbar machen“ ist allerdings ebenso denkbar, weil Paulus hier vielleicht an Weihrauch denkt.</w:t>
      </w:r>
    </w:p>
  </w:footnote>
  <w:footnote w:id="2571">
    <w:p>
      <w:pPr>
        <w:pStyle w:val="Funote"/>
        <w:rPr/>
      </w:pPr>
      <w:r>
        <w:rPr>
          <w:rStyle w:val="Funotenzeichen"/>
        </w:rPr>
        <w:footnoteRef/>
      </w:r>
      <w:r>
        <w:rPr/>
        <w:tab/>
        <w:t>Oder als Dativus commodi: „für Gott“; eine mögliche Übersetzung der Stelle wäre dann „wir leben für Gott als Wohlgeruch Christi“ (nach Mofatt bei Harris).</w:t>
      </w:r>
    </w:p>
  </w:footnote>
  <w:footnote w:id="2572">
    <w:p>
      <w:pPr>
        <w:pStyle w:val="Funote"/>
        <w:rPr/>
      </w:pPr>
      <w:r>
        <w:rPr>
          <w:rStyle w:val="Funotenzeichen"/>
        </w:rPr>
        <w:footnoteRef/>
      </w:r>
      <w:r>
        <w:rPr/>
        <w:tab/>
        <w:t>Auflösung zweier subst. Ptz.</w:t>
      </w:r>
    </w:p>
  </w:footnote>
  <w:footnote w:id="2573">
    <w:p>
      <w:pPr>
        <w:pStyle w:val="Funote"/>
        <w:rPr/>
      </w:pPr>
      <w:r>
        <w:rPr>
          <w:rStyle w:val="Funotenzeichen"/>
        </w:rPr>
        <w:footnoteRef/>
      </w:r>
      <w:r>
        <w:rPr/>
        <w:tab/>
        <w:t>Auflösung eines subst. Ptz. Alternativ nach Harris periphrastisches Verständnis durch direkten Bezug auf „wir sind“. Die Übersetzung lautete dann „wir machen nicht, wie so viele, Geschäfte...“</w:t>
      </w:r>
    </w:p>
  </w:footnote>
  <w:footnote w:id="2574">
    <w:p>
      <w:pPr>
        <w:pStyle w:val="Funote"/>
        <w:rPr/>
      </w:pPr>
      <w:r>
        <w:rPr>
          <w:rStyle w:val="Funotenzeichen"/>
        </w:rPr>
        <w:footnoteRef/>
      </w:r>
      <w:r>
        <w:rPr/>
        <w:tab/>
        <w:t>D.h. wohl „von Gott [Beauftragte]“</w:t>
      </w:r>
    </w:p>
  </w:footnote>
  <w:footnote w:id="2575">
    <w:p>
      <w:pPr>
        <w:pStyle w:val="Funote"/>
        <w:rPr/>
      </w:pPr>
      <w:r>
        <w:rPr>
          <w:rStyle w:val="Funotenzeichen"/>
        </w:rPr>
        <w:footnoteRef/>
      </w:r>
      <w:r>
        <w:rPr/>
        <w:tab/>
        <w:t>D.h. wohl „[in der Verantwortung] vor Gott“</w:t>
      </w:r>
    </w:p>
  </w:footnote>
  <w:footnote w:id="2576">
    <w:p>
      <w:pPr>
        <w:pStyle w:val="Funote"/>
        <w:rPr/>
      </w:pPr>
      <w:r>
        <w:rPr>
          <w:rStyle w:val="Funotenzeichen"/>
        </w:rPr>
        <w:footnoteRef/>
      </w:r>
      <w:r>
        <w:rPr/>
        <w:tab/>
        <w:t>So wörtlich. Der semantische Bezug zum „Wort Gottes“ ist im Griechischen wohl zumindest andeutungsweise vorhanden, wird bei wörtlicher Übersetzung (als „sprechen wir“) aber unberücksichtigt gelassen.</w:t>
      </w:r>
    </w:p>
  </w:footnote>
  <w:footnote w:id="2577">
    <w:p>
      <w:pPr>
        <w:pStyle w:val="Funote"/>
        <w:rPr/>
      </w:pPr>
      <w:r>
        <w:rPr>
          <w:rStyle w:val="Funotenzeichen"/>
        </w:rPr>
        <w:footnoteRef/>
      </w:r>
      <w:r>
        <w:rPr/>
        <w:tab/>
        <w:t>[Status: Zuverlässig]</w:t>
      </w:r>
    </w:p>
  </w:footnote>
  <w:footnote w:id="2578">
    <w:p>
      <w:pPr>
        <w:pStyle w:val="Funote"/>
        <w:rPr/>
      </w:pPr>
      <w:r>
        <w:rPr>
          <w:rStyle w:val="Funotenzeichen"/>
        </w:rPr>
        <w:footnoteRef/>
      </w:r>
      <w:r>
        <w:rPr/>
        <w:tab/>
        <w:t>Timotheus war ein enger Mitarbeiter des Apostels Paulus, der auch in 2Kor 1,1; Phil 1,1; Phlm 1 als Mitverfasser erwähnt wird; zusammen mit Silvanus auch in 1Thess 1,1; 2Thess 1,1. Nach den Angaben der Apostelgeschichte nahm Paulus ihn aufgrund seines guten Rufs unter den Gläubigen während seiner zweiten Missionsreise in Derbe in sein Mitarbeiterteam auf (Apg 16,1-3).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w:t>
      </w:r>
    </w:p>
  </w:footnote>
  <w:footnote w:id="2579">
    <w:p>
      <w:pPr>
        <w:pStyle w:val="Funote"/>
        <w:rPr/>
      </w:pPr>
      <w:r>
        <w:rPr>
          <w:rStyle w:val="Funotenzeichen"/>
        </w:rPr>
        <w:footnoteRef/>
      </w:r>
      <w:r>
        <w:rPr/>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2580">
    <w:p>
      <w:pPr>
        <w:pStyle w:val="Funote"/>
        <w:rPr/>
      </w:pPr>
      <w:r>
        <w:rPr>
          <w:rStyle w:val="Funotenzeichen"/>
        </w:rPr>
        <w:footnoteRef/>
      </w:r>
      <w:r>
        <w:rPr/>
        <w:tab/>
        <w:t>Vgl. die entsprechende Fußnote zu Eph 1,1.</w:t>
      </w:r>
    </w:p>
  </w:footnote>
  <w:footnote w:id="2581">
    <w:p>
      <w:pPr>
        <w:pStyle w:val="Funote"/>
        <w:rPr/>
      </w:pPr>
      <w:r>
        <w:rPr>
          <w:rStyle w:val="Funotenzeichen"/>
        </w:rPr>
        <w:footnoteRef/>
      </w:r>
      <w:r>
        <w:rPr/>
        <w:tab/>
        <w:t>Generisches Maskulinum.</w:t>
      </w:r>
    </w:p>
  </w:footnote>
  <w:footnote w:id="2582">
    <w:p>
      <w:pPr>
        <w:pStyle w:val="Funote"/>
        <w:rPr/>
      </w:pPr>
      <w:r>
        <w:rPr>
          <w:rStyle w:val="Funotenzeichen"/>
        </w:rPr>
        <w:footnoteRef/>
      </w:r>
      <w:r>
        <w:rPr/>
        <w:tab/>
        <w:t>in Christus (sowie das ausführlichere „in Christus Jesus“, Kol 1,4) ist bei Paulus ein Lieblingsattribut, das häufig und in den verschiedensten Kontexten Anwendung findet (vgl. etwa analog Eph 1,1). In Kol kommt es sonst nur noch in 1,28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1Kor 15,22; 2Kor 5,14-17; Röm 5,12-21) (Moo 2008, 77, vgl. O'Brien 1982, 4).</w:t>
      </w:r>
    </w:p>
  </w:footnote>
  <w:footnote w:id="2583">
    <w:p>
      <w:pPr>
        <w:pStyle w:val="Funote"/>
        <w:rPr/>
      </w:pPr>
      <w:r>
        <w:rPr>
          <w:rStyle w:val="Funotenzeichen"/>
        </w:rPr>
        <w:footnoteRef/>
      </w:r>
      <w:r>
        <w:rPr/>
        <w:tab/>
        <w:t xml:space="preserve">Einige Handschriften (u.a. die wichtigen alexandrinischen </w:t>
      </w:r>
      <w:r>
        <w:rPr>
          <w:rtl w:val="true"/>
          <w:lang w:bidi="he-IL"/>
        </w:rPr>
        <w:t>א</w:t>
      </w:r>
      <w:r>
        <w:rPr/>
        <w:t>, A sowie der Mehrheitstext) ergänzen „und des Herrn Jesus Christus“, vielleicht in direkter Anlehnung an Eph 2,2, weswegen er in NA27 wohl als sekundär eingestuft wird. Der Teil fehlt u.a. in B, D, 33, 1739.</w:t>
      </w:r>
    </w:p>
  </w:footnote>
  <w:footnote w:id="2584">
    <w:p>
      <w:pPr>
        <w:pStyle w:val="Funote"/>
        <w:rPr/>
      </w:pPr>
      <w:r>
        <w:rPr>
          <w:rStyle w:val="Funotenzeichen"/>
        </w:rPr>
        <w:footnoteRef/>
      </w:r>
      <w:r>
        <w:rPr/>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2585">
    <w:p>
      <w:pPr>
        <w:pStyle w:val="Funote"/>
        <w:rPr/>
      </w:pPr>
      <w:r>
        <w:rPr>
          <w:rStyle w:val="Funotenzeichen"/>
        </w:rPr>
        <w:footnoteRef/>
      </w:r>
      <w:r>
        <w:rPr/>
        <w:tab/>
        <w:t>Vgl. die Fußnote in V. 2 bei „in Christus“.</w:t>
      </w:r>
    </w:p>
  </w:footnote>
  <w:footnote w:id="2586">
    <w:p>
      <w:pPr>
        <w:pStyle w:val="Funote"/>
        <w:rPr/>
      </w:pPr>
      <w:r>
        <w:rPr>
          <w:rStyle w:val="Funotenzeichen"/>
        </w:rPr>
        <w:footnoteRef/>
      </w:r>
      <w:r>
        <w:rPr/>
        <w:tab/>
        <w:t>Kausal aufgelöstes Ptz. coni. (vgl. Moo 2008, 84). Möglich theoretisch auch temporal: „seit“</w:t>
      </w:r>
    </w:p>
  </w:footnote>
  <w:footnote w:id="2587">
    <w:p>
      <w:pPr>
        <w:pStyle w:val="Funote"/>
        <w:rPr/>
      </w:pPr>
      <w:r>
        <w:rPr>
          <w:rStyle w:val="Funotenzeichen"/>
        </w:rPr>
        <w:footnoteRef/>
      </w:r>
      <w:r>
        <w:rPr/>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w:t>
      </w:r>
    </w:p>
  </w:footnote>
  <w:footnote w:id="2588">
    <w:p>
      <w:pPr>
        <w:pStyle w:val="Funote"/>
        <w:rPr/>
      </w:pPr>
      <w:r>
        <w:rPr>
          <w:rStyle w:val="Funotenzeichen"/>
        </w:rPr>
        <w:footnoteRef/>
      </w:r>
      <w:r>
        <w:rPr/>
        <w:tab/>
        <w:t>Wörtlich ein Plural.</w:t>
      </w:r>
    </w:p>
  </w:footnote>
  <w:footnote w:id="2589">
    <w:p>
      <w:pPr>
        <w:pStyle w:val="Funote"/>
        <w:rPr/>
      </w:pPr>
      <w:r>
        <w:rPr>
          <w:rStyle w:val="Funotenzeichen"/>
        </w:rPr>
        <w:footnoteRef/>
      </w:r>
      <w:r>
        <w:rPr/>
        <w:tab/>
        <w:t>Wenn eine gezielte Betonung des „vorher“ (im Gegensatz zu „schon“) intendiert ist, dann bezieht sich das vielleicht auf die Zeit, wo Epaphras in Kolossä evangelisierte, vor dem Aufkommen der Irrlehre, die mit dem Brief bekämpft wird (so seit Moule 1898, 67; vgl. Moo 2008, 86).</w:t>
      </w:r>
    </w:p>
  </w:footnote>
  <w:footnote w:id="2590">
    <w:p>
      <w:pPr>
        <w:pStyle w:val="Funote"/>
        <w:rPr/>
      </w:pPr>
      <w:r>
        <w:rPr>
          <w:rStyle w:val="Funotenzeichen"/>
        </w:rPr>
        <w:footnoteRef/>
      </w:r>
      <w:r>
        <w:rPr/>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2591">
    <w:p>
      <w:pPr>
        <w:pStyle w:val="Funote"/>
        <w:rPr/>
      </w:pPr>
      <w:r>
        <w:rPr>
          <w:rStyle w:val="Funotenzeichen"/>
        </w:rPr>
        <w:footnoteRef/>
      </w:r>
      <w:r>
        <w:rPr/>
        <w:tab/>
        <w:t>Attributives Ptz. Aor., als Relativsatz aufgelöst.</w:t>
      </w:r>
    </w:p>
  </w:footnote>
  <w:footnote w:id="2592">
    <w:p>
      <w:pPr>
        <w:pStyle w:val="Funote"/>
        <w:rPr/>
      </w:pPr>
      <w:r>
        <w:rPr>
          <w:rStyle w:val="Funotenzeichen"/>
        </w:rPr>
        <w:footnoteRef/>
      </w:r>
      <w:r>
        <w:rPr/>
        <w:tab/>
        <w:t>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w:t>
      </w:r>
    </w:p>
  </w:footnote>
  <w:footnote w:id="2593">
    <w:p>
      <w:pPr>
        <w:pStyle w:val="Funote"/>
        <w:rPr/>
      </w:pPr>
      <w:r>
        <w:rPr>
          <w:rStyle w:val="Funotenzeichen"/>
        </w:rPr>
        <w:footnoteRef/>
      </w:r>
      <w:r>
        <w:rPr/>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2594">
    <w:p>
      <w:pPr>
        <w:pStyle w:val="Funote"/>
        <w:rPr/>
      </w:pPr>
      <w:r>
        <w:rPr>
          <w:rStyle w:val="Funotenzeichen"/>
        </w:rPr>
        <w:footnoteRef/>
      </w:r>
      <w:r>
        <w:rPr/>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2595">
    <w:p>
      <w:pPr>
        <w:pStyle w:val="Funote"/>
        <w:rPr/>
      </w:pPr>
      <w:r>
        <w:rPr>
          <w:rStyle w:val="Funotenzeichen"/>
        </w:rPr>
        <w:footnoteRef/>
      </w:r>
      <w:r>
        <w:rPr/>
        <w:tab/>
        <w:t>„</w:t>
      </w:r>
      <w:r>
        <w:rPr/>
        <w:t>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w:t>
      </w:r>
    </w:p>
  </w:footnote>
  <w:footnote w:id="2596">
    <w:p>
      <w:pPr>
        <w:pStyle w:val="Funote"/>
        <w:rPr/>
      </w:pPr>
      <w:r>
        <w:rPr>
          <w:rStyle w:val="Funotenzeichen"/>
        </w:rPr>
        <w:footnoteRef/>
      </w:r>
      <w:r>
        <w:rPr>
          <w:lang w:val="el-GR"/>
        </w:rPr>
        <w:tab/>
        <w:t>καθώς</w:t>
      </w:r>
      <w:r>
        <w:rPr/>
        <w:t xml:space="preserve"> („(genau) wie“) scheint hier die beiden Sätze auf sehr allgemeine Weise zu verbinden (Moo 2008, 89), viele Übersetzungen lassen es weg. Hier wurde analog zu 6b übersetzt, um die parallele Struktur zu unterstreichen.</w:t>
      </w:r>
    </w:p>
  </w:footnote>
  <w:footnote w:id="2597">
    <w:p>
      <w:pPr>
        <w:pStyle w:val="Funote"/>
        <w:rPr/>
      </w:pPr>
      <w:r>
        <w:rPr>
          <w:rStyle w:val="Funotenzeichen"/>
        </w:rPr>
        <w:footnoteRef/>
      </w:r>
      <w:r>
        <w:rPr/>
        <w:tab/>
        <w:t>Epaphras wird sonst nur in Kol 4,12f. und Phlm 23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Phil 2,25; 4,18 genannten Paulus-Mitarbeiter identisch (Moo 2008, 90).</w:t>
      </w:r>
    </w:p>
  </w:footnote>
  <w:footnote w:id="2598">
    <w:p>
      <w:pPr>
        <w:pStyle w:val="Funote"/>
        <w:rPr/>
      </w:pPr>
      <w:r>
        <w:rPr>
          <w:rStyle w:val="Funotenzeichen"/>
        </w:rPr>
        <w:footnoteRef/>
      </w:r>
      <w:r>
        <w:rPr/>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(𝔓46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2599">
    <w:p>
      <w:pPr>
        <w:pStyle w:val="Funote"/>
        <w:rPr/>
      </w:pPr>
      <w:r>
        <w:rPr>
          <w:rStyle w:val="Funotenzeichen"/>
        </w:rPr>
        <w:footnoteRef/>
      </w:r>
      <w:r>
        <w:rPr>
          <w:lang w:val="el-GR"/>
        </w:rPr>
        <w:tab/>
        <w:t>ἐν</w:t>
      </w:r>
      <w:r>
        <w:rPr/>
        <w:t xml:space="preserve"> („in“ (örtl.), „durch“ (instr.)) ist hier wohl instrumental gemeint. Die demonstrierte Liebe wird also durch den Heiligen Geist verursacht (Moo 2008, 91f., vgl. EÜ, NGÜ, Menge).</w:t>
      </w:r>
    </w:p>
  </w:footnote>
  <w:footnote w:id="2600">
    <w:p>
      <w:pPr>
        <w:pStyle w:val="Funote"/>
        <w:rPr/>
      </w:pPr>
      <w:r>
        <w:rPr>
          <w:rStyle w:val="Funotenzeichen"/>
        </w:rPr>
        <w:footnoteRef/>
      </w:r>
      <w:r>
        <w:rPr/>
        <w:tab/>
        <w:t>Auflösung eines attributiven Ptz. Aor. als Relativsatz. Möglich wäre auch eine „und“-Kombination.</w:t>
      </w:r>
    </w:p>
  </w:footnote>
  <w:footnote w:id="2601">
    <w:p>
      <w:pPr>
        <w:pStyle w:val="Funote"/>
        <w:rPr/>
      </w:pPr>
      <w:r>
        <w:rPr>
          <w:rStyle w:val="Funotenzeichen"/>
        </w:rPr>
        <w:footnoteRef/>
      </w:r>
      <w:r>
        <w:rPr/>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2602">
    <w:p>
      <w:pPr>
        <w:pStyle w:val="Funote"/>
        <w:rPr/>
      </w:pPr>
      <w:r>
        <w:rPr>
          <w:rStyle w:val="Funotenzeichen"/>
        </w:rPr>
        <w:footnoteRef/>
      </w:r>
      <w:r>
        <w:rPr/>
        <w:tab/>
        <w:t xml:space="preserve">Fremde Als Substantiv gebrauchtes Ptz. Pf. Pass., w. also „entfremdet“. Im NT nur 3x und nur im Ptz. Pf. Pass., immer resultativ und im Zusammenhang mit der Bundesgemeinschaft bzw. Beziehung mit Gott gebraucht (Eph 2,12; 4,18, vgl. TWNT, </w:t>
      </w:r>
      <w:r>
        <w:rPr>
          <w:lang w:val="el-GR"/>
        </w:rPr>
        <w:t>ἀπαλλοτριόω</w:t>
      </w:r>
      <w:r>
        <w:rPr/>
        <w:t>). Auffällig ist, dass hier das erwartete Lokal-Objekt fehlt: wir also nicht erfahren, wovon die Adressaten einmal entfremdet waren.</w:t>
      </w:r>
    </w:p>
  </w:footnote>
  <w:footnote w:id="2603">
    <w:p>
      <w:pPr>
        <w:pStyle w:val="Funote"/>
        <w:rPr/>
      </w:pPr>
      <w:r>
        <w:rPr>
          <w:rStyle w:val="Funotenzeichen"/>
        </w:rPr>
        <w:footnoteRef/>
      </w:r>
      <w:r>
        <w:rPr/>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2604">
    <w:p>
      <w:pPr>
        <w:pStyle w:val="Funote"/>
        <w:rPr/>
      </w:pPr>
      <w:r>
        <w:rPr>
          <w:rStyle w:val="Funotenzeichen"/>
        </w:rPr>
        <w:footnoteRef/>
      </w:r>
      <w:r>
        <w:rPr/>
        <w:tab/>
        <w:t>aufgrund (in) Kausale Interpretation von „in“, vgl. EÜ. Nicht klar ist, ob das böse Verhalten Grundlage oder Zeugnis der feindlichen Geisteshaltung ist. Darum alternativ: „[wie es] in [eurem] bösen Verhalten [zum Ausdruck kommt]“.</w:t>
      </w:r>
    </w:p>
  </w:footnote>
  <w:footnote w:id="2605">
    <w:p>
      <w:pPr>
        <w:pStyle w:val="Funote"/>
        <w:rPr/>
      </w:pPr>
      <w:r>
        <w:rPr>
          <w:rStyle w:val="Funotenzeichen"/>
        </w:rPr>
        <w:footnoteRef/>
      </w:r>
      <w:r>
        <w:rPr/>
        <w:tab/>
        <w:t>Als konzessiv verbundener Hauptsatz aufgelöstes Participium coniunctum (Ptz. Präs. Akk.). Möglich wäre auch eine Auflösung als Relativsatz, eine stärkere konzessive („obwohl“) oder temporale Deutung („während, als“). S.a. V. 21, Fußnote 1.</w:t>
      </w:r>
    </w:p>
  </w:footnote>
  <w:footnote w:id="2606">
    <w:p>
      <w:pPr>
        <w:pStyle w:val="Funote"/>
        <w:rPr/>
      </w:pPr>
      <w:r>
        <w:rPr>
          <w:rStyle w:val="Funotenzeichen"/>
        </w:rPr>
        <w:footnoteRef/>
      </w:r>
      <w:r>
        <w:rPr/>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2607">
    <w:p>
      <w:pPr>
        <w:pStyle w:val="Funote"/>
        <w:rPr/>
      </w:pPr>
      <w:r>
        <w:rPr>
          <w:rStyle w:val="Funotenzeichen"/>
        </w:rPr>
        <w:footnoteRef/>
      </w:r>
      <w:r>
        <w:rPr/>
        <w:tab/>
        <w:t>W: „seinen Körper des Fleisches“. Der attr. Genitiv drückt die Beschaffenheit des Bezugsworts aus. Gemeint ist mit dem „fleischlichen Körper“ wohl ein „sterblicher“ (Moo 2008, 142), der gedanklich klar von der Gemeinde als „Körper Christi“ abgegrenzt werden soll (Schweizer 21980, 76).</w:t>
      </w:r>
    </w:p>
  </w:footnote>
  <w:footnote w:id="2608">
    <w:p>
      <w:pPr>
        <w:pStyle w:val="Funote"/>
        <w:rPr/>
      </w:pPr>
      <w:r>
        <w:rPr>
          <w:rStyle w:val="Funotenzeichen"/>
        </w:rPr>
        <w:footnoteRef/>
      </w:r>
      <w:r>
        <w:rPr/>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2609">
    <w:p>
      <w:pPr>
        <w:pStyle w:val="Funote"/>
        <w:rPr/>
      </w:pPr>
      <w:r>
        <w:rPr>
          <w:rStyle w:val="Funotenzeichen"/>
        </w:rPr>
        <w:footnoteRef/>
      </w:r>
      <w:r>
        <w:rPr/>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2610">
    <w:p>
      <w:pPr>
        <w:pStyle w:val="Funote"/>
        <w:rPr/>
      </w:pPr>
      <w:r>
        <w:rPr>
          <w:rStyle w:val="Funotenzeichen"/>
        </w:rPr>
        <w:footnoteRef/>
      </w:r>
      <w:r>
        <w:rPr/>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2611">
    <w:p>
      <w:pPr>
        <w:pStyle w:val="Funote"/>
        <w:rPr/>
      </w:pPr>
      <w:r>
        <w:rPr>
          <w:rStyle w:val="Funotenzeichen"/>
        </w:rPr>
        <w:footnoteRef/>
      </w:r>
      <w:r>
        <w:rPr/>
        <w:tab/>
        <w:t>Adv. Ptz. Pf. Pass., zeigt die Art und Weise (modal) oder die Ursache (kausal) des Verweilens „im Glauben“ an. Hier (modal) direkt als Artangabe aufgelöst; denkbar wären auch ein verdeutlichendes „[und zwar]“ oder „[indem]“</w:t>
      </w:r>
    </w:p>
  </w:footnote>
  <w:footnote w:id="2612">
    <w:p>
      <w:pPr>
        <w:pStyle w:val="Funote"/>
        <w:rPr/>
      </w:pPr>
      <w:r>
        <w:rPr>
          <w:rStyle w:val="Funotenzeichen"/>
        </w:rPr>
        <w:footnoteRef/>
      </w:r>
      <w:r>
        <w:rPr/>
        <w:tab/>
        <w:t>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w:t>
      </w:r>
    </w:p>
  </w:footnote>
  <w:footnote w:id="2613">
    <w:p>
      <w:pPr>
        <w:pStyle w:val="Funote"/>
        <w:rPr/>
      </w:pPr>
      <w:r>
        <w:rPr>
          <w:rStyle w:val="Funotenzeichen"/>
        </w:rPr>
        <w:footnoteRef/>
      </w:r>
      <w:r>
        <w:rPr/>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2614">
    <w:p>
      <w:pPr>
        <w:pStyle w:val="Funote"/>
        <w:rPr/>
      </w:pPr>
      <w:r>
        <w:rPr>
          <w:rStyle w:val="Funotenzeichen"/>
        </w:rPr>
        <w:footnoteRef/>
      </w:r>
      <w:r>
        <w:rPr/>
        <w:tab/>
        <w:t>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V. 6, Fußnote o, dann als Entsprechung zu Versöhnung aller Dinge in V. 20 (Moo 2008, 147).</w:t>
      </w:r>
    </w:p>
  </w:footnote>
  <w:footnote w:id="2615">
    <w:p>
      <w:pPr>
        <w:pStyle w:val="Funote"/>
        <w:rPr/>
      </w:pPr>
      <w:r>
        <w:rPr>
          <w:rStyle w:val="Funotenzeichen"/>
        </w:rPr>
        <w:footnoteRef/>
      </w:r>
      <w:r>
        <w:rPr/>
        <w:tab/>
        <w:t>[Status: Zuverlässig]</w:t>
      </w:r>
    </w:p>
  </w:footnote>
  <w:footnote w:id="2616">
    <w:p>
      <w:pPr>
        <w:pStyle w:val="Funote"/>
        <w:rPr/>
      </w:pPr>
      <w:r>
        <w:rPr>
          <w:rStyle w:val="Funotenzeichen"/>
        </w:rPr>
        <w:footnoteRef/>
      </w:r>
      <w:r>
        <w:rPr/>
        <w:tab/>
        <w:t>die zwölf Stämme in der Zerstreuung (Diaspora)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 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Ps 147,2; Jes 11,12; 14,1; 54,5f; Jer 31,10; Ez 28,25 u.ö.). Diese Vorstellung wurde im Laufe der Zeit erweitert: (a) Der Zustand der Zerstreuung wurde als Strafe Gottes für die Sündhaftigkeit Israels verstanden (s. z.B. Neh 1,8f), (b) Jesus bringt die Sammlung des zerstreuten Israels mit seiner - des Menschensohns - Wiederkunft am Ende der Zeiten in Zusammenhang. 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 Unsicher allerdings ist, ob der Brief sich dann allgemein an alle Angehörigen der zwölf Stämme richtet, oder ob diese Vorstellung von der Sammlung der zwölf Stämme im Jakobusbrief auf die Christusgläubigen übertragen wird.</w:t>
      </w:r>
    </w:p>
  </w:footnote>
  <w:footnote w:id="2617">
    <w:p>
      <w:pPr>
        <w:pStyle w:val="Funote"/>
        <w:rPr/>
      </w:pPr>
      <w:r>
        <w:rPr>
          <w:rStyle w:val="Funotenzeichen"/>
        </w:rPr>
        <w:footnoteRef/>
      </w:r>
      <w:r>
        <w:rPr/>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2618">
    <w:p>
      <w:pPr>
        <w:pStyle w:val="Funote"/>
        <w:rPr/>
      </w:pPr>
      <w:r>
        <w:rPr>
          <w:rStyle w:val="Funotenzeichen"/>
        </w:rPr>
        <w:footnoteRef/>
      </w:r>
      <w:r>
        <w:rPr/>
        <w:tab/>
        <w:t>Entsprechend dem Stil seiner Zeit spricht Jakobus hier nur die männlichen „Brüder“ an; die weiblichen „Schwestern“ sind aber sehr sicher mitgemeint (-&gt; Generisches Maskulinum).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2619">
    <w:p>
      <w:pPr>
        <w:pStyle w:val="Funote"/>
        <w:rPr/>
      </w:pPr>
      <w:r>
        <w:rPr>
          <w:rStyle w:val="Funotenzeichen"/>
        </w:rPr>
        <w:footnoteRef/>
      </w:r>
      <w:r>
        <w:rPr/>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2620">
    <w:p>
      <w:pPr>
        <w:pStyle w:val="Funote"/>
        <w:rPr/>
      </w:pPr>
      <w:r>
        <w:rPr>
          <w:rStyle w:val="Funotenzeichen"/>
        </w:rPr>
        <w:footnoteRef/>
      </w:r>
      <w:r>
        <w:rPr/>
        <w:tab/>
        <w:t>Ptz. coni., hier als kausaler Nebensatz aufgelöst (oder als Präpositionalphrase, so Klammer). Einige Ausleger verstehen das Partizip auch imperativisches Partizip („wisst“).</w:t>
      </w:r>
    </w:p>
  </w:footnote>
  <w:footnote w:id="2621">
    <w:p>
      <w:pPr>
        <w:pStyle w:val="Funote"/>
        <w:rPr/>
      </w:pPr>
      <w:r>
        <w:rPr>
          <w:rStyle w:val="Funotenzeichen"/>
        </w:rPr>
        <w:footnoteRef/>
      </w:r>
      <w:r>
        <w:rPr/>
        <w:tab/>
        <w:t>Der Begriff hat eine sehr aktive Bedeutung – es wird nicht nur abgewartet, sondern auch entsprechend gehandelt (Dibelius 1964, 101; Blomberg 2008, 49; Mußner 1964, 65f.).</w:t>
      </w:r>
    </w:p>
  </w:footnote>
  <w:footnote w:id="2622">
    <w:p>
      <w:pPr>
        <w:pStyle w:val="Funote"/>
        <w:rPr/>
      </w:pPr>
      <w:r>
        <w:rPr>
          <w:rStyle w:val="Funotenzeichen"/>
        </w:rPr>
        <w:footnoteRef/>
      </w:r>
      <w:r>
        <w:rPr>
          <w:lang w:val="el-GR"/>
        </w:rPr>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2623">
    <w:p>
      <w:pPr>
        <w:pStyle w:val="Funote"/>
        <w:rPr/>
      </w:pPr>
      <w:r>
        <w:rPr>
          <w:rStyle w:val="Funotenzeichen"/>
        </w:rPr>
        <w:footnoteRef/>
      </w:r>
      <w:r>
        <w:rPr/>
        <w:tab/>
        <w:t>Oder sinngemäßer: „Ausgang“ (cf. Johnson 1995, 178).</w:t>
      </w:r>
    </w:p>
  </w:footnote>
  <w:footnote w:id="2624">
    <w:p>
      <w:pPr>
        <w:pStyle w:val="Funote"/>
        <w:rPr/>
      </w:pPr>
      <w:r>
        <w:rPr>
          <w:rStyle w:val="Funotenzeichen"/>
        </w:rPr>
        <w:footnoteRef/>
      </w:r>
      <w:r>
        <w:rPr/>
        <w:tab/>
        <w:t>Der Imperativ Präsens markiert hier, dass nicht ein Mal ein vollkommenes Werk Folge der Standhaftigkeit sein soll, sondern dass vollkommene Werke prinzipiell die Folge der Standhaftigkeit sein sollen.</w:t>
      </w:r>
    </w:p>
  </w:footnote>
  <w:footnote w:id="2625">
    <w:p>
      <w:pPr>
        <w:pStyle w:val="Funote"/>
        <w:rPr/>
      </w:pPr>
      <w:r>
        <w:rPr>
          <w:rStyle w:val="Funotenzeichen"/>
        </w:rPr>
        <w:footnoteRef/>
      </w:r>
      <w:r>
        <w:rPr>
          <w:lang w:val="el-GR"/>
        </w:rPr>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2626">
    <w:p>
      <w:pPr>
        <w:pStyle w:val="Funote"/>
        <w:rPr/>
      </w:pPr>
      <w:r>
        <w:rPr>
          <w:rStyle w:val="Funotenzeichen"/>
        </w:rPr>
        <w:footnoteRef/>
      </w:r>
      <w:r>
        <w:rPr/>
        <w:tab/>
        <w:t>Auflösung eines Ptz. coni. durch und-Koordination. Möglich auch modal, temporal, kausal (so Klammer).</w:t>
      </w:r>
    </w:p>
  </w:footnote>
  <w:footnote w:id="2627">
    <w:p>
      <w:pPr>
        <w:pStyle w:val="Funote"/>
        <w:rPr/>
      </w:pPr>
      <w:r>
        <w:rPr>
          <w:rStyle w:val="Funotenzeichen"/>
        </w:rPr>
        <w:footnoteRef/>
      </w:r>
      <w:r>
        <w:rPr/>
        <w:tab/>
        <w:t>S. vorige FN.</w:t>
      </w:r>
    </w:p>
  </w:footnote>
  <w:footnote w:id="2628">
    <w:p>
      <w:pPr>
        <w:pStyle w:val="Funote"/>
        <w:rPr/>
      </w:pPr>
      <w:r>
        <w:rPr>
          <w:rStyle w:val="Funotenzeichen"/>
        </w:rPr>
        <w:footnoteRef/>
      </w:r>
      <w:r>
        <w:rPr/>
        <w:tab/>
        <w:t>Wieder spricht Jakobus einzig männliche Leser an, meint aber auch die weiblichen Leser mit (-&gt; Generisches Maskulinum). Für die LF sei jeweils - falls vorhanden - die Übersetzungsalternative in der Klammer empfohlen.</w:t>
      </w:r>
    </w:p>
  </w:footnote>
  <w:footnote w:id="2629">
    <w:p>
      <w:pPr>
        <w:pStyle w:val="Funote"/>
        <w:rPr/>
      </w:pPr>
      <w:r>
        <w:rPr>
          <w:rStyle w:val="Funotenzeichen"/>
        </w:rPr>
        <w:footnoteRef/>
      </w:r>
      <w:r>
        <w:rPr/>
        <w:tab/>
        <w:t>Weisheit - Jakobus' Verständnis von „Weisheit“ entspricht v.a. dem Weisheitskonzept der frühjüdischen Schriften: (1) Weisheit ist nicht etwas, das man von selbst erlangen könnte, sondern zunächst eine Gabe Gottes (s. Vv. 5.17; vgl. z.B. Jes 11,2; Spr 1,7; 2,6; Sir 39,5; Weish 7,7.15.25f; 1Kor 2,13; 12,8; Eph 1,17 u.ö.). Und (2) führt sie anders als die „irdische Weisheit“ (i.S.v. „Wissenschaft“, vgl. z.B. 1Kor 1,19-22; 2,6f) nicht zunächst zu Erkenntnis und Wissen, sondern befähigt zu gottgefälligem Handeln (s. Jak 3,17; vgl. Weish 7,22f; Weish 8,6-8; 9,1-4.9-12.17f; 4Makk 1,18-35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FN e) - und hierfür ist nach dem Verständnis des altjüdischen Schrifttums Weisheit vonnöten, s. die obigen Stellen; besonders eindrücklich 4Makk 1,18f.28-30: : „Der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Rießler 1928)</w:t>
      </w:r>
    </w:p>
  </w:footnote>
  <w:footnote w:id="2630">
    <w:p>
      <w:pPr>
        <w:pStyle w:val="Funote"/>
        <w:rPr/>
      </w:pPr>
      <w:r>
        <w:rPr>
          <w:rStyle w:val="Funotenzeichen"/>
        </w:rPr>
        <w:footnoteRef/>
      </w:r>
      <w:r>
        <w:rPr/>
        <w:tab/>
        <w:t>großzügig (vorbehaltlos) - Beide Deutungen des Wortes sind möglich; Gott ist also je nach Verständnis entweder lediglich ein vorbehaltloser Geber (der also bedingungslos gibt) oder sogar ein großzügiger Geber. Die Deutung mit „großzügig“ könnte an die aus Lk 11,9-13 par Mt 7,7-11 bekannte Jesustradition anknüpfen und scheint außerdem besser in den Kontext zu passen.</w:t>
      </w:r>
    </w:p>
  </w:footnote>
  <w:footnote w:id="2631">
    <w:p>
      <w:pPr>
        <w:pStyle w:val="Funote"/>
        <w:rPr/>
      </w:pPr>
      <w:r>
        <w:rPr>
          <w:rStyle w:val="Funotenzeichen"/>
        </w:rPr>
        <w:footnoteRef/>
      </w:r>
      <w:r>
        <w:rPr/>
        <w:tab/>
        <w:t>Auflösung eines adv. Ptz. durch Substantivierung und Koordination „und“. Das Wort heißt meistens eher „(be)schimpfen“. Es bezieht sich hier vermutlich darauf, dass Gott sich nicht darüber beklagt, dass er Weisheit geben „muss“ (BA).</w:t>
      </w:r>
    </w:p>
  </w:footnote>
  <w:footnote w:id="2632">
    <w:p>
      <w:pPr>
        <w:pStyle w:val="Funote"/>
        <w:rPr/>
      </w:pPr>
      <w:r>
        <w:rPr>
          <w:rStyle w:val="Funotenzeichen"/>
        </w:rPr>
        <w:footnoteRef/>
      </w:r>
      <w:r>
        <w:rPr/>
        <w:tab/>
        <w:t>Auflösung eines attributiven Ptz. als Relativsatz.</w:t>
      </w:r>
    </w:p>
  </w:footnote>
  <w:footnote w:id="2633">
    <w:p>
      <w:pPr>
        <w:pStyle w:val="Funote"/>
        <w:rPr/>
      </w:pPr>
      <w:r>
        <w:rPr>
          <w:rStyle w:val="Funotenzeichen"/>
        </w:rPr>
        <w:footnoteRef/>
      </w:r>
      <w:r>
        <w:rPr/>
        <w:tab/>
        <w:t>Der Imperativ Präsens (statt Aorist) markiert hier, dass nicht ein Mal, sondern entweder prinzipiell oder immer wieder gebeten werden soll.</w:t>
      </w:r>
    </w:p>
  </w:footnote>
  <w:footnote w:id="2634">
    <w:p>
      <w:pPr>
        <w:pStyle w:val="Funote"/>
        <w:rPr/>
      </w:pPr>
      <w:r>
        <w:rPr>
          <w:rStyle w:val="Funotenzeichen"/>
        </w:rPr>
        <w:footnoteRef/>
      </w:r>
      <w:r>
        <w:rPr/>
        <w:tab/>
        <w:t>Modales adv. Ptz., mit „und“-Konstruktion aufgelöst. Es sollen also keine Bedenken gegen die Bereitwilligkeit Gottes zu geben bestehen (Blomberg 2008, 52).</w:t>
      </w:r>
    </w:p>
  </w:footnote>
  <w:footnote w:id="2635">
    <w:p>
      <w:pPr>
        <w:pStyle w:val="Funote"/>
        <w:rPr/>
      </w:pPr>
      <w:r>
        <w:rPr>
          <w:rStyle w:val="Funotenzeichen"/>
        </w:rPr>
        <w:footnoteRef/>
      </w:r>
      <w:r>
        <w:rPr/>
        <w:tab/>
        <w:t>Subst. Ptz. aufgelöst.</w:t>
      </w:r>
    </w:p>
  </w:footnote>
  <w:footnote w:id="2636">
    <w:p>
      <w:pPr>
        <w:pStyle w:val="Funote"/>
        <w:rPr/>
      </w:pPr>
      <w:r>
        <w:rPr>
          <w:rStyle w:val="Funotenzeichen"/>
        </w:rPr>
        <w:footnoteRef/>
      </w:r>
      <w:r>
        <w:rPr/>
        <w:tab/>
        <w:t>Der letzte Nebensatz ersetzt im Deutschen zwei attributive Ptz., die sich wie Adjektive direkt auf die Meereswoge beziehen.</w:t>
      </w:r>
    </w:p>
  </w:footnote>
  <w:footnote w:id="2637">
    <w:p>
      <w:pPr>
        <w:pStyle w:val="Funote"/>
        <w:rPr/>
      </w:pPr>
      <w:r>
        <w:rPr>
          <w:rStyle w:val="Funotenzeichen"/>
        </w:rPr>
        <w:footnoteRef/>
      </w:r>
      <w:r>
        <w:rPr>
          <w:lang w:val="el-GR"/>
        </w:rPr>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2638">
    <w:p>
      <w:pPr>
        <w:pStyle w:val="Funote"/>
        <w:rPr/>
      </w:pPr>
      <w:r>
        <w:rPr>
          <w:rStyle w:val="Funotenzeichen"/>
        </w:rPr>
        <w:footnoteRef/>
      </w:r>
      <w:r>
        <w:rPr/>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2639">
    <w:p>
      <w:pPr>
        <w:pStyle w:val="Funote"/>
        <w:rPr/>
      </w:pPr>
      <w:r>
        <w:rPr>
          <w:rStyle w:val="Funotenzeichen"/>
        </w:rPr>
        <w:footnoteRef/>
      </w:r>
      <w:r>
        <w:rPr/>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2640">
    <w:p>
      <w:pPr>
        <w:pStyle w:val="Funote"/>
        <w:rPr/>
      </w:pPr>
      <w:r>
        <w:rPr>
          <w:rStyle w:val="Funotenzeichen"/>
        </w:rPr>
        <w:footnoteRef/>
      </w:r>
      <w:r>
        <w:rPr/>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2641">
    <w:p>
      <w:pPr>
        <w:pStyle w:val="Funote"/>
        <w:rPr/>
      </w:pPr>
      <w:r>
        <w:rPr>
          <w:rStyle w:val="Funotenzeichen"/>
        </w:rPr>
        <w:footnoteRef/>
      </w:r>
      <w:r>
        <w:rPr/>
        <w:tab/>
        <w:t>zu „Bruder“ s. FN d</w:t>
      </w:r>
    </w:p>
  </w:footnote>
  <w:footnote w:id="2642">
    <w:p>
      <w:pPr>
        <w:pStyle w:val="Funote"/>
        <w:rPr/>
      </w:pPr>
      <w:r>
        <w:rPr>
          <w:rStyle w:val="Funotenzeichen"/>
        </w:rPr>
        <w:footnoteRef/>
      </w:r>
      <w:r>
        <w:rPr/>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2643">
    <w:p>
      <w:pPr>
        <w:pStyle w:val="Funote"/>
        <w:rPr/>
      </w:pPr>
      <w:r>
        <w:rPr>
          <w:rStyle w:val="Funotenzeichen"/>
        </w:rPr>
        <w:footnoteRef/>
      </w:r>
      <w:r>
        <w:rPr/>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2644">
    <w:p>
      <w:pPr>
        <w:pStyle w:val="Funote"/>
        <w:rPr/>
      </w:pPr>
      <w:r>
        <w:rPr>
          <w:rStyle w:val="Funotenzeichen"/>
        </w:rPr>
        <w:footnoteRef/>
      </w:r>
      <w:r>
        <w:rPr/>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2645">
    <w:p>
      <w:pPr>
        <w:pStyle w:val="Funote"/>
        <w:rPr/>
      </w:pPr>
      <w:r>
        <w:rPr>
          <w:rStyle w:val="Funotenzeichen"/>
        </w:rPr>
        <w:footnoteRef/>
      </w:r>
      <w:r>
        <w:rPr/>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2646">
    <w:p>
      <w:pPr>
        <w:pStyle w:val="Funote"/>
        <w:rPr/>
      </w:pPr>
      <w:r>
        <w:rPr>
          <w:rStyle w:val="Funotenzeichen"/>
        </w:rPr>
        <w:footnoteRef/>
      </w:r>
      <w:r>
        <w:rPr/>
        <w:tab/>
        <w:t>Alle präsentisch übersetzten Verben in diesem Vers stehen im Urtext im gnomischen Aorist.</w:t>
      </w:r>
    </w:p>
  </w:footnote>
  <w:footnote w:id="2647">
    <w:p>
      <w:pPr>
        <w:pStyle w:val="Funote"/>
        <w:rPr/>
      </w:pPr>
      <w:r>
        <w:rPr>
          <w:rStyle w:val="Funotenzeichen"/>
        </w:rPr>
        <w:footnoteRef/>
      </w:r>
      <w:r>
        <w:rPr/>
        <w:tab/>
        <w:t>Die meisten Handschriften lesen hier „Mann“, jedoch mit klar generischer Bedeutung (Blomberg 2008, 69).</w:t>
      </w:r>
    </w:p>
  </w:footnote>
  <w:footnote w:id="2648">
    <w:p>
      <w:pPr>
        <w:pStyle w:val="Funote"/>
        <w:rPr/>
      </w:pPr>
      <w:r>
        <w:rPr>
          <w:rStyle w:val="Funotenzeichen"/>
        </w:rPr>
        <w:footnoteRef/>
      </w:r>
      <w:r>
        <w:rPr/>
        <w:tab/>
        <w:t>Gemeint ist, wie oben, keine geistliche Versuchung, sondern allgemein eine Schwierigkeit, eine „Prüfung“ im Leben. S. Vv. 2-4 (Blomberg 2008, 69).</w:t>
      </w:r>
    </w:p>
  </w:footnote>
  <w:footnote w:id="2649">
    <w:p>
      <w:pPr>
        <w:pStyle w:val="Funote"/>
        <w:rPr/>
      </w:pPr>
      <w:r>
        <w:rPr>
          <w:rStyle w:val="Funotenzeichen"/>
        </w:rPr>
        <w:footnoteRef/>
      </w:r>
      <w:r>
        <w:rPr/>
        <w:tab/>
        <w:t>Die Einfügung soll der Bedeutung des Verbs näher kommen.</w:t>
      </w:r>
    </w:p>
  </w:footnote>
  <w:footnote w:id="2650">
    <w:p>
      <w:pPr>
        <w:pStyle w:val="Funote"/>
        <w:rPr/>
      </w:pPr>
      <w:r>
        <w:rPr>
          <w:rStyle w:val="Funotenzeichen"/>
        </w:rPr>
        <w:footnoteRef/>
      </w:r>
      <w:r>
        <w:rPr/>
        <w:tab/>
        <w:t>Adv. Ptz. Aor., temporal aufgelöst; alternativ auch kausal, modal. Wörtlich: „als ein erprobt (bewährt, tüchtig, angesehen) Gewordenener“.</w:t>
      </w:r>
    </w:p>
  </w:footnote>
  <w:footnote w:id="2651">
    <w:p>
      <w:pPr>
        <w:pStyle w:val="Funote"/>
        <w:rPr/>
      </w:pPr>
      <w:r>
        <w:rPr>
          <w:rStyle w:val="Funotenzeichen"/>
        </w:rPr>
        <w:footnoteRef/>
      </w:r>
      <w:r>
        <w:rPr/>
        <w:tab/>
        <w:t>Gen. epexegeticus (NSS). „Siegeskranz, welcher das Leben ist“ (Blomberg 2008, 69).</w:t>
      </w:r>
    </w:p>
  </w:footnote>
  <w:footnote w:id="2652">
    <w:p>
      <w:pPr>
        <w:pStyle w:val="Funote"/>
        <w:rPr/>
      </w:pPr>
      <w:r>
        <w:rPr>
          <w:rStyle w:val="Funotenzeichen"/>
        </w:rPr>
        <w:footnoteRef/>
      </w:r>
      <w:r>
        <w:rPr/>
        <w:tab/>
        <w:t>Viele Handschriften ergänzen an dieser Stelle zusätzlich als Subjekt „der Herr“ oder „Gott“; die schwierigere und kürzere (und damit wohl ursprüngliche) Lesart ist jedoch diejenige ohne explizites Subjekt (Johnson 1995, 188).</w:t>
      </w:r>
    </w:p>
  </w:footnote>
  <w:footnote w:id="2653">
    <w:p>
      <w:pPr>
        <w:pStyle w:val="Funote"/>
        <w:rPr/>
      </w:pPr>
      <w:r>
        <w:rPr>
          <w:rStyle w:val="Funotenzeichen"/>
        </w:rPr>
        <w:footnoteRef/>
      </w:r>
      <w:r>
        <w:rPr/>
        <w:tab/>
        <w:t>Subst. Ptz., hier aufgelöst.</w:t>
      </w:r>
    </w:p>
  </w:footnote>
  <w:footnote w:id="2654">
    <w:p>
      <w:pPr>
        <w:pStyle w:val="Funote"/>
        <w:rPr/>
      </w:pPr>
      <w:r>
        <w:rPr>
          <w:rStyle w:val="Funotenzeichen"/>
        </w:rPr>
        <w:footnoteRef/>
      </w:r>
      <w:r>
        <w:rPr/>
        <w:tab/>
        <w:t>Wörtlich: „Kein Versuchter (Geprüfter, Auf-die-Probe-Gestellter)“ (Attr. Ptz. Präs.)</w:t>
      </w:r>
    </w:p>
  </w:footnote>
  <w:footnote w:id="2655">
    <w:p>
      <w:pPr>
        <w:pStyle w:val="Funote"/>
        <w:rPr/>
      </w:pPr>
      <w:r>
        <w:rPr>
          <w:rStyle w:val="Funotenzeichen"/>
        </w:rPr>
        <w:footnoteRef/>
      </w:r>
      <w:r>
        <w:rPr/>
        <w:tab/>
        <w:t>3. Sg. Imp.</w:t>
      </w:r>
    </w:p>
  </w:footnote>
  <w:footnote w:id="2656">
    <w:p>
      <w:pPr>
        <w:pStyle w:val="Funote"/>
        <w:rPr/>
      </w:pPr>
      <w:r>
        <w:rPr>
          <w:rStyle w:val="Funotenzeichen"/>
        </w:rPr>
        <w:footnoteRef/>
      </w:r>
      <w:r>
        <w:rPr>
          <w:lang w:val="el-GR"/>
        </w:rPr>
        <w:tab/>
        <w:t>ὅτι</w:t>
      </w:r>
      <w:r>
        <w:rPr/>
        <w:t xml:space="preserve"> recitativum.</w:t>
      </w:r>
    </w:p>
  </w:footnote>
  <w:footnote w:id="2657">
    <w:p>
      <w:pPr>
        <w:pStyle w:val="Funote"/>
        <w:rPr/>
      </w:pPr>
      <w:r>
        <w:rPr>
          <w:rStyle w:val="Funotenzeichen"/>
        </w:rPr>
        <w:footnoteRef/>
      </w:r>
      <w:r>
        <w:rPr/>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2658">
    <w:p>
      <w:pPr>
        <w:pStyle w:val="Funote"/>
        <w:rPr/>
      </w:pPr>
      <w:r>
        <w:rPr>
          <w:rStyle w:val="Funotenzeichen"/>
        </w:rPr>
        <w:footnoteRef/>
      </w:r>
      <w:r>
        <w:rPr/>
        <w:tab/>
        <w:t xml:space="preserve">Diese Übersetzung von </w:t>
      </w:r>
      <w:r>
        <w:rPr>
          <w:lang w:val="el-GR"/>
        </w:rPr>
        <w:t>δὲ</w:t>
      </w:r>
      <w:r>
        <w:rPr/>
        <w:t xml:space="preserve"> wurde gewählt, um den Argumentationsgang wie im Urtext aufrecht zu erhalten.</w:t>
      </w:r>
    </w:p>
  </w:footnote>
  <w:footnote w:id="2659">
    <w:p>
      <w:pPr>
        <w:pStyle w:val="Funote"/>
        <w:rPr/>
      </w:pPr>
      <w:r>
        <w:rPr>
          <w:rStyle w:val="Funotenzeichen"/>
        </w:rPr>
        <w:footnoteRef/>
      </w:r>
      <w:r>
        <w:rPr/>
        <w:tab/>
        <w:t>Modale Auflösung zweier adv. Ptz. Alternativ kausal, temporal, konditional.</w:t>
      </w:r>
    </w:p>
  </w:footnote>
  <w:footnote w:id="2660">
    <w:p>
      <w:pPr>
        <w:pStyle w:val="Funote"/>
        <w:rPr/>
      </w:pPr>
      <w:r>
        <w:rPr>
          <w:rStyle w:val="Funotenzeichen"/>
        </w:rPr>
        <w:footnoteRef/>
      </w:r>
      <w:r>
        <w:rPr/>
        <w:tab/>
        <w:t>Ptc. coni. Aor.; temporal aufgelöst.</w:t>
      </w:r>
    </w:p>
  </w:footnote>
  <w:footnote w:id="2661">
    <w:p>
      <w:pPr>
        <w:pStyle w:val="Funote"/>
        <w:rPr/>
      </w:pPr>
      <w:r>
        <w:rPr>
          <w:rStyle w:val="Funotenzeichen"/>
        </w:rPr>
        <w:footnoteRef/>
      </w:r>
      <w:r>
        <w:rPr/>
        <w:tab/>
        <w:t>Eig. Futur. Die Alternative „erwachsen geworden“ passt in den Sinn der Metapher von der Begierde, dem Gebären und Erwachsenwerden der Sünde (Blomberg 2008, 72).</w:t>
      </w:r>
    </w:p>
  </w:footnote>
  <w:footnote w:id="2662">
    <w:p>
      <w:pPr>
        <w:pStyle w:val="Funote"/>
        <w:rPr/>
      </w:pPr>
      <w:r>
        <w:rPr>
          <w:rStyle w:val="Funotenzeichen"/>
        </w:rPr>
        <w:footnoteRef/>
      </w:r>
      <w:r>
        <w:rPr/>
        <w:tab/>
        <w:t>Wörtlich: „Werdet nicht getäuscht“. Alternativ auch aktiv: „Täuscht euch nicht“.</w:t>
      </w:r>
    </w:p>
  </w:footnote>
  <w:footnote w:id="2663">
    <w:p>
      <w:pPr>
        <w:pStyle w:val="Funote"/>
        <w:rPr/>
      </w:pPr>
      <w:r>
        <w:rPr>
          <w:rStyle w:val="Funotenzeichen"/>
        </w:rPr>
        <w:footnoteRef/>
      </w:r>
      <w:r>
        <w:rPr/>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2664">
    <w:p>
      <w:pPr>
        <w:pStyle w:val="Funote"/>
        <w:rPr/>
      </w:pPr>
      <w:r>
        <w:rPr>
          <w:rStyle w:val="Funotenzeichen"/>
        </w:rPr>
        <w:footnoteRef/>
      </w:r>
      <w:r>
        <w:rPr/>
        <w:tab/>
        <w:t>Gemeint sind wohl die Himmelskörper als natürliche Lichtquellen (vgl. Johnson 1995, 196).</w:t>
      </w:r>
    </w:p>
  </w:footnote>
  <w:footnote w:id="2665">
    <w:p>
      <w:pPr>
        <w:pStyle w:val="Funote"/>
        <w:rPr/>
      </w:pPr>
      <w:r>
        <w:rPr>
          <w:rStyle w:val="Funotenzeichen"/>
        </w:rPr>
        <w:footnoteRef/>
      </w:r>
      <w:r>
        <w:rPr/>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2666">
    <w:p>
      <w:pPr>
        <w:pStyle w:val="Funote"/>
        <w:rPr/>
      </w:pPr>
      <w:r>
        <w:rPr>
          <w:rStyle w:val="Funotenzeichen"/>
        </w:rPr>
        <w:footnoteRef/>
      </w:r>
      <w:r>
        <w:rPr/>
        <w:tab/>
        <w:t>Substantivische Auflösung eines kausalen oder modalen Ptz. Aor. Pass. (wörtlich „gewillt habend“).</w:t>
      </w:r>
    </w:p>
  </w:footnote>
  <w:footnote w:id="2667">
    <w:p>
      <w:pPr>
        <w:pStyle w:val="Funote"/>
        <w:rPr/>
      </w:pPr>
      <w:r>
        <w:rPr>
          <w:rStyle w:val="Funotenzeichen"/>
        </w:rPr>
        <w:footnoteRef/>
      </w:r>
      <w:r>
        <w:rPr/>
        <w:tab/>
        <w:t>Dat. instrumentalis.</w:t>
      </w:r>
    </w:p>
  </w:footnote>
  <w:footnote w:id="2668">
    <w:p>
      <w:pPr>
        <w:pStyle w:val="Funote"/>
        <w:rPr/>
      </w:pPr>
      <w:r>
        <w:rPr>
          <w:rStyle w:val="Funotenzeichen"/>
        </w:rPr>
        <w:footnoteRef/>
      </w:r>
      <w:r>
        <w:rPr/>
        <w:tab/>
        <w:t>So NSS. Wörtlich „Wisst“ (Imp.) oder „Ihr wisst“ (Ind., so Johnson 1995, 198). Hier als Imperativ gedeutet. Alternativ „Wisst dies:“ (Blomberg 2008, 85; Mußner 1964, 99).</w:t>
      </w:r>
    </w:p>
  </w:footnote>
  <w:footnote w:id="2669">
    <w:p>
      <w:pPr>
        <w:pStyle w:val="Funote"/>
        <w:rPr/>
      </w:pPr>
      <w:r>
        <w:rPr>
          <w:rStyle w:val="Funotenzeichen"/>
        </w:rPr>
        <w:footnoteRef/>
      </w:r>
      <w:r>
        <w:rPr/>
        <w:tab/>
        <w:t>Hier verwendet der Autor „Mann“ wieder im generischen Sinne als Synomym für „Mensch“ (Blomberg/Kamell).</w:t>
      </w:r>
    </w:p>
  </w:footnote>
  <w:footnote w:id="2670">
    <w:p>
      <w:pPr>
        <w:pStyle w:val="Funote"/>
        <w:rPr/>
      </w:pPr>
      <w:r>
        <w:rPr>
          <w:rStyle w:val="Funotenzeichen"/>
        </w:rPr>
        <w:footnoteRef/>
      </w:r>
      <w:r>
        <w:rPr/>
        <w:tab/>
        <w:t>Gen. subi.: also die Gerechtigkeit vor Gott/nach der Gott urteilt. Kann umschrieben werden: „was vor Gott gerecht ist“ (So Lut, EU, NGÜ). Wörtlich „Gerechtigkeit Gottes“ (so bei RevElb, SLT).</w:t>
      </w:r>
    </w:p>
  </w:footnote>
  <w:footnote w:id="2671">
    <w:p>
      <w:pPr>
        <w:pStyle w:val="Funote"/>
        <w:rPr/>
      </w:pPr>
      <w:r>
        <w:rPr>
          <w:rStyle w:val="Funotenzeichen"/>
        </w:rPr>
        <w:footnoteRef/>
      </w:r>
      <w:r>
        <w:rPr/>
        <w:tab/>
        <w:t>Alternativ nach NSS: „erfüllt nicht die von Gott gesetzte Gerechtigkeit.“</w:t>
      </w:r>
    </w:p>
  </w:footnote>
  <w:footnote w:id="2672">
    <w:p>
      <w:pPr>
        <w:pStyle w:val="Funote"/>
        <w:rPr/>
      </w:pPr>
      <w:r>
        <w:rPr>
          <w:rStyle w:val="Funotenzeichen"/>
        </w:rPr>
        <w:footnoteRef/>
      </w:r>
      <w:r>
        <w:rPr/>
        <w:tab/>
        <w:t>Wörtlich: „[alles] Übermaß der Schlechtigkeit“. Die Bedeutung ist eindeutig nicht „alle Schlechtigkeit, die ihr übrig habt“, sondern „von der es so viel gibt“.</w:t>
      </w:r>
    </w:p>
  </w:footnote>
  <w:footnote w:id="2673">
    <w:p>
      <w:pPr>
        <w:pStyle w:val="Funote"/>
        <w:rPr/>
      </w:pPr>
      <w:r>
        <w:rPr>
          <w:rStyle w:val="Funotenzeichen"/>
        </w:rPr>
        <w:footnoteRef/>
      </w:r>
      <w:r>
        <w:rPr/>
        <w:tab/>
        <w:t>Das Verb des ersten Satzteils ist ein Ptz. Aor., das sowohl vorzeitig, als auch gleichzeitig gedeutet werden kann. Deshalb alternativ: „Nachdem/Wenn/Weil ihr ...abgelegt habt“.</w:t>
      </w:r>
    </w:p>
  </w:footnote>
  <w:footnote w:id="2674">
    <w:p>
      <w:pPr>
        <w:pStyle w:val="Funote"/>
        <w:rPr/>
      </w:pPr>
      <w:r>
        <w:rPr>
          <w:rStyle w:val="Funotenzeichen"/>
        </w:rPr>
        <w:footnoteRef/>
      </w:r>
      <w:r>
        <w:rPr/>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2675">
    <w:p>
      <w:pPr>
        <w:pStyle w:val="Funote"/>
        <w:rPr/>
      </w:pPr>
      <w:r>
        <w:rPr>
          <w:rStyle w:val="Funotenzeichen"/>
        </w:rPr>
        <w:footnoteRef/>
      </w:r>
      <w:r>
        <w:rPr/>
        <w:tab/>
        <w:t>Attr. od. adv. (modales) Ptz.</w:t>
      </w:r>
    </w:p>
  </w:footnote>
  <w:footnote w:id="2676">
    <w:p>
      <w:pPr>
        <w:pStyle w:val="Funote"/>
        <w:rPr/>
      </w:pPr>
      <w:r>
        <w:rPr>
          <w:rStyle w:val="Funotenzeichen"/>
        </w:rPr>
        <w:footnoteRef/>
      </w:r>
      <w:r>
        <w:rPr/>
        <w:tab/>
        <w:t xml:space="preserve">Adversatives </w:t>
      </w:r>
      <w:r>
        <w:rPr>
          <w:lang w:val="el-GR"/>
        </w:rPr>
        <w:t>καί</w:t>
      </w:r>
      <w:r>
        <w:rPr/>
        <w:t>, das entsprechend wiedergegeben wurde.</w:t>
      </w:r>
    </w:p>
  </w:footnote>
  <w:footnote w:id="2677">
    <w:p>
      <w:pPr>
        <w:pStyle w:val="Funote"/>
        <w:rPr/>
      </w:pPr>
      <w:r>
        <w:rPr>
          <w:rStyle w:val="Funotenzeichen"/>
        </w:rPr>
        <w:footnoteRef/>
      </w:r>
      <w:r>
        <w:rPr/>
        <w:tab/>
        <w:t>Oder: „natürliches Aussehen“ (So NSS). Wörtlich: „Aussehen/Gesicht der Schöpfung“. Dabei handelt es sich um einen Semitismus, der auch einfach mit „Gesicht“ übersetzt werden kann.</w:t>
      </w:r>
    </w:p>
  </w:footnote>
  <w:footnote w:id="2678">
    <w:p>
      <w:pPr>
        <w:pStyle w:val="Funote"/>
        <w:rPr/>
      </w:pPr>
      <w:r>
        <w:rPr>
          <w:rStyle w:val="Funotenzeichen"/>
        </w:rPr>
        <w:footnoteRef/>
      </w:r>
      <w:r>
        <w:rPr/>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2679">
    <w:p>
      <w:pPr>
        <w:pStyle w:val="Funote"/>
        <w:rPr/>
      </w:pPr>
      <w:r>
        <w:rPr>
          <w:rStyle w:val="Funotenzeichen"/>
        </w:rPr>
        <w:footnoteRef/>
      </w:r>
      <w:r>
        <w:rPr/>
        <w:tab/>
        <w:t>Indefiniter Konditionalsatz.</w:t>
      </w:r>
    </w:p>
  </w:footnote>
  <w:footnote w:id="2680">
    <w:p>
      <w:pPr>
        <w:pStyle w:val="Funote"/>
        <w:rPr/>
      </w:pPr>
      <w:r>
        <w:rPr>
          <w:rStyle w:val="Funotenzeichen"/>
        </w:rPr>
        <w:footnoteRef/>
      </w:r>
      <w:r>
        <w:rPr/>
        <w:tab/>
        <w:t>Die ersten drei Verben dieses Satzes stehen eigentlich im gnomischen Aorist/Perfekt.</w:t>
      </w:r>
    </w:p>
  </w:footnote>
  <w:footnote w:id="2681">
    <w:p>
      <w:pPr>
        <w:pStyle w:val="Funote"/>
        <w:rPr/>
      </w:pPr>
      <w:r>
        <w:rPr>
          <w:rStyle w:val="Funotenzeichen"/>
        </w:rPr>
        <w:footnoteRef/>
      </w:r>
      <w:r>
        <w:rPr/>
        <w:tab/>
        <w:t>Wörtlich: „wie er beschaffen war“</w:t>
      </w:r>
    </w:p>
  </w:footnote>
  <w:footnote w:id="2682">
    <w:p>
      <w:pPr>
        <w:pStyle w:val="Funote"/>
        <w:rPr/>
      </w:pPr>
      <w:r>
        <w:rPr>
          <w:rStyle w:val="Funotenzeichen"/>
        </w:rPr>
        <w:footnoteRef/>
      </w:r>
      <w:r>
        <w:rPr/>
        <w:tab/>
        <w:t>Wörtlich: „vorbeugt“. Alternativ vorzeitig: „vertieft hat“. Hier wieder gnomisch gedeutet.</w:t>
      </w:r>
    </w:p>
  </w:footnote>
  <w:footnote w:id="2683">
    <w:p>
      <w:pPr>
        <w:pStyle w:val="Funote"/>
        <w:rPr/>
      </w:pPr>
      <w:r>
        <w:rPr>
          <w:rStyle w:val="Funotenzeichen"/>
        </w:rPr>
        <w:footnoteRef/>
      </w:r>
      <w:r>
        <w:rPr/>
        <w:tab/>
        <w:t>Oder vorzeitig: „geblieben ist“</w:t>
      </w:r>
    </w:p>
  </w:footnote>
  <w:footnote w:id="2684">
    <w:p>
      <w:pPr>
        <w:pStyle w:val="Funote"/>
        <w:rPr/>
      </w:pPr>
      <w:r>
        <w:rPr>
          <w:rStyle w:val="Funotenzeichen"/>
        </w:rPr>
        <w:footnoteRef/>
      </w:r>
      <w:r>
        <w:rPr/>
        <w:tab/>
        <w:t>Gen. qualitatis. Wörtlich: „Hörer der Vergesslichkeit“</w:t>
      </w:r>
    </w:p>
  </w:footnote>
  <w:footnote w:id="2685">
    <w:p>
      <w:pPr>
        <w:pStyle w:val="Funote"/>
        <w:rPr/>
      </w:pPr>
      <w:r>
        <w:rPr>
          <w:rStyle w:val="Funotenzeichen"/>
        </w:rPr>
        <w:footnoteRef/>
      </w:r>
      <w:r>
        <w:rPr/>
        <w:tab/>
        <w:t>Oder vorzeitig: „geworden ist“. Das modale Ptz. Aor. Pass. lässt sich analog zu den vorhergehenden Verben verschieden auflösen.</w:t>
      </w:r>
    </w:p>
  </w:footnote>
  <w:footnote w:id="2686">
    <w:p>
      <w:pPr>
        <w:pStyle w:val="Funote"/>
        <w:rPr/>
      </w:pPr>
      <w:r>
        <w:rPr>
          <w:rStyle w:val="Funotenzeichen"/>
        </w:rPr>
        <w:footnoteRef/>
      </w:r>
      <w:r>
        <w:rPr/>
        <w:tab/>
        <w:t>Eingefügt, um die durativ-iterative Bedeutung des aufgelösten attr. Ptz. Präs. besser zu erfassen.</w:t>
      </w:r>
    </w:p>
  </w:footnote>
  <w:footnote w:id="2687">
    <w:p>
      <w:pPr>
        <w:pStyle w:val="Funote"/>
        <w:rPr/>
      </w:pPr>
      <w:r>
        <w:rPr>
          <w:rStyle w:val="Funotenzeichen"/>
        </w:rPr>
        <w:footnoteRef/>
      </w:r>
      <w:r>
        <w:rPr/>
        <w:tab/>
        <w:t>Attr. Ptz. Präs.</w:t>
      </w:r>
    </w:p>
  </w:footnote>
  <w:footnote w:id="2688">
    <w:p>
      <w:pPr>
        <w:pStyle w:val="Funote"/>
        <w:rPr/>
      </w:pPr>
      <w:r>
        <w:rPr>
          <w:rStyle w:val="Funotenzeichen"/>
        </w:rPr>
        <w:footnoteRef/>
      </w:r>
      <w:r>
        <w:rPr/>
        <w:tab/>
        <w:t>Indefiniter Konditionalsatz.</w:t>
      </w:r>
    </w:p>
  </w:footnote>
  <w:footnote w:id="2689">
    <w:p>
      <w:pPr>
        <w:pStyle w:val="Funote"/>
        <w:rPr/>
      </w:pPr>
      <w:r>
        <w:rPr>
          <w:rStyle w:val="Funotenzeichen"/>
        </w:rPr>
        <w:footnoteRef/>
      </w:r>
      <w:r>
        <w:rPr/>
        <w:tab/>
        <w:t>Wörtlich: „ist dies“</w:t>
      </w:r>
    </w:p>
  </w:footnote>
  <w:footnote w:id="2690">
    <w:p>
      <w:pPr>
        <w:pStyle w:val="Funote"/>
        <w:rPr/>
      </w:pPr>
      <w:r>
        <w:rPr>
          <w:rStyle w:val="Funotenzeichen"/>
        </w:rPr>
        <w:footnoteRef/>
      </w:r>
      <w:r>
        <w:rPr/>
        <w:tab/>
        <w:t>[Status: Zuverlässig]</w:t>
      </w:r>
    </w:p>
  </w:footnote>
  <w:footnote w:id="2691">
    <w:p>
      <w:pPr>
        <w:pStyle w:val="Funote"/>
        <w:rPr/>
      </w:pPr>
      <w:r>
        <w:rPr>
          <w:rStyle w:val="Funotenzeichen"/>
        </w:rPr>
        <w:footnoteRef/>
      </w:r>
      <w:r>
        <w:rPr/>
        <w:tab/>
        <w:t>Wörtlich: „Glauben unseres Herrn“. Gen. subi.</w:t>
      </w:r>
    </w:p>
  </w:footnote>
  <w:footnote w:id="2692">
    <w:p>
      <w:pPr>
        <w:pStyle w:val="Funote"/>
        <w:rPr/>
      </w:pPr>
      <w:r>
        <w:rPr>
          <w:rStyle w:val="Funotenzeichen"/>
        </w:rPr>
        <w:footnoteRef/>
      </w:r>
      <w:r>
        <w:rPr/>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693">
    <w:p>
      <w:pPr>
        <w:pStyle w:val="Funote"/>
        <w:rPr/>
      </w:pPr>
      <w:r>
        <w:rPr>
          <w:rStyle w:val="Funotenzeichen"/>
        </w:rPr>
        <w:footnoteRef/>
      </w:r>
      <w:r>
        <w:rPr/>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5,14) – das wäre der einzige Fall im NT, wo das Wort einen christlichen Gottesdienst meint. Auch könne der Autor auf 3. Mose 19,15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694">
    <w:p>
      <w:pPr>
        <w:pStyle w:val="Funote"/>
        <w:rPr/>
      </w:pPr>
      <w:r>
        <w:rPr>
          <w:rStyle w:val="Funotenzeichen"/>
        </w:rPr>
        <w:footnoteRef/>
      </w:r>
      <w:r>
        <w:rPr/>
        <w:tab/>
        <w:t>Auf Griechisch ein einziges Adjektiv, „goldfingrig“.</w:t>
      </w:r>
    </w:p>
  </w:footnote>
  <w:footnote w:id="2695">
    <w:p>
      <w:pPr>
        <w:pStyle w:val="Funote"/>
        <w:rPr/>
      </w:pPr>
      <w:r>
        <w:rPr>
          <w:rStyle w:val="Funotenzeichen"/>
        </w:rPr>
        <w:footnoteRef/>
      </w:r>
      <w:r>
        <w:rPr/>
        <w:tab/>
        <w:t>Wörtlich: „strahlender“, „glänzender“</w:t>
      </w:r>
    </w:p>
  </w:footnote>
  <w:footnote w:id="2696">
    <w:p>
      <w:pPr>
        <w:pStyle w:val="Funote"/>
        <w:rPr/>
      </w:pPr>
      <w:r>
        <w:rPr>
          <w:rStyle w:val="Funotenzeichen"/>
        </w:rPr>
        <w:footnoteRef/>
      </w:r>
      <w:r>
        <w:rPr/>
        <w:tab/>
        <w:t>Subst. Ptz.</w:t>
      </w:r>
    </w:p>
  </w:footnote>
  <w:footnote w:id="2697">
    <w:p>
      <w:pPr>
        <w:pStyle w:val="Funote"/>
        <w:rPr/>
      </w:pPr>
      <w:r>
        <w:rPr>
          <w:rStyle w:val="Funotenzeichen"/>
        </w:rPr>
        <w:footnoteRef/>
      </w:r>
      <w:r>
        <w:rPr/>
        <w:tab/>
        <w:t>Wörtlich: „hierher [auf diesen] gut[en Platz]“</w:t>
      </w:r>
    </w:p>
  </w:footnote>
  <w:footnote w:id="2698">
    <w:p>
      <w:pPr>
        <w:pStyle w:val="Funote"/>
        <w:rPr/>
      </w:pPr>
      <w:r>
        <w:rPr>
          <w:rStyle w:val="Funotenzeichen"/>
        </w:rPr>
        <w:footnoteRef/>
      </w:r>
      <w:r>
        <w:rPr/>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2699">
    <w:p>
      <w:pPr>
        <w:pStyle w:val="Funote"/>
        <w:rPr/>
      </w:pPr>
      <w:r>
        <w:rPr>
          <w:rStyle w:val="Funotenzeichen"/>
        </w:rPr>
        <w:footnoteRef/>
      </w:r>
      <w:r>
        <w:rPr/>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2700">
    <w:p>
      <w:pPr>
        <w:pStyle w:val="Funote"/>
        <w:rPr/>
      </w:pPr>
      <w:r>
        <w:rPr>
          <w:rStyle w:val="Funotenzeichen"/>
        </w:rPr>
        <w:footnoteRef/>
      </w:r>
      <w:r>
        <w:rPr/>
        <w:tab/>
        <w:t>Dasselbe Wort wird weiter oben für „zweifeln, Bedenken haben“ verwendet, kommt hier aber in seiner Grundbedeutung vor.</w:t>
      </w:r>
    </w:p>
  </w:footnote>
  <w:footnote w:id="2701">
    <w:p>
      <w:pPr>
        <w:pStyle w:val="Funote"/>
        <w:rPr/>
      </w:pPr>
      <w:r>
        <w:rPr>
          <w:rStyle w:val="Funotenzeichen"/>
        </w:rPr>
        <w:footnoteRef/>
      </w:r>
      <w:r>
        <w:rPr/>
        <w:tab/>
        <w:t>Wörtlich „Richter schlechter Gedanken“. Kann auch als „eine schlechte Entscheidungen fällen“ interpretiert und frei übersetzt werden (NSS). Die „Gesinnung“ kann sowohl für „leise“ wie „laute“ Gedanken stehen (Blomberg/Kamell).</w:t>
      </w:r>
    </w:p>
  </w:footnote>
  <w:footnote w:id="2702">
    <w:p>
      <w:pPr>
        <w:pStyle w:val="Funote"/>
        <w:rPr/>
      </w:pPr>
      <w:r>
        <w:rPr>
          <w:rStyle w:val="Funotenzeichen"/>
        </w:rPr>
        <w:footnoteRef/>
      </w:r>
      <w:r>
        <w:rPr/>
        <w:tab/>
        <w:t>Vv. 2-4 sind ein gewöhnlicher, prospektiver Konditionalsatz.</w:t>
      </w:r>
    </w:p>
  </w:footnote>
  <w:footnote w:id="2703">
    <w:p>
      <w:pPr>
        <w:pStyle w:val="Funote"/>
        <w:rPr/>
      </w:pPr>
      <w:r>
        <w:rPr>
          <w:rStyle w:val="Funotenzeichen"/>
        </w:rPr>
        <w:footnoteRef/>
      </w:r>
      <w:r>
        <w:rPr/>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704">
    <w:p>
      <w:pPr>
        <w:pStyle w:val="Funote"/>
        <w:rPr/>
      </w:pPr>
      <w:r>
        <w:rPr>
          <w:rStyle w:val="Funotenzeichen"/>
        </w:rPr>
        <w:footnoteRef/>
      </w:r>
      <w:r>
        <w:rPr/>
        <w:tab/>
        <w:t>Der Aorist könnte gnomisch sein. Dann: „Erwählt Gott nicht...?“ (Blomberg/Kamell).</w:t>
      </w:r>
    </w:p>
  </w:footnote>
  <w:footnote w:id="2705">
    <w:p>
      <w:pPr>
        <w:pStyle w:val="Funote"/>
        <w:rPr/>
      </w:pPr>
      <w:r>
        <w:rPr>
          <w:rStyle w:val="Funotenzeichen"/>
        </w:rPr>
        <w:footnoteRef/>
      </w:r>
      <w:r>
        <w:rPr/>
        <w:tab/>
        <w:t>Alternativ: „als Reiche...“. LUT bezieht „erwählt“ auch auf die „Reichen“ und „Erben“.</w:t>
      </w:r>
    </w:p>
  </w:footnote>
  <w:footnote w:id="2706">
    <w:p>
      <w:pPr>
        <w:pStyle w:val="Funote"/>
        <w:rPr/>
      </w:pPr>
      <w:r>
        <w:rPr>
          <w:rStyle w:val="Funotenzeichen"/>
        </w:rPr>
        <w:footnoteRef/>
      </w:r>
      <w:r>
        <w:rPr/>
        <w:tab/>
        <w:t xml:space="preserve">Das </w:t>
      </w:r>
      <w:r>
        <w:rPr>
          <w:lang w:val="el-GR"/>
        </w:rPr>
        <w:t>οὐχ</w:t>
      </w:r>
      <w:r>
        <w:rPr/>
        <w:t xml:space="preserve"> am Satzanfang bezieht sich auch auf dieses Verb.</w:t>
      </w:r>
    </w:p>
  </w:footnote>
  <w:footnote w:id="2707">
    <w:p>
      <w:pPr>
        <w:pStyle w:val="Funote"/>
        <w:rPr/>
      </w:pPr>
      <w:r>
        <w:rPr>
          <w:rStyle w:val="Funotenzeichen"/>
        </w:rPr>
        <w:footnoteRef/>
      </w:r>
      <w:r>
        <w:rPr/>
        <w:tab/>
        <w:t>Eigentlich ein Futur; drückt ein besonders starkes Gebot aus.</w:t>
      </w:r>
    </w:p>
  </w:footnote>
  <w:footnote w:id="2708">
    <w:p>
      <w:pPr>
        <w:pStyle w:val="Funote"/>
        <w:rPr/>
      </w:pPr>
      <w:r>
        <w:rPr>
          <w:rStyle w:val="Funotenzeichen"/>
        </w:rPr>
        <w:footnoteRef/>
      </w:r>
      <w:r>
        <w:rPr/>
        <w:tab/>
        <w:t xml:space="preserve">Das Adverb </w:t>
      </w:r>
      <w:r>
        <w:rPr>
          <w:lang w:val="el-GR"/>
        </w:rPr>
        <w:t>καλῶς</w:t>
      </w:r>
      <w:r>
        <w:rPr/>
        <w:t xml:space="preserve"> bezeichnet hier das moralisch Richtige. In V. 3 bezeichnet es dagegen einen angemessenen, bequemen Sitzplatz...</w:t>
      </w:r>
    </w:p>
  </w:footnote>
  <w:footnote w:id="2709">
    <w:p>
      <w:pPr>
        <w:pStyle w:val="Funote"/>
        <w:rPr/>
      </w:pPr>
      <w:r>
        <w:rPr>
          <w:rStyle w:val="Funotenzeichen"/>
        </w:rPr>
        <w:footnoteRef/>
      </w:r>
      <w:r>
        <w:rPr/>
        <w:tab/>
        <w:t>Indefiniter Konditionalsatz.</w:t>
      </w:r>
    </w:p>
  </w:footnote>
  <w:footnote w:id="2710">
    <w:p>
      <w:pPr>
        <w:pStyle w:val="Funote"/>
        <w:rPr/>
      </w:pPr>
      <w:r>
        <w:rPr>
          <w:rStyle w:val="Funotenzeichen"/>
        </w:rPr>
        <w:footnoteRef/>
      </w:r>
      <w:r>
        <w:rPr/>
        <w:tab/>
        <w:t>so NSS</w:t>
      </w:r>
    </w:p>
  </w:footnote>
  <w:footnote w:id="2711">
    <w:p>
      <w:pPr>
        <w:pStyle w:val="Funote"/>
        <w:rPr/>
      </w:pPr>
      <w:r>
        <w:rPr>
          <w:rStyle w:val="Funotenzeichen"/>
        </w:rPr>
        <w:footnoteRef/>
      </w:r>
      <w:r>
        <w:rPr/>
        <w:tab/>
        <w:t>So wörtlich. Lt. B/A hier auch „Sünder“.</w:t>
      </w:r>
    </w:p>
  </w:footnote>
  <w:footnote w:id="2712">
    <w:p>
      <w:pPr>
        <w:pStyle w:val="Funote"/>
        <w:rPr/>
      </w:pPr>
      <w:r>
        <w:rPr>
          <w:rStyle w:val="Funotenzeichen"/>
        </w:rPr>
        <w:footnoteRef/>
      </w:r>
      <w:r>
        <w:rPr/>
        <w:tab/>
        <w:t>Modale Auflösung des Ptc. coni. Möglicherweise auch kausal („weil … ihr überführt werdet“) bzw. einfach mit „und“</w:t>
      </w:r>
    </w:p>
  </w:footnote>
  <w:footnote w:id="2713">
    <w:p>
      <w:pPr>
        <w:pStyle w:val="Funote"/>
        <w:rPr/>
      </w:pPr>
      <w:r>
        <w:rPr>
          <w:rStyle w:val="Funotenzeichen"/>
        </w:rPr>
        <w:footnoteRef/>
      </w:r>
      <w:r>
        <w:rPr/>
        <w:tab/>
        <w:t>Indefiniter Konditionalsatz.</w:t>
      </w:r>
    </w:p>
  </w:footnote>
  <w:footnote w:id="2714">
    <w:p>
      <w:pPr>
        <w:pStyle w:val="Funote"/>
        <w:rPr/>
      </w:pPr>
      <w:r>
        <w:rPr>
          <w:rStyle w:val="Funotenzeichen"/>
        </w:rPr>
        <w:footnoteRef/>
      </w:r>
      <w:r>
        <w:rPr/>
        <w:tab/>
        <w:t>Bedeutung: „auch nur gegen ein Gebot verstößt“</w:t>
      </w:r>
    </w:p>
  </w:footnote>
  <w:footnote w:id="2715">
    <w:p>
      <w:pPr>
        <w:pStyle w:val="Funote"/>
        <w:rPr/>
      </w:pPr>
      <w:r>
        <w:rPr>
          <w:rStyle w:val="Funotenzeichen"/>
        </w:rPr>
        <w:footnoteRef/>
      </w:r>
      <w:r>
        <w:rPr/>
        <w:tab/>
        <w:t>Hier steht im Urtext ein Pf., das das Resultat einer Handlung betont; daher die Einfügung „[dadurch]“.Es ist unklar, ob mit „in Einem“ – „in Allen“ einzelne Gebote oder ähnliche Bereiche gemeint sind.</w:t>
      </w:r>
    </w:p>
  </w:footnote>
  <w:footnote w:id="2716">
    <w:p>
      <w:pPr>
        <w:pStyle w:val="Funote"/>
        <w:rPr/>
      </w:pPr>
      <w:r>
        <w:rPr>
          <w:rStyle w:val="Funotenzeichen"/>
        </w:rPr>
        <w:footnoteRef/>
      </w:r>
      <w:r>
        <w:rPr/>
        <w:tab/>
        <w:t>Aus 2. Mose 20,14.13. Beide Gebote stehen hier im prohibitiver Konjunktiv, während sie in der LXX – analog zum Hebräischen – im verneinten Futur stehen, was eine ähnlich starke Verneinung ist. Hier also etwas sinngemäßer wiedergegeben.</w:t>
      </w:r>
    </w:p>
  </w:footnote>
  <w:footnote w:id="2717">
    <w:p>
      <w:pPr>
        <w:pStyle w:val="Funote"/>
        <w:rPr/>
      </w:pPr>
      <w:r>
        <w:rPr>
          <w:rStyle w:val="Funotenzeichen"/>
        </w:rPr>
        <w:footnoteRef/>
      </w:r>
      <w:r>
        <w:rPr/>
        <w:tab/>
        <w:t>Hier steht im Urtext ein Pf., das das Resultat einer Handlung betont; daher die Einfügung „[dadurch]“.</w:t>
      </w:r>
    </w:p>
  </w:footnote>
  <w:footnote w:id="2718">
    <w:p>
      <w:pPr>
        <w:pStyle w:val="Funote"/>
        <w:rPr/>
      </w:pPr>
      <w:r>
        <w:rPr>
          <w:rStyle w:val="Funotenzeichen"/>
        </w:rPr>
        <w:footnoteRef/>
      </w:r>
      <w:r>
        <w:rPr/>
        <w:tab/>
        <w:t>Indefiniter Konditionalsatz.</w:t>
      </w:r>
    </w:p>
  </w:footnote>
  <w:footnote w:id="2719">
    <w:p>
      <w:pPr>
        <w:pStyle w:val="Funote"/>
        <w:rPr/>
      </w:pPr>
      <w:r>
        <w:rPr>
          <w:rStyle w:val="Funotenzeichen"/>
        </w:rPr>
        <w:footnoteRef/>
      </w:r>
      <w:r>
        <w:rPr/>
        <w:tab/>
        <w:t>Wörtlich „durch“. Alternativ „anhand“, „auf Grundlage“.</w:t>
      </w:r>
    </w:p>
  </w:footnote>
  <w:footnote w:id="2720">
    <w:p>
      <w:pPr>
        <w:pStyle w:val="Funote"/>
        <w:rPr/>
      </w:pPr>
      <w:r>
        <w:rPr>
          <w:rStyle w:val="Funotenzeichen"/>
        </w:rPr>
        <w:footnoteRef/>
      </w:r>
      <w:r>
        <w:rPr/>
        <w:tab/>
        <w:t>Attr. Ptz.</w:t>
      </w:r>
    </w:p>
  </w:footnote>
  <w:footnote w:id="2721">
    <w:p>
      <w:pPr>
        <w:pStyle w:val="Funote"/>
        <w:rPr/>
      </w:pPr>
      <w:r>
        <w:rPr>
          <w:rStyle w:val="Funotenzeichen"/>
        </w:rPr>
        <w:footnoteRef/>
      </w:r>
      <w:r>
        <w:rPr/>
        <w:tab/>
        <w:t>Wörtlich: „Was [ist] der Nutzen“.</w:t>
      </w:r>
    </w:p>
  </w:footnote>
  <w:footnote w:id="2722">
    <w:p>
      <w:pPr>
        <w:pStyle w:val="Funote"/>
        <w:rPr/>
      </w:pPr>
      <w:r>
        <w:rPr>
          <w:rStyle w:val="Funotenzeichen"/>
        </w:rPr>
        <w:footnoteRef/>
      </w:r>
      <w:r>
        <w:rPr/>
        <w:tab/>
        <w:t>Prospektiver Konditionalsatz.</w:t>
      </w:r>
    </w:p>
  </w:footnote>
  <w:footnote w:id="2723">
    <w:p>
      <w:pPr>
        <w:pStyle w:val="Funote"/>
        <w:rPr/>
      </w:pPr>
      <w:r>
        <w:rPr>
          <w:rStyle w:val="Funotenzeichen"/>
        </w:rPr>
        <w:footnoteRef/>
      </w:r>
      <w:r>
        <w:rPr/>
        <w:tab/>
        <w:t>Griechischer Abschiedsgruß. Lt. B/A entspricht das etwa dem Dt. »Bleiben Sie gesund!«. Alternativ sicher auch »Leb wohl!« o. ä.</w:t>
      </w:r>
    </w:p>
  </w:footnote>
  <w:footnote w:id="2724">
    <w:p>
      <w:pPr>
        <w:pStyle w:val="Funote"/>
        <w:rPr/>
      </w:pPr>
      <w:r>
        <w:rPr>
          <w:rStyle w:val="Funotenzeichen"/>
        </w:rPr>
        <w:footnoteRef/>
      </w:r>
      <w:r>
        <w:rPr/>
        <w:tab/>
        <w:t>Vulgo: „was sie zum Leben brauchen“, „das Lebensnotwendige“</w:t>
      </w:r>
    </w:p>
  </w:footnote>
  <w:footnote w:id="2725">
    <w:p>
      <w:pPr>
        <w:pStyle w:val="Funote"/>
        <w:rPr/>
      </w:pPr>
      <w:r>
        <w:rPr>
          <w:rStyle w:val="Funotenzeichen"/>
        </w:rPr>
        <w:footnoteRef/>
      </w:r>
      <w:r>
        <w:rPr/>
        <w:tab/>
        <w:t>Wörtlich: „Was [ist] der Nutzen“ (cf. 14).</w:t>
      </w:r>
    </w:p>
  </w:footnote>
  <w:footnote w:id="2726">
    <w:p>
      <w:pPr>
        <w:pStyle w:val="Funote"/>
        <w:rPr/>
      </w:pPr>
      <w:r>
        <w:rPr>
          <w:rStyle w:val="Funotenzeichen"/>
        </w:rPr>
        <w:footnoteRef/>
      </w:r>
      <w:r>
        <w:rPr/>
        <w:tab/>
        <w:t>Vv. 15-16: Wieder ein prospektiver Konditionalsatz.</w:t>
      </w:r>
    </w:p>
  </w:footnote>
  <w:footnote w:id="2727">
    <w:p>
      <w:pPr>
        <w:pStyle w:val="Funote"/>
        <w:rPr/>
      </w:pPr>
      <w:r>
        <w:rPr>
          <w:rStyle w:val="Funotenzeichen"/>
        </w:rPr>
        <w:footnoteRef/>
      </w:r>
      <w:r>
        <w:rPr/>
        <w:tab/>
        <w:t>Prospektiver Konditionalsatz.</w:t>
      </w:r>
    </w:p>
  </w:footnote>
  <w:footnote w:id="2728">
    <w:p>
      <w:pPr>
        <w:pStyle w:val="Funote"/>
        <w:rPr/>
      </w:pPr>
      <w:r>
        <w:rPr>
          <w:rStyle w:val="Funotenzeichen"/>
        </w:rPr>
        <w:footnoteRef/>
      </w:r>
      <w:r>
        <w:rPr/>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729">
    <w:p>
      <w:pPr>
        <w:pStyle w:val="Funote"/>
        <w:rPr/>
      </w:pPr>
      <w:r>
        <w:rPr>
          <w:rStyle w:val="Funotenzeichen"/>
        </w:rPr>
        <w:footnoteRef/>
      </w:r>
      <w:r>
        <w:rPr/>
        <w:tab/>
        <w:t>Wörtlich „dass nur [einer] Gott ist?“. Alternativ als Frage: „Glaubst du, dass es nur einen Gott gibt?“</w:t>
      </w:r>
    </w:p>
  </w:footnote>
  <w:footnote w:id="2730">
    <w:p>
      <w:pPr>
        <w:pStyle w:val="Funote"/>
        <w:rPr/>
      </w:pPr>
      <w:r>
        <w:rPr>
          <w:rStyle w:val="Funotenzeichen"/>
        </w:rPr>
        <w:footnoteRef/>
      </w:r>
      <w:r>
        <w:rPr/>
        <w:tab/>
        <w:t>Wörtlich: „Du handelst gut/richtig!“</w:t>
      </w:r>
    </w:p>
  </w:footnote>
  <w:footnote w:id="2731">
    <w:p>
      <w:pPr>
        <w:pStyle w:val="Funote"/>
        <w:rPr/>
      </w:pPr>
      <w:r>
        <w:rPr>
          <w:rStyle w:val="Funotenzeichen"/>
        </w:rPr>
        <w:footnoteRef/>
      </w:r>
      <w:r>
        <w:rPr/>
        <w:tab/>
        <w:t>Oder in Form einer echten Frage: „Willst du wissen/einsehen...“ (so bei Blomberg/Kamell).</w:t>
      </w:r>
    </w:p>
  </w:footnote>
  <w:footnote w:id="2732">
    <w:p>
      <w:pPr>
        <w:pStyle w:val="Funote"/>
        <w:rPr/>
      </w:pPr>
      <w:r>
        <w:rPr>
          <w:rStyle w:val="Funotenzeichen"/>
        </w:rPr>
        <w:footnoteRef/>
      </w:r>
      <w:r>
        <w:rPr/>
        <w:tab/>
        <w:t>Von B/A präferiert.</w:t>
      </w:r>
    </w:p>
  </w:footnote>
  <w:footnote w:id="2733">
    <w:p>
      <w:pPr>
        <w:pStyle w:val="Funote"/>
        <w:rPr/>
      </w:pPr>
      <w:r>
        <w:rPr>
          <w:rStyle w:val="Funotenzeichen"/>
        </w:rPr>
        <w:footnoteRef/>
      </w:r>
      <w:r>
        <w:rPr/>
        <w:tab/>
        <w:t>Hier temporale Auflösung des attributiven Ptz. Alternativ modal „indem er … darbrachte“, möglicherweise auch kausal „weil/da“. Neben der gleichzeitigen Übersetzung kann das Ptz. Aor. auch vorzeitig übersetzt werden.</w:t>
      </w:r>
    </w:p>
  </w:footnote>
  <w:footnote w:id="2734">
    <w:p>
      <w:pPr>
        <w:pStyle w:val="Funote"/>
        <w:rPr/>
      </w:pPr>
      <w:r>
        <w:rPr>
          <w:rStyle w:val="Funotenzeichen"/>
        </w:rPr>
        <w:footnoteRef/>
      </w:r>
      <w:r>
        <w:rPr/>
        <w:tab/>
        <w:t>I.e. Abrahams.</w:t>
      </w:r>
    </w:p>
  </w:footnote>
  <w:footnote w:id="2735">
    <w:p>
      <w:pPr>
        <w:pStyle w:val="Funote"/>
        <w:rPr/>
      </w:pPr>
      <w:r>
        <w:rPr>
          <w:rStyle w:val="Funotenzeichen"/>
        </w:rPr>
        <w:footnoteRef/>
      </w:r>
      <w:r>
        <w:rPr/>
        <w:tab/>
        <w:t>Imperfekt; mit durativer/iterativer Bedeutung; hier vielleicht als schrittweise Prozess zu deuten.</w:t>
      </w:r>
    </w:p>
  </w:footnote>
  <w:footnote w:id="2736">
    <w:p>
      <w:pPr>
        <w:pStyle w:val="Funote"/>
        <w:rPr/>
      </w:pPr>
      <w:r>
        <w:rPr>
          <w:rStyle w:val="Funotenzeichen"/>
        </w:rPr>
        <w:footnoteRef/>
      </w:r>
      <w:r>
        <w:rPr/>
        <w:tab/>
        <w:t>Oder dem Kontext nach „[seine]“.</w:t>
      </w:r>
    </w:p>
  </w:footnote>
  <w:footnote w:id="2737">
    <w:p>
      <w:pPr>
        <w:pStyle w:val="Funote"/>
        <w:rPr/>
      </w:pPr>
      <w:r>
        <w:rPr>
          <w:rStyle w:val="Funotenzeichen"/>
        </w:rPr>
        <w:footnoteRef/>
      </w:r>
      <w:r>
        <w:rPr/>
        <w:tab/>
        <w:t>Attr. Ptz.</w:t>
      </w:r>
    </w:p>
  </w:footnote>
  <w:footnote w:id="2738">
    <w:p>
      <w:pPr>
        <w:pStyle w:val="Funote"/>
        <w:rPr/>
      </w:pPr>
      <w:r>
        <w:rPr>
          <w:rStyle w:val="Funotenzeichen"/>
        </w:rPr>
        <w:footnoteRef/>
      </w:r>
      <w:r>
        <w:rPr/>
        <w:tab/>
        <w:t>So B/A.</w:t>
      </w:r>
    </w:p>
  </w:footnote>
  <w:footnote w:id="2739">
    <w:p>
      <w:pPr>
        <w:pStyle w:val="Funote"/>
        <w:rPr/>
      </w:pPr>
      <w:r>
        <w:rPr>
          <w:rStyle w:val="Funotenzeichen"/>
        </w:rPr>
        <w:footnoteRef/>
      </w:r>
      <w:r>
        <w:rPr/>
        <w:tab/>
        <w:t>So B/A.</w:t>
      </w:r>
    </w:p>
  </w:footnote>
  <w:footnote w:id="2740">
    <w:p>
      <w:pPr>
        <w:pStyle w:val="Funote"/>
        <w:rPr/>
      </w:pPr>
      <w:r>
        <w:rPr>
          <w:rStyle w:val="Funotenzeichen"/>
        </w:rPr>
        <w:footnoteRef/>
      </w:r>
      <w:r>
        <w:rPr/>
        <w:tab/>
        <w:t>Dat. modi.</w:t>
      </w:r>
    </w:p>
  </w:footnote>
  <w:footnote w:id="2741">
    <w:p>
      <w:pPr>
        <w:pStyle w:val="Funote"/>
        <w:rPr/>
      </w:pPr>
      <w:r>
        <w:rPr>
          <w:rStyle w:val="Funotenzeichen"/>
        </w:rPr>
        <w:footnoteRef/>
      </w:r>
      <w:r>
        <w:rPr/>
        <w:tab/>
        <w:t>Hier temporale Auflösung zweier Ptc. coni. Alternativ auch modal: „indem“ oder kausal: „weil“</w:t>
      </w:r>
    </w:p>
  </w:footnote>
  <w:footnote w:id="2742">
    <w:p>
      <w:pPr>
        <w:pStyle w:val="Funote"/>
        <w:rPr/>
      </w:pPr>
      <w:r>
        <w:rPr>
          <w:rStyle w:val="Funotenzeichen"/>
        </w:rPr>
        <w:footnoteRef/>
      </w:r>
      <w:r>
        <w:rPr/>
        <w:tab/>
        <w:t>[Status: Zuverlässig]</w:t>
      </w:r>
    </w:p>
  </w:footnote>
  <w:footnote w:id="2743">
    <w:p>
      <w:pPr>
        <w:pStyle w:val="Funote"/>
        <w:rPr/>
      </w:pPr>
      <w:r>
        <w:rPr>
          <w:rStyle w:val="Funotenzeichen"/>
        </w:rPr>
        <w:footnoteRef/>
      </w:r>
      <w:r>
        <w:rPr/>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744">
    <w:p>
      <w:pPr>
        <w:pStyle w:val="Funote"/>
        <w:rPr/>
      </w:pPr>
      <w:r>
        <w:rPr>
          <w:rStyle w:val="Funotenzeichen"/>
        </w:rPr>
        <w:footnoteRef/>
      </w:r>
      <w:r>
        <w:rPr/>
        <w:tab/>
        <w:t>Kausal aufgelöstes attributives Ptz. Hier bieten sich wohl keine alternativen Sinnrichtungen zur Auflösung an.</w:t>
      </w:r>
    </w:p>
  </w:footnote>
  <w:footnote w:id="2745">
    <w:p>
      <w:pPr>
        <w:pStyle w:val="Funote"/>
        <w:rPr/>
      </w:pPr>
      <w:r>
        <w:rPr>
          <w:rStyle w:val="Funotenzeichen"/>
        </w:rPr>
        <w:footnoteRef/>
      </w:r>
      <w:r>
        <w:rPr/>
        <w:tab/>
        <w:t>Im geistlichen Sinn auch als „fehlen“, „sündigen“. Vorgeschlagene Bedeutung hier: „wir alle begehen viele Sünden“ (B/A, NSS).</w:t>
      </w:r>
    </w:p>
  </w:footnote>
  <w:footnote w:id="2746">
    <w:p>
      <w:pPr>
        <w:pStyle w:val="Funote"/>
        <w:rPr/>
      </w:pPr>
      <w:r>
        <w:rPr>
          <w:rStyle w:val="Funotenzeichen"/>
        </w:rPr>
        <w:footnoteRef/>
      </w:r>
      <w:r>
        <w:rPr/>
        <w:tab/>
        <w:t>Wörtlich: „im Wort“</w:t>
      </w:r>
    </w:p>
  </w:footnote>
  <w:footnote w:id="2747">
    <w:p>
      <w:pPr>
        <w:pStyle w:val="Funote"/>
        <w:rPr/>
      </w:pPr>
      <w:r>
        <w:rPr>
          <w:rStyle w:val="Funotenzeichen"/>
        </w:rPr>
        <w:footnoteRef/>
      </w:r>
      <w:r>
        <w:rPr/>
        <w:tab/>
        <w:t>Generisches Maskulinum.</w:t>
      </w:r>
    </w:p>
  </w:footnote>
  <w:footnote w:id="2748">
    <w:p>
      <w:pPr>
        <w:pStyle w:val="Funote"/>
        <w:rPr/>
      </w:pPr>
      <w:r>
        <w:rPr>
          <w:rStyle w:val="Funotenzeichen"/>
        </w:rPr>
        <w:footnoteRef/>
      </w:r>
      <w:r>
        <w:rPr/>
        <w:tab/>
        <w:t>Indefiniter Konditionalsatz.</w:t>
      </w:r>
    </w:p>
  </w:footnote>
  <w:footnote w:id="2749">
    <w:p>
      <w:pPr>
        <w:pStyle w:val="Funote"/>
        <w:rPr/>
      </w:pPr>
      <w:r>
        <w:rPr>
          <w:rStyle w:val="Funotenzeichen"/>
        </w:rPr>
        <w:footnoteRef/>
      </w:r>
      <w:r>
        <w:rPr/>
        <w:tab/>
        <w:t>Ursprünglich ein Genitiv.</w:t>
      </w:r>
    </w:p>
  </w:footnote>
  <w:footnote w:id="2750">
    <w:p>
      <w:pPr>
        <w:pStyle w:val="Funote"/>
        <w:rPr/>
      </w:pPr>
      <w:r>
        <w:rPr>
          <w:rStyle w:val="Funotenzeichen"/>
        </w:rPr>
        <w:footnoteRef/>
      </w:r>
      <w:r>
        <w:rPr/>
        <w:tab/>
        <w:t>Ursprünglich im Plural.</w:t>
      </w:r>
    </w:p>
  </w:footnote>
  <w:footnote w:id="2751">
    <w:p>
      <w:pPr>
        <w:pStyle w:val="Funote"/>
        <w:rPr/>
      </w:pPr>
      <w:r>
        <w:rPr>
          <w:rStyle w:val="Funotenzeichen"/>
        </w:rPr>
        <w:footnoteRef/>
      </w:r>
      <w:r>
        <w:rPr/>
        <w:tab/>
        <w:t>Auflösung eines „</w:t>
      </w:r>
      <w:r>
        <w:rPr>
          <w:lang w:val="el-GR"/>
        </w:rPr>
        <w:t>εἰς τὸ</w:t>
      </w:r>
      <w:r>
        <w:rPr/>
        <w:t>“ + Inf.</w:t>
      </w:r>
    </w:p>
  </w:footnote>
  <w:footnote w:id="2752">
    <w:p>
      <w:pPr>
        <w:pStyle w:val="Funote"/>
        <w:rPr/>
      </w:pPr>
      <w:r>
        <w:rPr>
          <w:rStyle w:val="Funotenzeichen"/>
        </w:rPr>
        <w:footnoteRef/>
      </w:r>
      <w:r>
        <w:rPr/>
        <w:tab/>
        <w:t xml:space="preserve">Konsekutives </w:t>
      </w:r>
      <w:r>
        <w:rPr>
          <w:lang w:val="el-GR"/>
        </w:rPr>
        <w:t>καί</w:t>
      </w:r>
      <w:r>
        <w:rPr/>
        <w:t>.</w:t>
      </w:r>
    </w:p>
  </w:footnote>
  <w:footnote w:id="2753">
    <w:p>
      <w:pPr>
        <w:pStyle w:val="Funote"/>
        <w:rPr/>
      </w:pPr>
      <w:r>
        <w:rPr>
          <w:rStyle w:val="Funotenzeichen"/>
        </w:rPr>
        <w:footnoteRef/>
      </w:r>
      <w:r>
        <w:rPr/>
        <w:tab/>
        <w:t>Indefiniter Konditionalsatz.</w:t>
      </w:r>
    </w:p>
  </w:footnote>
  <w:footnote w:id="2754">
    <w:p>
      <w:pPr>
        <w:pStyle w:val="Funote"/>
        <w:rPr/>
      </w:pPr>
      <w:r>
        <w:rPr>
          <w:rStyle w:val="Funotenzeichen"/>
        </w:rPr>
        <w:footnoteRef/>
      </w:r>
      <w:r>
        <w:rPr/>
        <w:tab/>
        <w:t>Im Urtext zwei Ptc. coni., hier konzessiv aufgelöst.</w:t>
      </w:r>
    </w:p>
  </w:footnote>
  <w:footnote w:id="2755">
    <w:p>
      <w:pPr>
        <w:pStyle w:val="Funote"/>
        <w:rPr/>
      </w:pPr>
      <w:r>
        <w:rPr>
          <w:rStyle w:val="Funotenzeichen"/>
        </w:rPr>
        <w:footnoteRef/>
      </w:r>
      <w:r>
        <w:rPr/>
        <w:tab/>
        <w:t>Wörtlich „von [dem] kleinsten“. Muss hier elativisch verstanden werden: „sehr klein“, „winzig“</w:t>
      </w:r>
    </w:p>
  </w:footnote>
  <w:footnote w:id="2756">
    <w:p>
      <w:pPr>
        <w:pStyle w:val="Funote"/>
        <w:rPr/>
      </w:pPr>
      <w:r>
        <w:rPr>
          <w:rStyle w:val="Funotenzeichen"/>
        </w:rPr>
        <w:footnoteRef/>
      </w:r>
      <w:r>
        <w:rPr/>
        <w:tab/>
        <w:t>Eine gute kommunikative Übersetzung könnte „Belieben“ sein.</w:t>
      </w:r>
    </w:p>
  </w:footnote>
  <w:footnote w:id="2757">
    <w:p>
      <w:pPr>
        <w:pStyle w:val="Funote"/>
        <w:rPr/>
      </w:pPr>
      <w:r>
        <w:rPr>
          <w:rStyle w:val="Funotenzeichen"/>
        </w:rPr>
        <w:footnoteRef/>
      </w:r>
      <w:r>
        <w:rPr/>
        <w:tab/>
        <w:t>Gen. qualitatis. Kommunikativ kann „Welt voller Unrecht“, „von Unrecht beherrschte Welt“, etc. übersetzt werden.</w:t>
      </w:r>
    </w:p>
  </w:footnote>
  <w:footnote w:id="2758">
    <w:p>
      <w:pPr>
        <w:pStyle w:val="Funote"/>
        <w:rPr/>
      </w:pPr>
      <w:r>
        <w:rPr>
          <w:rStyle w:val="Funotenzeichen"/>
        </w:rPr>
        <w:footnoteRef/>
      </w:r>
      <w:r>
        <w:rPr/>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2759">
    <w:p>
      <w:pPr>
        <w:pStyle w:val="Funote"/>
        <w:rPr/>
      </w:pPr>
      <w:r>
        <w:rPr>
          <w:rStyle w:val="Funotenzeichen"/>
        </w:rPr>
        <w:footnoteRef/>
      </w:r>
      <w:r>
        <w:rPr/>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2760">
    <w:p>
      <w:pPr>
        <w:pStyle w:val="Funote"/>
        <w:rPr/>
      </w:pPr>
      <w:r>
        <w:rPr>
          <w:rStyle w:val="Funotenzeichen"/>
        </w:rPr>
        <w:footnoteRef/>
      </w:r>
      <w:r>
        <w:rPr/>
        <w:tab/>
        <w:t>Je nach Akzentsetzung entweder „Rad“ oder „Bahn/Kurs“; bezeichnet allgemein etwas Rundes (Johnson; dort auf Englisch „course“; von mir entsprechend übersetzt).</w:t>
      </w:r>
    </w:p>
  </w:footnote>
  <w:footnote w:id="2761">
    <w:p>
      <w:pPr>
        <w:pStyle w:val="Funote"/>
        <w:rPr/>
      </w:pPr>
      <w:r>
        <w:rPr>
          <w:rStyle w:val="Funotenzeichen"/>
        </w:rPr>
        <w:footnoteRef/>
      </w:r>
      <w:r>
        <w:rPr/>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2762">
    <w:p>
      <w:pPr>
        <w:pStyle w:val="Funote"/>
        <w:rPr/>
      </w:pPr>
      <w:r>
        <w:rPr>
          <w:rStyle w:val="Funotenzeichen"/>
        </w:rPr>
        <w:footnoteRef/>
      </w:r>
      <w:r>
        <w:rPr/>
        <w:tab/>
        <w:t>Auflösung zweier attributiver Partizipien als Relativsatz.</w:t>
      </w:r>
    </w:p>
  </w:footnote>
  <w:footnote w:id="2763">
    <w:p>
      <w:pPr>
        <w:pStyle w:val="Funote"/>
        <w:rPr/>
      </w:pPr>
      <w:r>
        <w:rPr>
          <w:rStyle w:val="Funotenzeichen"/>
        </w:rPr>
        <w:footnoteRef/>
      </w:r>
      <w:r>
        <w:rPr/>
        <w:tab/>
        <w:t>Oder „Gehenna“. Hier werden die sehr semitischen Wurzeln des Schreibens offensichtlich.</w:t>
      </w:r>
    </w:p>
  </w:footnote>
  <w:footnote w:id="2764">
    <w:p>
      <w:pPr>
        <w:pStyle w:val="Funote"/>
        <w:rPr/>
      </w:pPr>
      <w:r>
        <w:rPr>
          <w:rStyle w:val="Funotenzeichen"/>
        </w:rPr>
        <w:footnoteRef/>
      </w:r>
      <w:r>
        <w:rPr/>
        <w:tab/>
        <w:t>Das dritte attr. Ptz. Präs., hier im Pass., scheint semantisch von den übrigen getrennt zu sein. Alternativ: „sie beschmutzt ... und ... setzt ... in Brand und wird...“. Wörtlich: „die ... beschmutzende ... und ... in Brand setzende ... und ... in Brand gesetzt werdende.“</w:t>
      </w:r>
    </w:p>
  </w:footnote>
  <w:footnote w:id="2765">
    <w:p>
      <w:pPr>
        <w:pStyle w:val="Funote"/>
        <w:rPr/>
      </w:pPr>
      <w:r>
        <w:rPr>
          <w:rStyle w:val="Funotenzeichen"/>
        </w:rPr>
        <w:footnoteRef/>
      </w:r>
      <w:r>
        <w:rPr/>
        <w:tab/>
        <w:t>Dieses unbestimmte „</w:t>
      </w:r>
      <w:r>
        <w:rPr>
          <w:lang w:val="el-GR"/>
        </w:rPr>
        <w:t>πασα</w:t>
      </w:r>
      <w:r>
        <w:rPr/>
        <w:t>“ kann auch allgemeiner als „alle möglichen...“ übersetzt werden.</w:t>
      </w:r>
    </w:p>
  </w:footnote>
  <w:footnote w:id="2766">
    <w:p>
      <w:pPr>
        <w:pStyle w:val="Funote"/>
        <w:rPr/>
      </w:pPr>
      <w:r>
        <w:rPr>
          <w:rStyle w:val="Funotenzeichen"/>
        </w:rPr>
        <w:footnoteRef/>
      </w:r>
      <w:r>
        <w:rPr/>
        <w:tab/>
        <w:t>Eigentlich nur „Tiere“; im Kontrast zu den anderen Tierarten im Kontext muss hier jedoch genauer übersetzt werden. Möglich: „Vierfüßler“ (B/A), „Säugetiere“, „Landtiere“, „vierfüßige Tiere“ (NSS).</w:t>
      </w:r>
    </w:p>
  </w:footnote>
  <w:footnote w:id="2767">
    <w:p>
      <w:pPr>
        <w:pStyle w:val="Funote"/>
        <w:rPr/>
      </w:pPr>
      <w:r>
        <w:rPr>
          <w:rStyle w:val="Funotenzeichen"/>
        </w:rPr>
        <w:footnoteRef/>
      </w:r>
      <w:r>
        <w:rPr/>
        <w:tab/>
        <w:t>Dat. auctoris.</w:t>
      </w:r>
    </w:p>
  </w:footnote>
  <w:footnote w:id="2768">
    <w:p>
      <w:pPr>
        <w:pStyle w:val="Funote"/>
        <w:rPr/>
      </w:pPr>
      <w:r>
        <w:rPr>
          <w:rStyle w:val="Funotenzeichen"/>
        </w:rPr>
        <w:footnoteRef/>
      </w:r>
      <w:r>
        <w:rPr/>
        <w:tab/>
        <w:t>Hier steht im Urtext ein Pf., das „worden“ tritt also hinter das Resultat des „ist“ zurück.</w:t>
      </w:r>
    </w:p>
  </w:footnote>
  <w:footnote w:id="2769">
    <w:p>
      <w:pPr>
        <w:pStyle w:val="Funote"/>
        <w:rPr/>
      </w:pPr>
      <w:r>
        <w:rPr>
          <w:rStyle w:val="Funotenzeichen"/>
        </w:rPr>
        <w:footnoteRef/>
      </w:r>
      <w:r>
        <w:rPr/>
        <w:tab/>
        <w:t>Gen. partitivus. Wörtlich: „keiner/niemand [der] Menschen“</w:t>
      </w:r>
    </w:p>
  </w:footnote>
  <w:footnote w:id="2770">
    <w:p>
      <w:pPr>
        <w:pStyle w:val="Funote"/>
        <w:rPr/>
      </w:pPr>
      <w:r>
        <w:rPr>
          <w:rStyle w:val="Funotenzeichen"/>
        </w:rPr>
        <w:footnoteRef/>
      </w:r>
      <w:r>
        <w:rPr/>
        <w:tab/>
        <w:t>Alternativ: „[sie ist] ein“</w:t>
      </w:r>
    </w:p>
  </w:footnote>
  <w:footnote w:id="2771">
    <w:p>
      <w:pPr>
        <w:pStyle w:val="Funote"/>
        <w:rPr/>
      </w:pPr>
      <w:r>
        <w:rPr>
          <w:rStyle w:val="Funotenzeichen"/>
        </w:rPr>
        <w:footnoteRef/>
      </w:r>
      <w:r>
        <w:rPr/>
        <w:tab/>
        <w:t>B/A</w:t>
      </w:r>
    </w:p>
  </w:footnote>
  <w:footnote w:id="2772">
    <w:p>
      <w:pPr>
        <w:pStyle w:val="Funote"/>
        <w:rPr/>
      </w:pPr>
      <w:r>
        <w:rPr>
          <w:rStyle w:val="Funotenzeichen"/>
        </w:rPr>
        <w:footnoteRef/>
      </w:r>
      <w:r>
        <w:rPr/>
        <w:tab/>
        <w:t>Blomberg/Kamell</w:t>
      </w:r>
    </w:p>
  </w:footnote>
  <w:footnote w:id="2773">
    <w:p>
      <w:pPr>
        <w:pStyle w:val="Funote"/>
        <w:rPr/>
      </w:pPr>
      <w:r>
        <w:rPr>
          <w:rStyle w:val="Funotenzeichen"/>
        </w:rPr>
        <w:footnoteRef/>
      </w:r>
      <w:r>
        <w:rPr/>
        <w:tab/>
        <w:t>Cf. 1,8</w:t>
      </w:r>
    </w:p>
  </w:footnote>
  <w:footnote w:id="2774">
    <w:p>
      <w:pPr>
        <w:pStyle w:val="Funote"/>
        <w:rPr/>
      </w:pPr>
      <w:r>
        <w:rPr>
          <w:rStyle w:val="Funotenzeichen"/>
        </w:rPr>
        <w:footnoteRef/>
      </w:r>
      <w:r>
        <w:rPr/>
        <w:tab/>
        <w:t>Instrumental (NSS). Wörtlich: „Durch sie“. Analog später im Vers.</w:t>
      </w:r>
    </w:p>
  </w:footnote>
  <w:footnote w:id="2775">
    <w:p>
      <w:pPr>
        <w:pStyle w:val="Funote"/>
        <w:rPr/>
      </w:pPr>
      <w:r>
        <w:rPr>
          <w:rStyle w:val="Funotenzeichen"/>
        </w:rPr>
        <w:footnoteRef/>
      </w:r>
      <w:r>
        <w:rPr/>
        <w:tab/>
        <w:t>Attr. Ptz. Pf. Pass. Das griechische Pf. wurde hier, wie es seiner Bedeutung am ehesten entspricht, als Zustandsperfekt übersetzt.</w:t>
      </w:r>
    </w:p>
  </w:footnote>
  <w:footnote w:id="2776">
    <w:p>
      <w:pPr>
        <w:pStyle w:val="Funote"/>
        <w:rPr/>
      </w:pPr>
      <w:r>
        <w:rPr>
          <w:rStyle w:val="Funotenzeichen"/>
        </w:rPr>
        <w:footnoteRef/>
      </w:r>
      <w:r>
        <w:rPr/>
        <w:tab/>
        <w:t>Frei zitiert nach 1 Mose 1,26f.</w:t>
      </w:r>
    </w:p>
  </w:footnote>
  <w:footnote w:id="2777">
    <w:p>
      <w:pPr>
        <w:pStyle w:val="Funote"/>
        <w:rPr/>
      </w:pPr>
      <w:r>
        <w:rPr>
          <w:rStyle w:val="Funotenzeichen"/>
        </w:rPr>
        <w:footnoteRef/>
      </w:r>
      <w:r>
        <w:rPr/>
        <w:tab/>
        <w:t>Auflösung eines AcI.</w:t>
      </w:r>
    </w:p>
  </w:footnote>
  <w:footnote w:id="2778">
    <w:p>
      <w:pPr>
        <w:pStyle w:val="Funote"/>
        <w:rPr/>
      </w:pPr>
      <w:r>
        <w:rPr>
          <w:rStyle w:val="Funotenzeichen"/>
        </w:rPr>
        <w:footnoteRef/>
      </w:r>
      <w:r>
        <w:rPr/>
        <w:tab/>
        <w:t>Wörtlich: „das Süße und das Bittere“</w:t>
      </w:r>
    </w:p>
  </w:footnote>
  <w:footnote w:id="2779">
    <w:p>
      <w:pPr>
        <w:pStyle w:val="Funote"/>
        <w:rPr/>
      </w:pPr>
      <w:r>
        <w:rPr>
          <w:rStyle w:val="Funotenzeichen"/>
        </w:rPr>
        <w:footnoteRef/>
      </w:r>
      <w:r>
        <w:rPr/>
        <w:tab/>
        <w:t>Wörtlich: „das Salzige“</w:t>
      </w:r>
    </w:p>
  </w:footnote>
  <w:footnote w:id="2780">
    <w:p>
      <w:pPr>
        <w:pStyle w:val="Funote"/>
        <w:rPr/>
      </w:pPr>
      <w:r>
        <w:rPr>
          <w:rStyle w:val="Funotenzeichen"/>
        </w:rPr>
        <w:footnoteRef/>
      </w:r>
      <w:r>
        <w:rPr/>
        <w:tab/>
        <w:t>Wörtlich: „süßes Wasser“</w:t>
      </w:r>
    </w:p>
  </w:footnote>
  <w:footnote w:id="2781">
    <w:p>
      <w:pPr>
        <w:pStyle w:val="Funote"/>
        <w:rPr/>
      </w:pPr>
      <w:r>
        <w:rPr>
          <w:rStyle w:val="Funotenzeichen"/>
        </w:rPr>
        <w:footnoteRef/>
      </w:r>
      <w:r>
        <w:rPr/>
        <w:tab/>
        <w:t>Die Bedeutung des Wortes ist die von anwendbarer Kundigkeit (Blomberg/Kamell). Kommunikativ vielleicht „erfahren“.</w:t>
      </w:r>
    </w:p>
  </w:footnote>
  <w:footnote w:id="2782">
    <w:p>
      <w:pPr>
        <w:pStyle w:val="Funote"/>
        <w:rPr/>
      </w:pPr>
      <w:r>
        <w:rPr>
          <w:rStyle w:val="Funotenzeichen"/>
        </w:rPr>
        <w:footnoteRef/>
      </w:r>
      <w:r>
        <w:rPr/>
        <w:tab/>
        <w:t>Wörtlich: „aus“</w:t>
      </w:r>
    </w:p>
  </w:footnote>
  <w:footnote w:id="2783">
    <w:p>
      <w:pPr>
        <w:pStyle w:val="Funote"/>
        <w:rPr/>
      </w:pPr>
      <w:r>
        <w:rPr>
          <w:rStyle w:val="Funotenzeichen"/>
        </w:rPr>
        <w:footnoteRef/>
      </w:r>
      <w:r>
        <w:rPr/>
        <w:tab/>
        <w:t>ie eigentliche Bedeutung ist wohl die eines „sanften Charakters“ im Gegensatz einem aufbrausenden Charakter (cf. Louw/Nida).</w:t>
      </w:r>
    </w:p>
  </w:footnote>
  <w:footnote w:id="2784">
    <w:p>
      <w:pPr>
        <w:pStyle w:val="Funote"/>
        <w:rPr/>
      </w:pPr>
      <w:r>
        <w:rPr>
          <w:rStyle w:val="Funotenzeichen"/>
        </w:rPr>
        <w:footnoteRef/>
      </w:r>
      <w:r>
        <w:rPr/>
        <w:tab/>
        <w:t>Wörtlich „Bescheidenheit [der] Weisheit“; Gen. pertinentiae, also „Bescheidenheit, die von Weisheit kommt“.</w:t>
      </w:r>
    </w:p>
  </w:footnote>
  <w:footnote w:id="2785">
    <w:p>
      <w:pPr>
        <w:pStyle w:val="Funote"/>
        <w:rPr/>
      </w:pPr>
      <w:r>
        <w:rPr>
          <w:rStyle w:val="Funotenzeichen"/>
        </w:rPr>
        <w:footnoteRef/>
      </w:r>
      <w:r>
        <w:rPr/>
        <w:tab/>
        <w:t>Blomberg/Kamell.</w:t>
      </w:r>
    </w:p>
  </w:footnote>
  <w:footnote w:id="2786">
    <w:p>
      <w:pPr>
        <w:pStyle w:val="Funote"/>
        <w:rPr/>
      </w:pPr>
      <w:r>
        <w:rPr>
          <w:rStyle w:val="Funotenzeichen"/>
        </w:rPr>
        <w:footnoteRef/>
      </w:r>
      <w:r>
        <w:rPr/>
        <w:tab/>
        <w:t>Da der deutsche Imperativ in der 3. Person nicht vorkommt, muss mit „soll“ oder „muss“ umschrieben werden.</w:t>
      </w:r>
    </w:p>
  </w:footnote>
  <w:footnote w:id="2787">
    <w:p>
      <w:pPr>
        <w:pStyle w:val="Funote"/>
        <w:rPr/>
      </w:pPr>
      <w:r>
        <w:rPr>
          <w:rStyle w:val="Funotenzeichen"/>
        </w:rPr>
        <w:footnoteRef/>
      </w:r>
      <w:r>
        <w:rPr/>
        <w:tab/>
        <w:t>Dies ist ein Imperativ Präsens. Im Gegensatz zum unmarkierten Imp. Aor. kann dieser auch die Bedeutung „hört auf, … zu tun“ haben. Blomberg merkt hier an, dass diese Bedeutungsnuance nicht unbedingt vorkommen muss.</w:t>
      </w:r>
    </w:p>
  </w:footnote>
  <w:footnote w:id="2788">
    <w:p>
      <w:pPr>
        <w:pStyle w:val="Funote"/>
        <w:rPr/>
      </w:pPr>
      <w:r>
        <w:rPr>
          <w:rStyle w:val="Funotenzeichen"/>
        </w:rPr>
        <w:footnoteRef/>
      </w:r>
      <w:r>
        <w:rPr/>
        <w:tab/>
        <w:t>Indefiniter Konditionalsatz.</w:t>
      </w:r>
    </w:p>
  </w:footnote>
  <w:footnote w:id="2789">
    <w:p>
      <w:pPr>
        <w:pStyle w:val="Funote"/>
        <w:rPr/>
      </w:pPr>
      <w:r>
        <w:rPr>
          <w:rStyle w:val="Funotenzeichen"/>
        </w:rPr>
        <w:footnoteRef/>
      </w:r>
      <w:r>
        <w:rPr/>
        <w:tab/>
        <w:t>Attributive Auflösung. Wörtlich „ist … herabkommend“. Alternativ periphrastisch: „Diese Weisheit kommt nicht von oben herab...“</w:t>
      </w:r>
    </w:p>
  </w:footnote>
  <w:footnote w:id="2790">
    <w:p>
      <w:pPr>
        <w:pStyle w:val="Funote"/>
        <w:rPr/>
      </w:pPr>
      <w:r>
        <w:rPr>
          <w:rStyle w:val="Funotenzeichen"/>
        </w:rPr>
        <w:footnoteRef/>
      </w:r>
      <w:r>
        <w:rPr/>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2791">
    <w:p>
      <w:pPr>
        <w:pStyle w:val="Funote"/>
        <w:rPr/>
      </w:pPr>
      <w:r>
        <w:rPr>
          <w:rStyle w:val="Funotenzeichen"/>
        </w:rPr>
        <w:footnoteRef/>
      </w:r>
      <w:r>
        <w:rPr/>
        <w:tab/>
        <w:t>Nach der Bedeutung dieses unbestimmten „</w:t>
      </w:r>
      <w:r>
        <w:rPr>
          <w:lang w:val="el-GR"/>
        </w:rPr>
        <w:t>πάν</w:t>
      </w:r>
      <w:r>
        <w:rPr/>
        <w:t>“ eingefügt (Johnson).</w:t>
      </w:r>
    </w:p>
  </w:footnote>
  <w:footnote w:id="2792">
    <w:p>
      <w:pPr>
        <w:pStyle w:val="Funote"/>
        <w:rPr/>
      </w:pPr>
      <w:r>
        <w:rPr>
          <w:rStyle w:val="Funotenzeichen"/>
        </w:rPr>
        <w:footnoteRef/>
      </w:r>
      <w:r>
        <w:rPr/>
        <w:tab/>
        <w:t>Der Begriff drückt Niedrigkeit, Gemeinheit, Gewöhnlichkeit in einem sehr negativen Sinn aus (Johnson).</w:t>
      </w:r>
    </w:p>
  </w:footnote>
  <w:footnote w:id="2793">
    <w:p>
      <w:pPr>
        <w:pStyle w:val="Funote"/>
        <w:rPr/>
      </w:pPr>
      <w:r>
        <w:rPr>
          <w:rStyle w:val="Funotenzeichen"/>
        </w:rPr>
        <w:footnoteRef/>
      </w:r>
      <w:r>
        <w:rPr/>
        <w:tab/>
        <w:t>Johnson</w:t>
      </w:r>
    </w:p>
  </w:footnote>
  <w:footnote w:id="2794">
    <w:p>
      <w:pPr>
        <w:pStyle w:val="Funote"/>
        <w:rPr/>
      </w:pPr>
      <w:r>
        <w:rPr>
          <w:rStyle w:val="Funotenzeichen"/>
        </w:rPr>
        <w:footnoteRef/>
      </w:r>
      <w:r>
        <w:rPr/>
        <w:tab/>
        <w:t>LUT u.a. (SLT, NGÜ): „lässt sich etwas sagen“</w:t>
      </w:r>
    </w:p>
  </w:footnote>
  <w:footnote w:id="2795">
    <w:p>
      <w:pPr>
        <w:pStyle w:val="Funote"/>
        <w:rPr/>
      </w:pPr>
      <w:r>
        <w:rPr>
          <w:rStyle w:val="Funotenzeichen"/>
        </w:rPr>
        <w:footnoteRef/>
      </w:r>
      <w:r>
        <w:rPr/>
        <w:tab/>
        <w:t>Hier als koordinierender Textkonnektor (Blomberg/Kamell). Alternativ adversativ. Könnte auch einen leichten Kontrast als Aufruf zum Handeln darstellen (Johnson).</w:t>
      </w:r>
    </w:p>
  </w:footnote>
  <w:footnote w:id="2796">
    <w:p>
      <w:pPr>
        <w:pStyle w:val="Funote"/>
        <w:rPr/>
      </w:pPr>
      <w:r>
        <w:rPr>
          <w:rStyle w:val="Funotenzeichen"/>
        </w:rPr>
        <w:footnoteRef/>
      </w:r>
      <w:r>
        <w:rPr/>
        <w:tab/>
        <w:t>So Blomberg/Kamell. Wörtlich „Frucht“.</w:t>
      </w:r>
    </w:p>
  </w:footnote>
  <w:footnote w:id="2797">
    <w:p>
      <w:pPr>
        <w:pStyle w:val="Funote"/>
        <w:rPr/>
      </w:pPr>
      <w:r>
        <w:rPr>
          <w:rStyle w:val="Funotenzeichen"/>
        </w:rPr>
        <w:footnoteRef/>
      </w:r>
      <w:r>
        <w:rPr/>
        <w:tab/>
        <w:t>Wohl ein Gen. subiectivus: die Frucht ist Gerechtigkeit.</w:t>
      </w:r>
    </w:p>
  </w:footnote>
  <w:footnote w:id="2798">
    <w:p>
      <w:pPr>
        <w:pStyle w:val="Funote"/>
        <w:rPr/>
      </w:pPr>
      <w:r>
        <w:rPr>
          <w:rStyle w:val="Funotenzeichen"/>
        </w:rPr>
        <w:footnoteRef/>
      </w:r>
      <w:r>
        <w:rPr/>
        <w:tab/>
        <w:t>Hier als Dat. commodi verstanden (Dibelius, Johnson, Blomberg/Kamell). Alternativ als Dat. auctoris: „von jenen, die...“. Dann käme aber der Frieden doppelt vor (Dibelius).</w:t>
      </w:r>
    </w:p>
  </w:footnote>
  <w:footnote w:id="2799">
    <w:p>
      <w:pPr>
        <w:pStyle w:val="Funote"/>
        <w:rPr/>
      </w:pPr>
      <w:r>
        <w:rPr>
          <w:rStyle w:val="Funotenzeichen"/>
        </w:rPr>
        <w:footnoteRef/>
      </w:r>
      <w:r>
        <w:rPr/>
        <w:tab/>
        <w:t>Attributives/substantiviertes Ptz.</w:t>
      </w:r>
    </w:p>
  </w:footnote>
  <w:footnote w:id="2800">
    <w:p>
      <w:pPr>
        <w:pStyle w:val="Funote"/>
        <w:rPr/>
      </w:pPr>
      <w:r>
        <w:rPr>
          <w:rStyle w:val="Funotenzeichen"/>
        </w:rPr>
        <w:footnoteRef/>
      </w:r>
      <w:r>
        <w:rPr/>
        <w:tab/>
        <w:t>[Status: Zuverlässig]</w:t>
      </w:r>
    </w:p>
  </w:footnote>
  <w:footnote w:id="2801">
    <w:p>
      <w:pPr>
        <w:pStyle w:val="Funote"/>
        <w:rPr/>
      </w:pPr>
      <w:r>
        <w:rPr>
          <w:rStyle w:val="Funotenzeichen"/>
        </w:rPr>
        <w:footnoteRef/>
      </w:r>
      <w:r>
        <w:rPr/>
        <w:tab/>
        <w:t>Wörtlich: „die Streite“</w:t>
      </w:r>
    </w:p>
  </w:footnote>
  <w:footnote w:id="2802">
    <w:p>
      <w:pPr>
        <w:pStyle w:val="Funote"/>
        <w:rPr/>
      </w:pPr>
      <w:r>
        <w:rPr>
          <w:rStyle w:val="Funotenzeichen"/>
        </w:rPr>
        <w:footnoteRef/>
      </w:r>
      <w:r>
        <w:rPr/>
        <w:tab/>
        <w:t>Wörtlich: „[Kommen sie] nicht daher: aus euren...“. Alternativ: „[Kommen sie] nicht daher, dass eure Gelüste...“</w:t>
      </w:r>
    </w:p>
  </w:footnote>
  <w:footnote w:id="2803">
    <w:p>
      <w:pPr>
        <w:pStyle w:val="Funote"/>
        <w:rPr/>
      </w:pPr>
      <w:r>
        <w:rPr>
          <w:rStyle w:val="Funotenzeichen"/>
        </w:rPr>
        <w:footnoteRef/>
      </w:r>
      <w:r>
        <w:rPr/>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804">
    <w:p>
      <w:pPr>
        <w:pStyle w:val="Funote"/>
        <w:rPr/>
      </w:pPr>
      <w:r>
        <w:rPr>
          <w:rStyle w:val="Funotenzeichen"/>
        </w:rPr>
        <w:footnoteRef/>
      </w:r>
      <w:r>
        <w:rPr/>
        <w:tab/>
        <w:t>Hier (wie weiter unten im Vers) wurde das „doch“ eingefügt, um den adversativen Charakter der Konjunktion zu unterstreichen.</w:t>
      </w:r>
    </w:p>
  </w:footnote>
  <w:footnote w:id="2805">
    <w:p>
      <w:pPr>
        <w:pStyle w:val="Funote"/>
        <w:rPr/>
      </w:pPr>
      <w:r>
        <w:rPr>
          <w:rStyle w:val="Funotenzeichen"/>
        </w:rPr>
        <w:footnoteRef/>
      </w:r>
      <w:r>
        <w:rPr/>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806">
    <w:p>
      <w:pPr>
        <w:pStyle w:val="Funote"/>
        <w:rPr/>
      </w:pPr>
      <w:r>
        <w:rPr>
          <w:rStyle w:val="Funotenzeichen"/>
        </w:rPr>
        <w:footnoteRef/>
      </w:r>
      <w:r>
        <w:rPr/>
        <w:tab/>
        <w:t>Wörtlich „nicht“. Bei allen Erwähnungen von „nicht“ in Vv. 2f. bleibt das Objekt im Text unerwähnt. Das macht beim Übersetzen manchmal das Einsetzen von „nichts“ erforderlich.</w:t>
      </w:r>
    </w:p>
  </w:footnote>
  <w:footnote w:id="2807">
    <w:p>
      <w:pPr>
        <w:pStyle w:val="Funote"/>
        <w:rPr/>
      </w:pPr>
      <w:r>
        <w:rPr>
          <w:rStyle w:val="Funotenzeichen"/>
        </w:rPr>
        <w:footnoteRef/>
      </w:r>
      <w:r>
        <w:rPr/>
        <w:tab/>
        <w:t>Das Wort steht im Medium; alternativ könnte es auch als „weil ihr selbst nicht bittet“ verstanden werden (Blomberg/Kamell). Dibelius ignoriert das Medium ganz, Mußner lässt offen. Selbiges gilt für 3b.</w:t>
      </w:r>
    </w:p>
  </w:footnote>
  <w:footnote w:id="2808">
    <w:p>
      <w:pPr>
        <w:pStyle w:val="Funote"/>
        <w:rPr/>
      </w:pPr>
      <w:r>
        <w:rPr>
          <w:rStyle w:val="Funotenzeichen"/>
        </w:rPr>
        <w:footnoteRef/>
      </w:r>
      <w:r>
        <w:rPr/>
        <w:tab/>
        <w:t>Alle Verben der 2. Ps. Pl. im Vers stehen im Präsens. Der Text deutet damit an, dass dies ein Vorgang ist, der unablässig bzw. immer wieder zu beobachten ist.</w:t>
      </w:r>
    </w:p>
  </w:footnote>
  <w:footnote w:id="2809">
    <w:p>
      <w:pPr>
        <w:pStyle w:val="Funote"/>
        <w:rPr/>
      </w:pPr>
      <w:r>
        <w:rPr>
          <w:rStyle w:val="Funotenzeichen"/>
        </w:rPr>
        <w:footnoteRef/>
      </w:r>
      <w:r>
        <w:rPr/>
        <w:tab/>
        <w:t>Wörtlich „nicht“. Vgl. dritte Fußnote in V. 2.</w:t>
      </w:r>
    </w:p>
  </w:footnote>
  <w:footnote w:id="2810">
    <w:p>
      <w:pPr>
        <w:pStyle w:val="Funote"/>
        <w:rPr/>
      </w:pPr>
      <w:r>
        <w:rPr>
          <w:rStyle w:val="Funotenzeichen"/>
        </w:rPr>
        <w:footnoteRef/>
      </w:r>
      <w:r>
        <w:rPr/>
        <w:tab/>
        <w:t>Wörtlich „böse“, „schlecht“ (Adverb). Im Deutschen muss umschrieben werden; der letzte Satzteil macht klar, dass das Adverb sich auf böse Hintergedanken bezieht. Denkbar auch „[mit] bösen [Hintergedanken]“ u.ä. oder schlicht „falsch“ (so Blomberg/Kamell).</w:t>
      </w:r>
    </w:p>
  </w:footnote>
  <w:footnote w:id="2811">
    <w:p>
      <w:pPr>
        <w:pStyle w:val="Funote"/>
        <w:rPr/>
      </w:pPr>
      <w:r>
        <w:rPr>
          <w:rStyle w:val="Funotenzeichen"/>
        </w:rPr>
        <w:footnoteRef/>
      </w:r>
      <w:r>
        <w:rPr/>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812">
    <w:p>
      <w:pPr>
        <w:pStyle w:val="Funote"/>
        <w:rPr/>
      </w:pPr>
      <w:r>
        <w:rPr>
          <w:rStyle w:val="Funotenzeichen"/>
        </w:rPr>
        <w:footnoteRef/>
      </w:r>
      <w:r>
        <w:rPr/>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2813">
    <w:p>
      <w:pPr>
        <w:pStyle w:val="Funote"/>
        <w:rPr/>
      </w:pPr>
      <w:r>
        <w:rPr>
          <w:rStyle w:val="Funotenzeichen"/>
        </w:rPr>
        <w:footnoteRef/>
      </w:r>
      <w:r>
        <w:rPr/>
        <w:tab/>
        <w:t>Oder: „Wer immer also ... sein will, erweist...“</w:t>
      </w:r>
    </w:p>
  </w:footnote>
  <w:footnote w:id="2814">
    <w:p>
      <w:pPr>
        <w:pStyle w:val="Funote"/>
        <w:rPr/>
      </w:pPr>
      <w:r>
        <w:rPr>
          <w:rStyle w:val="Funotenzeichen"/>
        </w:rPr>
        <w:footnoteRef/>
      </w:r>
      <w:r>
        <w:rPr/>
        <w:tab/>
        <w:t>Wörtlich: „Zur Eifersucht“ = „eifersüchtig“ (nach NSS).</w:t>
      </w:r>
    </w:p>
  </w:footnote>
  <w:footnote w:id="2815">
    <w:p>
      <w:pPr>
        <w:pStyle w:val="Funote"/>
        <w:rPr/>
      </w:pPr>
      <w:r>
        <w:rPr>
          <w:rStyle w:val="Funotenzeichen"/>
        </w:rPr>
        <w:footnoteRef/>
      </w:r>
      <w:r>
        <w:rPr/>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2816">
    <w:p>
      <w:pPr>
        <w:pStyle w:val="Funote"/>
        <w:rPr/>
      </w:pPr>
      <w:r>
        <w:rPr>
          <w:rStyle w:val="Funotenzeichen"/>
        </w:rPr>
        <w:footnoteRef/>
      </w:r>
      <w:r>
        <w:rPr/>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817">
    <w:p>
      <w:pPr>
        <w:pStyle w:val="Funote"/>
        <w:rPr/>
      </w:pPr>
      <w:r>
        <w:rPr>
          <w:rStyle w:val="Funotenzeichen"/>
        </w:rPr>
        <w:footnoteRef/>
      </w:r>
      <w:r>
        <w:rPr/>
        <w:tab/>
        <w:t>Die Zuordnung des Zitats ist kaum möglich. Mußner vermutet ein Zitat aus einem unbekannten Apokryphon. Es gibt Anleihen an 2Mose 20,5,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818">
    <w:p>
      <w:pPr>
        <w:pStyle w:val="Funote"/>
        <w:rPr/>
      </w:pPr>
      <w:r>
        <w:rPr>
          <w:rStyle w:val="Funotenzeichen"/>
        </w:rPr>
        <w:footnoteRef/>
      </w:r>
      <w:r>
        <w:rPr/>
        <w:tab/>
        <w:t>Dann im Gegensatz zu den »Hochmütigen«</w:t>
      </w:r>
    </w:p>
  </w:footnote>
  <w:footnote w:id="2819">
    <w:p>
      <w:pPr>
        <w:pStyle w:val="Funote"/>
        <w:rPr/>
      </w:pPr>
      <w:r>
        <w:rPr>
          <w:rStyle w:val="Funotenzeichen"/>
        </w:rPr>
        <w:footnoteRef/>
      </w:r>
      <w:r>
        <w:rPr/>
        <w:tab/>
        <w:t>Sprichwörter 3,34 nach der Septuaginta.</w:t>
      </w:r>
    </w:p>
  </w:footnote>
  <w:footnote w:id="2820">
    <w:p>
      <w:pPr>
        <w:pStyle w:val="Funote"/>
        <w:rPr/>
      </w:pPr>
      <w:r>
        <w:rPr>
          <w:rStyle w:val="Funotenzeichen"/>
        </w:rPr>
        <w:footnoteRef/>
      </w:r>
      <w:r>
        <w:rPr/>
        <w:tab/>
        <w:t>Hier medial, was sich aber nicht ohne Weiteres ins Deutsche übertragen lässt.</w:t>
      </w:r>
    </w:p>
  </w:footnote>
  <w:footnote w:id="2821">
    <w:p>
      <w:pPr>
        <w:pStyle w:val="Funote"/>
        <w:rPr/>
      </w:pPr>
      <w:r>
        <w:rPr>
          <w:rStyle w:val="Funotenzeichen"/>
        </w:rPr>
        <w:footnoteRef/>
      </w:r>
      <w:r>
        <w:rPr/>
        <w:tab/>
        <w:t>B/A: „tretet vor Gott“. Mit dieser Übersetzung würde aber die parallele Übersetzung des zweiten Satzteils nicht funktionieren.</w:t>
      </w:r>
    </w:p>
  </w:footnote>
  <w:footnote w:id="2822">
    <w:p>
      <w:pPr>
        <w:pStyle w:val="Funote"/>
        <w:rPr/>
      </w:pPr>
      <w:r>
        <w:rPr>
          <w:rStyle w:val="Funotenzeichen"/>
        </w:rPr>
        <w:footnoteRef/>
      </w:r>
      <w:r>
        <w:rPr/>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2823">
    <w:p>
      <w:pPr>
        <w:pStyle w:val="Funote"/>
        <w:rPr/>
      </w:pPr>
      <w:r>
        <w:rPr>
          <w:rStyle w:val="Funotenzeichen"/>
        </w:rPr>
        <w:footnoteRef/>
      </w:r>
      <w:r>
        <w:rPr/>
        <w:tab/>
        <w:t>3. Sg. Imp.</w:t>
      </w:r>
    </w:p>
  </w:footnote>
  <w:footnote w:id="2824">
    <w:p>
      <w:pPr>
        <w:pStyle w:val="Funote"/>
        <w:rPr/>
      </w:pPr>
      <w:r>
        <w:rPr>
          <w:rStyle w:val="Funotenzeichen"/>
        </w:rPr>
        <w:footnoteRef/>
      </w:r>
      <w:r>
        <w:rPr/>
        <w:tab/>
        <w:t>Wörtlich „Werdet erniedrigt“.</w:t>
      </w:r>
    </w:p>
  </w:footnote>
  <w:footnote w:id="2825">
    <w:p>
      <w:pPr>
        <w:pStyle w:val="Funote"/>
        <w:rPr/>
      </w:pPr>
      <w:r>
        <w:rPr>
          <w:rStyle w:val="Funotenzeichen"/>
        </w:rPr>
        <w:footnoteRef/>
      </w:r>
      <w:r>
        <w:rPr/>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826">
    <w:p>
      <w:pPr>
        <w:pStyle w:val="Funote"/>
        <w:rPr/>
      </w:pPr>
      <w:r>
        <w:rPr>
          <w:rStyle w:val="Funotenzeichen"/>
        </w:rPr>
        <w:footnoteRef/>
      </w:r>
      <w:r>
        <w:rPr/>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827">
    <w:p>
      <w:pPr>
        <w:pStyle w:val="Funote"/>
        <w:rPr/>
      </w:pPr>
      <w:r>
        <w:rPr>
          <w:rStyle w:val="Funotenzeichen"/>
        </w:rPr>
        <w:footnoteRef/>
      </w:r>
      <w:r>
        <w:rPr/>
        <w:tab/>
        <w:t>Hier Auflösung zweier attributiver Partizipien. Alternativ kann substantiviert aufgelöst werden: „Der Verleumdende … der Richtende“ (wörtlich).</w:t>
      </w:r>
    </w:p>
  </w:footnote>
  <w:footnote w:id="2828">
    <w:p>
      <w:pPr>
        <w:pStyle w:val="Funote"/>
        <w:rPr/>
      </w:pPr>
      <w:r>
        <w:rPr>
          <w:rStyle w:val="Funotenzeichen"/>
        </w:rPr>
        <w:footnoteRef/>
      </w:r>
      <w:r>
        <w:rPr/>
        <w:tab/>
        <w:t>Indefiniter Konditionalsatz.</w:t>
      </w:r>
    </w:p>
  </w:footnote>
  <w:footnote w:id="2829">
    <w:p>
      <w:pPr>
        <w:pStyle w:val="Funote"/>
        <w:rPr/>
      </w:pPr>
      <w:r>
        <w:rPr>
          <w:rStyle w:val="Funotenzeichen"/>
        </w:rPr>
        <w:footnoteRef/>
      </w:r>
      <w:r>
        <w:rPr/>
        <w:tab/>
        <w:t>Oder: „Es gibt einen...“</w:t>
      </w:r>
    </w:p>
  </w:footnote>
  <w:footnote w:id="2830">
    <w:p>
      <w:pPr>
        <w:pStyle w:val="Funote"/>
        <w:rPr/>
      </w:pPr>
      <w:r>
        <w:rPr>
          <w:rStyle w:val="Funotenzeichen"/>
        </w:rPr>
        <w:footnoteRef/>
      </w:r>
      <w:r>
        <w:rPr/>
        <w:tab/>
        <w:t>Attr. Ptz.</w:t>
      </w:r>
    </w:p>
  </w:footnote>
  <w:footnote w:id="2831">
    <w:p>
      <w:pPr>
        <w:pStyle w:val="Funote"/>
        <w:rPr/>
      </w:pPr>
      <w:r>
        <w:rPr>
          <w:rStyle w:val="Funotenzeichen"/>
        </w:rPr>
        <w:footnoteRef/>
      </w:r>
      <w:r>
        <w:rPr/>
        <w:tab/>
        <w:t>Wörtlicher: „Wohlan nun“ (B/A, NSS)</w:t>
      </w:r>
    </w:p>
  </w:footnote>
  <w:footnote w:id="2832">
    <w:p>
      <w:pPr>
        <w:pStyle w:val="Funote"/>
        <w:rPr/>
      </w:pPr>
      <w:r>
        <w:rPr>
          <w:rStyle w:val="Funotenzeichen"/>
        </w:rPr>
        <w:footnoteRef/>
      </w:r>
      <w:r>
        <w:rPr/>
        <w:tab/>
        <w:t>Attr. Ptz.</w:t>
      </w:r>
    </w:p>
  </w:footnote>
  <w:footnote w:id="2833">
    <w:p>
      <w:pPr>
        <w:pStyle w:val="Funote"/>
        <w:rPr/>
      </w:pPr>
      <w:r>
        <w:rPr>
          <w:rStyle w:val="Funotenzeichen"/>
        </w:rPr>
        <w:footnoteRef/>
      </w:r>
      <w:r>
        <w:rPr/>
        <w:tab/>
        <w:t>Alle folgenden Verben modales Futur: Eine Absichtserklärung (NSS).</w:t>
      </w:r>
    </w:p>
  </w:footnote>
  <w:footnote w:id="2834">
    <w:p>
      <w:pPr>
        <w:pStyle w:val="Funote"/>
        <w:rPr/>
      </w:pPr>
      <w:r>
        <w:rPr>
          <w:rStyle w:val="Funotenzeichen"/>
        </w:rPr>
        <w:footnoteRef/>
      </w:r>
      <w:r>
        <w:rPr/>
        <w:tab/>
        <w:t>Mit kausalem Nebensinn: „da ihr nicht wisst...“ (NSS)</w:t>
      </w:r>
    </w:p>
  </w:footnote>
  <w:footnote w:id="2835">
    <w:p>
      <w:pPr>
        <w:pStyle w:val="Funote"/>
        <w:rPr/>
      </w:pPr>
      <w:r>
        <w:rPr>
          <w:rStyle w:val="Funotenzeichen"/>
        </w:rPr>
        <w:footnoteRef/>
      </w:r>
      <w:r>
        <w:rPr/>
        <w:tab/>
        <w:t>Wörtlich „...wisst die [Dinge] des morgigen [Tages] wie {beschaffen} [ist] euer Leben“. Alternativ (unter Vernachlässigung der im NA27 gesetzten Interpunktion): „...wisst, [was] morgen [sein wird]. Was ist euer Leben?“</w:t>
      </w:r>
    </w:p>
  </w:footnote>
  <w:footnote w:id="2836">
    <w:p>
      <w:pPr>
        <w:pStyle w:val="Funote"/>
        <w:rPr/>
      </w:pPr>
      <w:r>
        <w:rPr>
          <w:rStyle w:val="Funotenzeichen"/>
        </w:rPr>
        <w:footnoteRef/>
      </w:r>
      <w:r>
        <w:rPr/>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837">
    <w:p>
      <w:pPr>
        <w:pStyle w:val="Funote"/>
        <w:rPr/>
      </w:pPr>
      <w:r>
        <w:rPr>
          <w:rStyle w:val="Funotenzeichen"/>
        </w:rPr>
        <w:footnoteRef/>
      </w:r>
      <w:r>
        <w:rPr/>
        <w:tab/>
        <w:t>B/A, NSS.</w:t>
      </w:r>
    </w:p>
  </w:footnote>
  <w:footnote w:id="2838">
    <w:p>
      <w:pPr>
        <w:pStyle w:val="Funote"/>
        <w:rPr/>
      </w:pPr>
      <w:r>
        <w:rPr>
          <w:rStyle w:val="Funotenzeichen"/>
        </w:rPr>
        <w:footnoteRef/>
      </w:r>
      <w:r>
        <w:rPr/>
        <w:tab/>
        <w:t>Attr. Ptz.</w:t>
      </w:r>
    </w:p>
  </w:footnote>
  <w:footnote w:id="2839">
    <w:p>
      <w:pPr>
        <w:pStyle w:val="Funote"/>
        <w:rPr/>
      </w:pPr>
      <w:r>
        <w:rPr>
          <w:rStyle w:val="Funotenzeichen"/>
        </w:rPr>
        <w:footnoteRef/>
      </w:r>
      <w:r>
        <w:rPr/>
        <w:tab/>
        <w:t>Wörtlich: „wird er unsichtbar gemacht“</w:t>
      </w:r>
    </w:p>
  </w:footnote>
  <w:footnote w:id="2840">
    <w:p>
      <w:pPr>
        <w:pStyle w:val="Funote"/>
        <w:rPr/>
      </w:pPr>
      <w:r>
        <w:rPr>
          <w:rStyle w:val="Funotenzeichen"/>
        </w:rPr>
        <w:footnoteRef/>
      </w:r>
      <w:r>
        <w:rPr/>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2841">
    <w:p>
      <w:pPr>
        <w:pStyle w:val="Funote"/>
        <w:rPr/>
      </w:pPr>
      <w:r>
        <w:rPr>
          <w:rStyle w:val="Funotenzeichen"/>
        </w:rPr>
        <w:footnoteRef/>
      </w:r>
      <w:r>
        <w:rPr/>
        <w:tab/>
        <w:t>Spezieller (im Gegensatz zum generellen) prospektiver Konditionalsatz: Versuch der Berechnung der Folgen einer zukünftigen Handlung.</w:t>
      </w:r>
    </w:p>
  </w:footnote>
  <w:footnote w:id="2842">
    <w:p>
      <w:pPr>
        <w:pStyle w:val="Funote"/>
        <w:rPr/>
      </w:pPr>
      <w:r>
        <w:rPr>
          <w:rStyle w:val="Funotenzeichen"/>
        </w:rPr>
        <w:footnoteRef/>
      </w:r>
      <w:r>
        <w:rPr/>
        <w:tab/>
        <w:t>Vielleicht „mit“ (cf. NSS).</w:t>
      </w:r>
    </w:p>
  </w:footnote>
  <w:footnote w:id="2843">
    <w:p>
      <w:pPr>
        <w:pStyle w:val="Funote"/>
        <w:rPr/>
      </w:pPr>
      <w:r>
        <w:rPr>
          <w:rStyle w:val="Funotenzeichen"/>
        </w:rPr>
        <w:footnoteRef/>
      </w:r>
      <w:r>
        <w:rPr/>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844">
    <w:p>
      <w:pPr>
        <w:pStyle w:val="Funote"/>
        <w:rPr/>
      </w:pPr>
      <w:r>
        <w:rPr>
          <w:rStyle w:val="Funotenzeichen"/>
        </w:rPr>
        <w:footnoteRef/>
      </w:r>
      <w:r>
        <w:rPr/>
        <w:tab/>
        <w:t>Johnson.</w:t>
      </w:r>
    </w:p>
  </w:footnote>
  <w:footnote w:id="2845">
    <w:p>
      <w:pPr>
        <w:pStyle w:val="Funote"/>
        <w:rPr/>
      </w:pPr>
      <w:r>
        <w:rPr>
          <w:rStyle w:val="Funotenzeichen"/>
        </w:rPr>
        <w:footnoteRef/>
      </w:r>
      <w:r>
        <w:rPr/>
        <w:tab/>
        <w:t>Beide Verben der 3. Ps. sind subst. Ptz.</w:t>
      </w:r>
    </w:p>
  </w:footnote>
  <w:footnote w:id="2846">
    <w:p>
      <w:pPr>
        <w:pStyle w:val="Funote"/>
        <w:rPr/>
      </w:pPr>
      <w:r>
        <w:rPr>
          <w:rStyle w:val="Funotenzeichen"/>
        </w:rPr>
        <w:footnoteRef/>
      </w:r>
      <w:r>
        <w:rPr/>
        <w:tab/>
        <w:t>[Status: Zuverlässig]</w:t>
      </w:r>
    </w:p>
  </w:footnote>
  <w:footnote w:id="2847">
    <w:p>
      <w:pPr>
        <w:pStyle w:val="Funote"/>
        <w:rPr/>
      </w:pPr>
      <w:r>
        <w:rPr>
          <w:rStyle w:val="Funotenzeichen"/>
        </w:rPr>
        <w:footnoteRef/>
      </w:r>
      <w:r>
        <w:rPr/>
        <w:tab/>
        <w:t>Modal aufgelöstes Ptc. coni.</w:t>
      </w:r>
    </w:p>
  </w:footnote>
  <w:footnote w:id="2848">
    <w:p>
      <w:pPr>
        <w:pStyle w:val="Funote"/>
        <w:rPr/>
      </w:pPr>
      <w:r>
        <w:rPr>
          <w:rStyle w:val="Funotenzeichen"/>
        </w:rPr>
        <w:footnoteRef/>
      </w:r>
      <w:r>
        <w:rPr/>
        <w:tab/>
        <w:t>Das hier gebrauchte Ptz. Präsens hat normalerweise eine durative/iterative Aspektbedeutung, die hier vermutlich aber in den Hintergrund tritt.</w:t>
      </w:r>
    </w:p>
  </w:footnote>
  <w:footnote w:id="2849">
    <w:p>
      <w:pPr>
        <w:pStyle w:val="Funote"/>
        <w:rPr/>
      </w:pPr>
      <w:r>
        <w:rPr>
          <w:rStyle w:val="Funotenzeichen"/>
        </w:rPr>
        <w:footnoteRef/>
      </w:r>
      <w:r>
        <w:rPr/>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2850">
    <w:p>
      <w:pPr>
        <w:pStyle w:val="Funote"/>
        <w:rPr/>
      </w:pPr>
      <w:r>
        <w:rPr>
          <w:rStyle w:val="Funotenzeichen"/>
        </w:rPr>
        <w:footnoteRef/>
      </w:r>
      <w:r>
        <w:rPr/>
        <w:tab/>
        <w:t>Wörtlich: „mottenzerfressen geworden“</w:t>
      </w:r>
    </w:p>
  </w:footnote>
  <w:footnote w:id="2851">
    <w:p>
      <w:pPr>
        <w:pStyle w:val="Funote"/>
        <w:rPr/>
      </w:pPr>
      <w:r>
        <w:rPr>
          <w:rStyle w:val="Funotenzeichen"/>
        </w:rPr>
        <w:footnoteRef/>
      </w:r>
      <w:r>
        <w:rPr/>
        <w:tab/>
        <w:t>Da Gold weder rostet noch anläuft, ist dies entweder eine stilistische Übertreibung oder es müsste alternativ etwa „angelaufen“ oder „matt/stumpf geworden“ heißen (Blomberg/Kamell).</w:t>
      </w:r>
    </w:p>
  </w:footnote>
  <w:footnote w:id="2852">
    <w:p>
      <w:pPr>
        <w:pStyle w:val="Funote"/>
        <w:rPr/>
      </w:pPr>
      <w:r>
        <w:rPr>
          <w:rStyle w:val="Funotenzeichen"/>
        </w:rPr>
        <w:footnoteRef/>
      </w:r>
      <w:r>
        <w:rPr/>
        <w:tab/>
        <w:t>Kommunikativ: „dienen“</w:t>
      </w:r>
    </w:p>
  </w:footnote>
  <w:footnote w:id="2853">
    <w:p>
      <w:pPr>
        <w:pStyle w:val="Funote"/>
        <w:rPr/>
      </w:pPr>
      <w:r>
        <w:rPr>
          <w:rStyle w:val="Funotenzeichen"/>
        </w:rPr>
        <w:footnoteRef/>
      </w:r>
      <w:r>
        <w:rPr/>
        <w:tab/>
        <w:t>Im Original im Plural.</w:t>
      </w:r>
    </w:p>
  </w:footnote>
  <w:footnote w:id="2854">
    <w:p>
      <w:pPr>
        <w:pStyle w:val="Funote"/>
        <w:rPr/>
      </w:pPr>
      <w:r>
        <w:rPr>
          <w:rStyle w:val="Funotenzeichen"/>
        </w:rPr>
        <w:footnoteRef/>
      </w:r>
      <w:r>
        <w:rPr/>
        <w:tab/>
        <w:t>Durch das Verb impliziert (cf. B/A, NSS).</w:t>
      </w:r>
    </w:p>
  </w:footnote>
  <w:footnote w:id="2855">
    <w:p>
      <w:pPr>
        <w:pStyle w:val="Funote"/>
        <w:rPr/>
      </w:pPr>
      <w:r>
        <w:rPr>
          <w:rStyle w:val="Funotenzeichen"/>
        </w:rPr>
        <w:footnoteRef/>
      </w:r>
      <w:r>
        <w:rPr/>
        <w:tab/>
        <w:t>Attr. Ptz.</w:t>
      </w:r>
    </w:p>
  </w:footnote>
  <w:footnote w:id="2856">
    <w:p>
      <w:pPr>
        <w:pStyle w:val="Funote"/>
        <w:rPr/>
      </w:pPr>
      <w:r>
        <w:rPr>
          <w:rStyle w:val="Funotenzeichen"/>
        </w:rPr>
        <w:footnoteRef/>
      </w:r>
      <w:r>
        <w:rPr/>
        <w:tab/>
        <w:t>Ptz. Pf. Pass.; attributives Ptz.</w:t>
      </w:r>
    </w:p>
  </w:footnote>
  <w:footnote w:id="2857">
    <w:p>
      <w:pPr>
        <w:pStyle w:val="Funote"/>
        <w:rPr/>
      </w:pPr>
      <w:r>
        <w:rPr>
          <w:rStyle w:val="Funotenzeichen"/>
        </w:rPr>
        <w:footnoteRef/>
      </w:r>
      <w:r>
        <w:rPr/>
        <w:tab/>
        <w:t>Alternativ: „der [ihnen] vorenthalten wurde, schreit von euch...“</w:t>
      </w:r>
    </w:p>
  </w:footnote>
  <w:footnote w:id="2858">
    <w:p>
      <w:pPr>
        <w:pStyle w:val="Funote"/>
        <w:rPr/>
      </w:pPr>
      <w:r>
        <w:rPr>
          <w:rStyle w:val="Funotenzeichen"/>
        </w:rPr>
        <w:footnoteRef/>
      </w:r>
      <w:r>
        <w:rPr/>
        <w:tab/>
        <w:t>Transkribiert „Sabaoth“. Alternativ auch mit Übersetzung des hebräischen Worts: „Herr der Heerscharen“</w:t>
      </w:r>
    </w:p>
  </w:footnote>
  <w:footnote w:id="2859">
    <w:p>
      <w:pPr>
        <w:pStyle w:val="Funote"/>
        <w:rPr/>
      </w:pPr>
      <w:r>
        <w:rPr>
          <w:rStyle w:val="Funotenzeichen"/>
        </w:rPr>
        <w:footnoteRef/>
      </w:r>
      <w:r>
        <w:rPr/>
        <w:tab/>
        <w:t>Oder kommunikativer: „habt ein üppiges Leben geführt“ (NSS)</w:t>
      </w:r>
    </w:p>
  </w:footnote>
  <w:footnote w:id="2860">
    <w:p>
      <w:pPr>
        <w:pStyle w:val="Funote"/>
        <w:rPr/>
      </w:pPr>
      <w:r>
        <w:rPr>
          <w:rStyle w:val="Funotenzeichen"/>
        </w:rPr>
        <w:footnoteRef/>
      </w:r>
      <w:r>
        <w:rPr/>
        <w:tab/>
        <w:t>Oder kommunikativer: „habt euch dem Vergnügen hingegeben“ (NSS)</w:t>
      </w:r>
    </w:p>
  </w:footnote>
  <w:footnote w:id="2861">
    <w:p>
      <w:pPr>
        <w:pStyle w:val="Funote"/>
        <w:rPr/>
      </w:pPr>
      <w:r>
        <w:rPr>
          <w:rStyle w:val="Funotenzeichen"/>
        </w:rPr>
        <w:footnoteRef/>
      </w:r>
      <w:r>
        <w:rPr/>
        <w:tab/>
        <w:t>Wörtlich: „an [einem]“</w:t>
      </w:r>
    </w:p>
  </w:footnote>
  <w:footnote w:id="2862">
    <w:p>
      <w:pPr>
        <w:pStyle w:val="Funote"/>
        <w:rPr/>
      </w:pPr>
      <w:r>
        <w:rPr>
          <w:rStyle w:val="Funotenzeichen"/>
        </w:rPr>
        <w:footnoteRef/>
      </w:r>
      <w:r>
        <w:rPr/>
        <w:tab/>
        <w:t>Wörtlich „Tag der Schlachtung“. Dies kann sich konkret auf einen gewöhnlichen Schlachttag beziehen, der im Leben der Reichen sicherlich regelmäßig vorkam, spielt aber auf den Tag von Gottes Gericht an.</w:t>
      </w:r>
    </w:p>
  </w:footnote>
  <w:footnote w:id="2863">
    <w:p>
      <w:pPr>
        <w:pStyle w:val="Funote"/>
        <w:rPr/>
      </w:pPr>
      <w:r>
        <w:rPr>
          <w:rStyle w:val="Funotenzeichen"/>
        </w:rPr>
        <w:footnoteRef/>
      </w:r>
      <w:r>
        <w:rPr/>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864">
    <w:p>
      <w:pPr>
        <w:pStyle w:val="Funote"/>
        <w:rPr/>
      </w:pPr>
      <w:r>
        <w:rPr>
          <w:rStyle w:val="Funotenzeichen"/>
        </w:rPr>
        <w:footnoteRef/>
      </w:r>
      <w:r>
        <w:rPr/>
        <w:tab/>
        <w:t>Oder „ihr habt verurteilt, ihr habt den Gerechten ermordet“ (so die wortlautgetreue REB).</w:t>
      </w:r>
    </w:p>
  </w:footnote>
  <w:footnote w:id="2865">
    <w:p>
      <w:pPr>
        <w:pStyle w:val="Funote"/>
        <w:rPr/>
      </w:pPr>
      <w:r>
        <w:rPr>
          <w:rStyle w:val="Funotenzeichen"/>
        </w:rPr>
        <w:footnoteRef/>
      </w:r>
      <w:r>
        <w:rPr/>
        <w:tab/>
        <w:t>Der letzte Satzteil ist vom vorherigen eigentümlich abgetrennt. Manche Exegeten sehen das als Grund, ein „obwohl“ zu ergänzen.</w:t>
      </w:r>
    </w:p>
  </w:footnote>
  <w:footnote w:id="2866">
    <w:p>
      <w:pPr>
        <w:pStyle w:val="Funote"/>
        <w:rPr/>
      </w:pPr>
      <w:r>
        <w:rPr>
          <w:rStyle w:val="Funotenzeichen"/>
        </w:rPr>
        <w:footnoteRef/>
      </w:r>
      <w:r>
        <w:rPr/>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2867">
    <w:p>
      <w:pPr>
        <w:pStyle w:val="Funote"/>
        <w:rPr/>
      </w:pPr>
      <w:r>
        <w:rPr>
          <w:rStyle w:val="Funotenzeichen"/>
        </w:rPr>
        <w:footnoteRef/>
      </w:r>
      <w:r>
        <w:rPr/>
        <w:tab/>
        <w:t>Auflösung eines modalen Ptc. coni., alternativ temp. Oder „und geduldig auf sie wartet“.</w:t>
      </w:r>
    </w:p>
  </w:footnote>
  <w:footnote w:id="2868">
    <w:p>
      <w:pPr>
        <w:pStyle w:val="Funote"/>
        <w:rPr/>
      </w:pPr>
      <w:r>
        <w:rPr>
          <w:rStyle w:val="Funotenzeichen"/>
        </w:rPr>
        <w:footnoteRef/>
      </w:r>
      <w:r>
        <w:rPr/>
        <w:tab/>
        <w:t>Anspielung auf Hos 6,4 (Bauckham).</w:t>
      </w:r>
    </w:p>
  </w:footnote>
  <w:footnote w:id="2869">
    <w:p>
      <w:pPr>
        <w:pStyle w:val="Funote"/>
        <w:rPr/>
      </w:pPr>
      <w:r>
        <w:rPr>
          <w:rStyle w:val="Funotenzeichen"/>
        </w:rPr>
        <w:footnoteRef/>
      </w:r>
      <w:r>
        <w:rPr/>
        <w:tab/>
        <w:t>Das hier verwendete griechische Perfekt betont das Resultat eines Vorgangs, weswegen hier mit Zustandspassiv übersetzt wurde.</w:t>
      </w:r>
    </w:p>
  </w:footnote>
  <w:footnote w:id="2870">
    <w:p>
      <w:pPr>
        <w:pStyle w:val="Funote"/>
        <w:rPr/>
      </w:pPr>
      <w:r>
        <w:rPr>
          <w:rStyle w:val="Funotenzeichen"/>
        </w:rPr>
        <w:footnoteRef/>
      </w:r>
      <w:r>
        <w:rPr/>
        <w:tab/>
        <w:t>Imperativ Präsens. Oder: „Hört auf, …“ Im Gegensatz zum unmarkierten Imp. Aor. hat dieser häufig negativ die Bedeutung „hör(t) auf, … zu tun“ bzw. positiv „Tu(t) … weiterhin/immer wieder“ haben.</w:t>
      </w:r>
    </w:p>
  </w:footnote>
  <w:footnote w:id="2871">
    <w:p>
      <w:pPr>
        <w:pStyle w:val="Funote"/>
        <w:rPr/>
      </w:pPr>
      <w:r>
        <w:rPr>
          <w:rStyle w:val="Funotenzeichen"/>
        </w:rPr>
        <w:footnoteRef/>
      </w:r>
      <w:r>
        <w:rPr/>
        <w:tab/>
        <w:t>Auflösung eines subst. Ptz. Aor. Kann ein Rückbezug auf die Propheten sein, ist aber offen formuliert.</w:t>
      </w:r>
    </w:p>
  </w:footnote>
  <w:footnote w:id="2872">
    <w:p>
      <w:pPr>
        <w:pStyle w:val="Funote"/>
        <w:rPr/>
      </w:pPr>
      <w:r>
        <w:rPr>
          <w:rStyle w:val="Funotenzeichen"/>
        </w:rPr>
        <w:footnoteRef/>
      </w:r>
      <w:r>
        <w:rPr/>
        <w:tab/>
        <w:t>Cf. 1,3</w:t>
      </w:r>
    </w:p>
  </w:footnote>
  <w:footnote w:id="2873">
    <w:p>
      <w:pPr>
        <w:pStyle w:val="Funote"/>
        <w:rPr/>
      </w:pPr>
      <w:r>
        <w:rPr>
          <w:rStyle w:val="Funotenzeichen"/>
        </w:rPr>
        <w:footnoteRef/>
      </w:r>
      <w:r>
        <w:rPr/>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874">
    <w:p>
      <w:pPr>
        <w:pStyle w:val="Funote"/>
        <w:rPr/>
      </w:pPr>
      <w:r>
        <w:rPr>
          <w:rStyle w:val="Funotenzeichen"/>
        </w:rPr>
        <w:footnoteRef/>
      </w:r>
      <w:r>
        <w:rPr/>
        <w:tab/>
        <w:t>Imp. Präs. Dieser markiert gelegentlich die Aufforderung, etwas weiterhin/immer wieder zu tun bzw.(endgültig) mit etwas aufzuhören.</w:t>
      </w:r>
    </w:p>
  </w:footnote>
  <w:footnote w:id="2875">
    <w:p>
      <w:pPr>
        <w:pStyle w:val="Funote"/>
        <w:rPr/>
      </w:pPr>
      <w:r>
        <w:rPr>
          <w:rStyle w:val="Funotenzeichen"/>
        </w:rPr>
        <w:footnoteRef/>
      </w:r>
      <w:r>
        <w:rPr/>
        <w:tab/>
        <w:t>3. Sg. Imp. Präs.; s. o.</w:t>
      </w:r>
    </w:p>
  </w:footnote>
  <w:footnote w:id="2876">
    <w:p>
      <w:pPr>
        <w:pStyle w:val="Funote"/>
        <w:rPr/>
      </w:pPr>
      <w:r>
        <w:rPr>
          <w:rStyle w:val="Funotenzeichen"/>
        </w:rPr>
        <w:footnoteRef/>
      </w:r>
      <w:r>
        <w:rPr/>
        <w:tab/>
        <w:t>Wörtlich: „damit ihr nicht unter das Gericht fallt“</w:t>
      </w:r>
    </w:p>
  </w:footnote>
  <w:footnote w:id="2877">
    <w:p>
      <w:pPr>
        <w:pStyle w:val="Funote"/>
        <w:rPr/>
      </w:pPr>
      <w:r>
        <w:rPr>
          <w:rStyle w:val="Funotenzeichen"/>
        </w:rPr>
        <w:footnoteRef/>
      </w:r>
      <w:r>
        <w:rPr/>
        <w:tab/>
        <w:t>3. Sg. Imp. Präs.; s. o.</w:t>
      </w:r>
    </w:p>
  </w:footnote>
  <w:footnote w:id="2878">
    <w:p>
      <w:pPr>
        <w:pStyle w:val="Funote"/>
        <w:rPr/>
      </w:pPr>
      <w:r>
        <w:rPr>
          <w:rStyle w:val="Funotenzeichen"/>
        </w:rPr>
        <w:footnoteRef/>
      </w:r>
      <w:r>
        <w:rPr/>
        <w:tab/>
        <w:t>3. Sg. Imp. Präs.; s. o.</w:t>
      </w:r>
    </w:p>
  </w:footnote>
  <w:footnote w:id="2879">
    <w:p>
      <w:pPr>
        <w:pStyle w:val="Funote"/>
        <w:rPr/>
      </w:pPr>
      <w:r>
        <w:rPr>
          <w:rStyle w:val="Funotenzeichen"/>
        </w:rPr>
        <w:footnoteRef/>
      </w:r>
      <w:r>
        <w:rPr/>
        <w:tab/>
        <w:t>Die drei Bedingungssätze in diesem und dem folgenden Vers können auch als direkte Fragen verstanden werden. Meine Übesetzung folgt der Zeichensetzung im NA27.</w:t>
      </w:r>
    </w:p>
  </w:footnote>
  <w:footnote w:id="2880">
    <w:p>
      <w:pPr>
        <w:pStyle w:val="Funote"/>
        <w:rPr/>
      </w:pPr>
      <w:r>
        <w:rPr>
          <w:rStyle w:val="Funotenzeichen"/>
        </w:rPr>
        <w:footnoteRef/>
      </w:r>
      <w:r>
        <w:rPr/>
        <w:tab/>
        <w:t>Die Definition des Wortes wäre wohl „durch Krankheit geschwächt“ (Cf. B/A)</w:t>
      </w:r>
    </w:p>
  </w:footnote>
  <w:footnote w:id="2881">
    <w:p>
      <w:pPr>
        <w:pStyle w:val="Funote"/>
        <w:rPr/>
      </w:pPr>
      <w:r>
        <w:rPr>
          <w:rStyle w:val="Funotenzeichen"/>
        </w:rPr>
        <w:footnoteRef/>
      </w:r>
      <w:r>
        <w:rPr/>
        <w:tab/>
        <w:t>3. Sg. Imp. Präs.; s. o.</w:t>
      </w:r>
    </w:p>
  </w:footnote>
  <w:footnote w:id="2882">
    <w:p>
      <w:pPr>
        <w:pStyle w:val="Funote"/>
        <w:rPr/>
      </w:pPr>
      <w:r>
        <w:rPr>
          <w:rStyle w:val="Funotenzeichen"/>
        </w:rPr>
        <w:footnoteRef/>
      </w:r>
      <w:r>
        <w:rPr/>
        <w:tab/>
        <w:t>3. Pl. Imp. Aor. Med.</w:t>
      </w:r>
    </w:p>
  </w:footnote>
  <w:footnote w:id="2883">
    <w:p>
      <w:pPr>
        <w:pStyle w:val="Funote"/>
        <w:rPr/>
      </w:pPr>
      <w:r>
        <w:rPr>
          <w:rStyle w:val="Funotenzeichen"/>
        </w:rPr>
        <w:footnoteRef/>
      </w:r>
      <w:r>
        <w:rPr/>
        <w:tab/>
        <w:t>Instrumentaler Dativ.</w:t>
      </w:r>
    </w:p>
  </w:footnote>
  <w:footnote w:id="2884">
    <w:p>
      <w:pPr>
        <w:pStyle w:val="Funote"/>
        <w:rPr/>
      </w:pPr>
      <w:r>
        <w:rPr>
          <w:rStyle w:val="Funotenzeichen"/>
        </w:rPr>
        <w:footnoteRef/>
      </w:r>
      <w:r>
        <w:rPr/>
        <w:tab/>
        <w:t>Adv. Ptz. Aor., das vorzeitig oder gleichzeitig übersetzt werden kann; hier modal interpretiert und mit „und + Verb“ übersetzt. Oder „indem sie ihn ... salben“. Alternativ temporal: „nachdem sie ihn … gesalbt haben“, „während sie ihn … salben“.</w:t>
      </w:r>
    </w:p>
  </w:footnote>
  <w:footnote w:id="2885">
    <w:p>
      <w:pPr>
        <w:pStyle w:val="Funote"/>
        <w:rPr/>
      </w:pPr>
      <w:r>
        <w:rPr>
          <w:rStyle w:val="Funotenzeichen"/>
        </w:rPr>
        <w:footnoteRef/>
      </w:r>
      <w:r>
        <w:rPr/>
        <w:tab/>
        <w:t>Wörtlich: „des Glaubens“; Gen. pertinentiae (Das Gebet geschieht im Glauben.; NSS).</w:t>
      </w:r>
    </w:p>
  </w:footnote>
  <w:footnote w:id="2886">
    <w:p>
      <w:pPr>
        <w:pStyle w:val="Funote"/>
        <w:rPr/>
      </w:pPr>
      <w:r>
        <w:rPr>
          <w:rStyle w:val="Funotenzeichen"/>
        </w:rPr>
        <w:footnoteRef/>
      </w:r>
      <w:r>
        <w:rPr/>
        <w:tab/>
        <w:t>Wörtlich: „wenn er ein Sünden begangen habender ist“ (Ptz. Pf.); periphrastisch (umschreibend; NSS).</w:t>
      </w:r>
    </w:p>
  </w:footnote>
  <w:footnote w:id="2887">
    <w:p>
      <w:pPr>
        <w:pStyle w:val="Funote"/>
        <w:rPr/>
      </w:pPr>
      <w:r>
        <w:rPr>
          <w:rStyle w:val="Funotenzeichen"/>
        </w:rPr>
        <w:footnoteRef/>
      </w:r>
      <w:r>
        <w:rPr/>
        <w:tab/>
        <w:t>Prospektiver Konditionalsatz (Eventualis). Der Vers sieht Krankheit also nicht im Zusammenhang mit Sünde.</w:t>
      </w:r>
    </w:p>
  </w:footnote>
  <w:footnote w:id="2888">
    <w:p>
      <w:pPr>
        <w:pStyle w:val="Funote"/>
        <w:rPr/>
      </w:pPr>
      <w:r>
        <w:rPr>
          <w:rStyle w:val="Funotenzeichen"/>
        </w:rPr>
        <w:footnoteRef/>
      </w:r>
      <w:r>
        <w:rPr/>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2889">
    <w:p>
      <w:pPr>
        <w:pStyle w:val="Funote"/>
        <w:rPr/>
      </w:pPr>
      <w:r>
        <w:rPr>
          <w:rStyle w:val="Funotenzeichen"/>
        </w:rPr>
        <w:footnoteRef/>
      </w:r>
      <w:r>
        <w:rPr/>
        <w:tab/>
        <w:t>Wörtlich: „er betete [dem] Gebet“; dies ist ein Dat. modi, also „er betete mit einem Gebet“ (Semitismus). Übersetzung nach Blomberg, NSS.</w:t>
      </w:r>
    </w:p>
  </w:footnote>
  <w:footnote w:id="2890">
    <w:p>
      <w:pPr>
        <w:pStyle w:val="Funote"/>
        <w:rPr/>
      </w:pPr>
      <w:r>
        <w:rPr>
          <w:rStyle w:val="Funotenzeichen"/>
        </w:rPr>
        <w:footnoteRef/>
      </w:r>
      <w:r>
        <w:rPr/>
        <w:tab/>
        <w:t>Hier offenbar eine „Nachbildung des hebr. infinitivus absolutus“ (NSS).</w:t>
      </w:r>
    </w:p>
  </w:footnote>
  <w:footnote w:id="2891">
    <w:p>
      <w:pPr>
        <w:pStyle w:val="Funote"/>
        <w:rPr/>
      </w:pPr>
      <w:r>
        <w:rPr>
          <w:rStyle w:val="Funotenzeichen"/>
        </w:rPr>
        <w:footnoteRef/>
      </w:r>
      <w:r>
        <w:rPr/>
        <w:tab/>
        <w:t>Wörtlich: „gab Regen“</w:t>
      </w:r>
    </w:p>
  </w:footnote>
  <w:footnote w:id="2892">
    <w:p>
      <w:pPr>
        <w:pStyle w:val="Funote"/>
        <w:rPr/>
      </w:pPr>
      <w:r>
        <w:rPr>
          <w:rStyle w:val="Funotenzeichen"/>
        </w:rPr>
        <w:footnoteRef/>
      </w:r>
      <w:r>
        <w:rPr/>
        <w:tab/>
        <w:t>3. Sg. Imp.</w:t>
      </w:r>
    </w:p>
  </w:footnote>
  <w:footnote w:id="2893">
    <w:p>
      <w:pPr>
        <w:pStyle w:val="Funote"/>
        <w:rPr/>
      </w:pPr>
      <w:r>
        <w:rPr>
          <w:rStyle w:val="Funotenzeichen"/>
        </w:rPr>
        <w:footnoteRef/>
      </w:r>
      <w:r>
        <w:rPr/>
        <w:tab/>
        <w:t>Wörtlich: „von [der] Verirrung/vom Irrtum seines Weges“</w:t>
      </w:r>
    </w:p>
  </w:footnote>
  <w:footnote w:id="2894">
    <w:p>
      <w:pPr>
        <w:pStyle w:val="Funote"/>
        <w:rPr/>
      </w:pPr>
      <w:r>
        <w:rPr>
          <w:rStyle w:val="Funotenzeichen"/>
        </w:rPr>
        <w:footnoteRef/>
      </w:r>
      <w:r>
        <w:rPr/>
        <w:tab/>
        <w:t>Auflösung eines subst. Ptz.</w:t>
      </w:r>
    </w:p>
  </w:footnote>
  <w:footnote w:id="2895">
    <w:p>
      <w:pPr>
        <w:pStyle w:val="Funote"/>
        <w:rPr/>
      </w:pPr>
      <w:r>
        <w:rPr>
          <w:rStyle w:val="Funotenzeichen"/>
        </w:rPr>
        <w:footnoteRef/>
      </w:r>
      <w:r>
        <w:rPr/>
        <w:tab/>
        <w:t>Vv. 19-20: Gewöhnlicher, prospektiver Konditionalsatz.</w:t>
      </w:r>
    </w:p>
  </w:footnote>
</w:footnotes>
</file>

<file path=word/settings.xml><?xml version="1.0" encoding="utf-8"?>
<w:settings xmlns:w="http://schemas.openxmlformats.org/wordprocessingml/2006/main">
  <w:zoom w:percent="100"/>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verknpfung">
    <w:name w:val="Internetverknüpfung"/>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val="true"/>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LibreOffice/6.0.7.3$Windows_X86_64 LibreOffice_project/dc89aa7a9eabfd848af146d5086077aeed2ae4a5</Application>
  <Pages>38</Pages>
  <Words>237780</Words>
  <Characters>1369656</Characters>
  <CharactersWithSpaces>1607230</CharactersWithSpaces>
  <Paragraphs>3063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